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Pulmonary Disorders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pStyle w:val="Heading2"/>
      </w:pPr>
      <w:r>
        <w:t xml:space="preserve">1.1 Why Neonatal Pulmonary Disorders Matter</w:t>
      </w:r>
    </w:p>
    <w:p>
      <w:pPr>
        <w:spacing w:after="120"/>
      </w:pPr>
      <w:r>
        <w:rPr>
          <w:rFonts w:ascii="Arial" w:cs="Arial" w:eastAsia="Arial" w:hAnsi="Arial"/>
          <w:sz w:val="24"/>
          <w:szCs w:val="24"/>
        </w:rPr>
        <w:t xml:space="preserve">Respiratory distress is the single most common reason for admission to a neonatal intensive care unit and the most frequent clinical concern in the newborn nursery. Approximately 7 percent of all live-born infants develop some degree of respiratory distress, and the incidence is significantly higher in preterm populations. For the rural nursery provider, the ability to rapidly recognize, characterize, and stabilize neonatal respiratory distress, and to differentiate benign self-limiting conditions from life-threatening emergencies, is arguably the most important clinical skill in neonatal care.</w:t>
      </w:r>
    </w:p>
    <w:p>
      <w:pPr>
        <w:spacing w:after="120"/>
      </w:pPr>
      <w:r>
        <w:rPr>
          <w:rFonts w:ascii="Arial" w:cs="Arial" w:eastAsia="Arial" w:hAnsi="Arial"/>
          <w:sz w:val="24"/>
          <w:szCs w:val="24"/>
        </w:rPr>
        <w:t xml:space="preserve">The causes of neonatal respiratory distress span a wide differential: surfactant deficiency (respiratory distress syndrome, RDS), delayed clearance of fetal lung fluid (transient tachypnea of the newborn, TTN), aspiration syndromes (meconium aspiration syndrome, MAS), air leak syndromes (pneumothorax, pneumomediastinum), infection (pneumonia, sepsis), persistent pulmonary hypertension of the newborn (PPHN), congenital anomalies (congenital diaphragmatic hernia, CDH; congenital pulmonary airway malformation, CPAM), and non-pulmonary causes that mimic respiratory disease (cyanotic congenital heart disease, metabolic acidosis, neuromuscular disease).</w:t>
      </w:r>
    </w:p>
    <w:p>
      <w:pPr>
        <w:spacing w:after="120"/>
      </w:pPr>
      <w:r>
        <w:rPr>
          <w:rFonts w:ascii="Arial" w:cs="Arial" w:eastAsia="Arial" w:hAnsi="Arial"/>
          <w:sz w:val="24"/>
          <w:szCs w:val="24"/>
        </w:rPr>
        <w:t xml:space="preserve">This guide covers each of these conditions in depth, with emphasis on clinical recognition, evidence-based initial management, respiratory support modalities available in Level I and Level II nurseries, and clear criteria for escalation and transport. Companion resources include an audio textbook and a quick-reference cheat sheet for point-of-care use.</w:t>
      </w:r>
    </w:p>
    <w:p>
      <w:pPr>
        <w:pStyle w:val="Heading2"/>
      </w:pPr>
      <w:r>
        <w:t xml:space="preserve">1.2 Scope of Practice: Level I vs Level II</w:t>
      </w:r>
    </w:p>
    <w:p>
      <w:pPr>
        <w:spacing w:after="120"/>
      </w:pPr>
      <w:r>
        <w:rPr>
          <w:rFonts w:ascii="Arial" w:cs="Arial" w:eastAsia="Arial" w:hAnsi="Arial"/>
          <w:sz w:val="24"/>
          <w:szCs w:val="24"/>
        </w:rPr>
        <w:t xml:space="preserve">Level I nurseries manage well newborns and can provide supplemental oxygen via nasal cannula and continuous pulse oximetry. Level II nurseries (special care nurseries) can additionally provide nasal CPAP (continuous positive airway pressure), sometimes NIPPV (nasal intermittent positive pressure ventilation), intravenous fluids, and can manage infants at 32 weeks of gestation and above. Level II+ nurseries may have additional capabilities including surfactant administration via INSURE (intubate-surfactant-extubate) or LISA/MIST (less invasive surfactant administration/minimally invasive surfactant therapy) techniques. Infants requiring sustained mechanical ventilation, inhaled nitric oxide, or ECMO require transfer to Level III or IV NICUs.</w:t>
      </w:r>
    </w:p>
    <w:p>
      <w:r>
        <w:br w:type="page"/>
      </w:r>
    </w:p>
    <w:p>
      <w:pPr>
        <w:pStyle w:val="Heading1"/>
      </w:pPr>
      <w:r>
        <w:t xml:space="preserve">Chapter 2: Foundational Knowledge</w:t>
      </w:r>
    </w:p>
    <w:p>
      <w:pPr>
        <w:pStyle w:val="Heading2"/>
      </w:pPr>
      <w:r>
        <w:t xml:space="preserve">2.1 Fetal Lung Development</w:t>
      </w:r>
    </w:p>
    <w:p>
      <w:pPr>
        <w:spacing w:after="120"/>
      </w:pPr>
      <w:r>
        <w:rPr>
          <w:rFonts w:ascii="Arial" w:cs="Arial" w:eastAsia="Arial" w:hAnsi="Arial"/>
          <w:sz w:val="24"/>
          <w:szCs w:val="24"/>
        </w:rPr>
        <w:t xml:space="preserve">Understanding neonatal lung disease requires knowledge of lung development, which occurs in five overlapping stages: embryonic (3-7 weeks), pseudoglandular (5-17 weeks), canalicular (16-25 weeks), saccular (24-36 weeks), and alveolar (36 weeks through early childhood). The canalicular stage is critical because it marks the formation of a blood-air barrier capable of gas exchange and the first appearance of surfactant-producing type II pneumocytes at approximately 20 weeks. The saccular stage sees expansion of air spaces and further maturation of type II cells. Surfactant production increases dramatically after 34 weeks, which is why infants born before this gestational age are at high risk for RDS.</w:t>
      </w:r>
    </w:p>
    <w:p>
      <w:pPr>
        <w:pStyle w:val="Heading2"/>
      </w:pPr>
      <w:r>
        <w:t xml:space="preserve">2.2 Fetal Lung Fluid and the Birth Transition</w:t>
      </w:r>
    </w:p>
    <w:p>
      <w:pPr>
        <w:spacing w:after="120"/>
      </w:pPr>
      <w:r>
        <w:rPr>
          <w:rFonts w:ascii="Arial" w:cs="Arial" w:eastAsia="Arial" w:hAnsi="Arial"/>
          <w:sz w:val="24"/>
          <w:szCs w:val="24"/>
        </w:rPr>
        <w:t xml:space="preserve">During fetal life, the lungs are filled with approximately 20 to 30 mL/kg of lung fluid, which is actively secreted by pulmonary epithelial cells through chloride-driven fluid secretion. This fluid maintains airway patency and is essential for normal lung growth. In the days before labor, hormonal changes (rising cortisol, catecholamines, and thyroid hormones) trigger a switch from chloride secretion to sodium absorption via epithelial sodium channels (ENaC), initiating lung fluid clearance. During vaginal delivery, thoracic compression contributes modestly to fluid clearance, but the primary mechanism is active sodium-mediated reabsorption in the first breaths and hours of life. When this process is delayed or impaired (as in cesarean delivery without labor, or ENaC immaturity in preterm infants), excess lung fluid causes transient tachypnea of the newborn.</w:t>
      </w:r>
    </w:p>
    <w:p>
      <w:pPr>
        <w:pStyle w:val="Heading2"/>
      </w:pPr>
      <w:r>
        <w:t xml:space="preserve">2.3 Surfactant Physiology</w:t>
      </w:r>
    </w:p>
    <w:p>
      <w:pPr>
        <w:spacing w:after="120"/>
      </w:pPr>
      <w:r>
        <w:rPr>
          <w:rFonts w:ascii="Arial" w:cs="Arial" w:eastAsia="Arial" w:hAnsi="Arial"/>
          <w:sz w:val="24"/>
          <w:szCs w:val="24"/>
        </w:rPr>
        <w:t xml:space="preserve">Pulmonary surfactant is a complex mixture of phospholipids (primarily dipalmitoylphosphatidylcholine, or DPPC) and surfactant proteins (SP-A, SP-B, SP-C, SP-D) produced by type II alveolar epithelial cells. Its primary function is to reduce alveolar surface tension at the air-liquid interface, preventing alveolar collapse at end-expiration and reducing the work of breathing. Without adequate surfactant, alveoli collapse with each exhalation, requiring enormous inspiratory pressures to re-recruit them, rapidly leading to atelectasis, ventilation-perfusion mismatch, hypoxemia, and respiratory failure. Surfactant deficiency is the fundamental pathology of RDS. Exogenous surfactant replacement therapy, introduced in the 1990s, has been one of the most impactful advances in neonatal medicine, dramatically reducing RDS mortality.</w:t>
      </w:r>
    </w:p>
    <w:p>
      <w:pPr>
        <w:pStyle w:val="Heading2"/>
      </w:pPr>
      <w:r>
        <w:t xml:space="preserve">2.4 Pulmonary Vascular Transition</w:t>
      </w:r>
    </w:p>
    <w:p>
      <w:pPr>
        <w:spacing w:after="120"/>
      </w:pPr>
      <w:r>
        <w:rPr>
          <w:rFonts w:ascii="Arial" w:cs="Arial" w:eastAsia="Arial" w:hAnsi="Arial"/>
          <w:sz w:val="24"/>
          <w:szCs w:val="24"/>
        </w:rPr>
        <w:t xml:space="preserve">In fetal life, pulmonary vascular resistance (PVR) is very high, and only about 10 percent of cardiac output flows through the pulmonary circulation. The majority is shunted right-to-left through the foramen ovale and ductus arteriosus. At birth, lung aeration and oxygen exposure cause pulmonary vasodilation, PVR falls, pulmonary blood flow increases dramatically, and the fetal shunts functionally close. When this transition fails (due to hypoxia, acidosis, meconium aspiration, sepsis, congenital diaphragmatic hernia, or idiopathic causes), PVR remains elevated and right-to-left shunting persists, causing severe hypoxemia: this is persistent pulmonary hypertension of the newborn (PPHN).</w:t>
      </w:r>
    </w:p>
    <w:p>
      <w:pPr>
        <w:pStyle w:val="Heading2"/>
      </w:pPr>
      <w:r>
        <w:t xml:space="preserve">2.5 Epidemiology of Neonatal Respiratory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2800"/>
        <w:gridCol w:w="24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Incidence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GA Most Affected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Urgency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Respiratory Distress Syndrome (RDS)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of all births; 50-60% of &lt;30 wk infants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&lt;34 weeks (risk inversely proportional to GA)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to high; surfactant is time-sensitive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Transient Tachypnea of the Newborn (TTN)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4-6% of term; 10% of preterm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 preterm (34-37 wk) and term (especially C-section)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self-limited within 24-72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Meconium Aspiration Syndrome (MAS)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of meconium-stained deliveries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 and post-term (&gt;41 weeks)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to high; can progress to PPHN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Pneumothorax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of all neonates (most asymptomatic); 5-7% of MAS/RDS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 (spontaneous) or preterm (secondary to PPV/RDS)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 asymptomatic to tension (emergency)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Persistent Pulmonary Hypertension (PPHN)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per 1,000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 and near-term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requires iNO, possible ECMO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Diaphragmatic Hernia (CDH)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2,500-5,000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GA; usually diagnosed prenatally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 immediate intubation, OG decompression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Pneumonia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of live births (higher with risk factors)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GA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antibiotics + respiratory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Pulmonary Airway Malformation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8,000-35,000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GA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 depending on size and symptoms</w:t>
            </w:r>
          </w:p>
        </w:tc>
      </w:tr>
    </w:tbl>
    <w:p>
      <w:pPr>
        <w:spacing w:after="120"/>
      </w:pPr>
      <w:r>
        <w:rPr>
          <w:rFonts w:ascii="Arial" w:cs="Arial" w:eastAsia="Arial" w:hAnsi="Arial"/>
          <w:sz w:val="24"/>
          <w:szCs w:val="24"/>
        </w:rPr>
        <w:t xml:space="preserve">Table 1. Incidence and characteristics of major neonatal pulmonary conditions.</w:t>
      </w:r>
    </w:p>
    <w:p>
      <w:r>
        <w:br w:type="page"/>
      </w:r>
    </w:p>
    <w:p>
      <w:pPr>
        <w:pStyle w:val="Heading1"/>
      </w:pPr>
      <w:r>
        <w:t xml:space="preserve">Chapter 3: Clinical Assessment of Neonatal Respiratory Distress</w:t>
      </w:r>
    </w:p>
    <w:p>
      <w:pPr>
        <w:pStyle w:val="Heading2"/>
      </w:pPr>
      <w:r>
        <w:t xml:space="preserve">3.1 Signs and Symptoms</w:t>
      </w:r>
    </w:p>
    <w:p>
      <w:pPr>
        <w:spacing w:after="120"/>
      </w:pPr>
      <w:r>
        <w:rPr>
          <w:rFonts w:ascii="Arial" w:cs="Arial" w:eastAsia="Arial" w:hAnsi="Arial"/>
          <w:sz w:val="24"/>
          <w:szCs w:val="24"/>
        </w:rPr>
        <w:t xml:space="preserve">The cardinal signs of neonatal respiratory distress are tachypnea (respiratory rate greater than 60 breaths per minute), nasal flaring, grunting (an audible expiratory sound produced by partial closure of the glottis to maintain positive end-expiratory pressure and prevent alveolar collapse), intercostal and subcostal retractions, cyanosis (central, not peripheral acrocyanosis), and apnea. The Silverman-Anderson retraction score (0 to 10) provides a standardized assessment of respiratory distress severity by grading five components: upper chest movement, lower chest retraction, xiphoid retraction, nasal dilation, and expiratory grunt. Higher scores indicate more severe distress.</w:t>
      </w:r>
    </w:p>
    <w:p>
      <w:pPr>
        <w:spacing w:after="120"/>
      </w:pPr>
      <w:r>
        <w:rPr>
          <w:rFonts w:ascii="Arial" w:cs="Arial" w:eastAsia="Arial" w:hAnsi="Arial"/>
          <w:sz w:val="24"/>
          <w:szCs w:val="24"/>
        </w:rPr>
        <w:t xml:space="preserve">The timing of onset, associated maternal history, gestational age, and mode of delivery provide critical diagnostic clues. RDS presents within minutes of birth in a preterm infant. TTN presents within the first 2 hours in a term or late preterm infant, often after cesarean delivery, and improves within 24 to 72 hours. MAS presents at birth or shortly after in an infant delivered through meconium-stained amniotic fluid. Pneumonia may present at any time but is often associated with maternal risk factors for sepsis (chorioamnionitis, prolonged ROM). CDH presents with immediate severe respiratory distress, scaphoid abdomen, and absent breath sounds on the affected side. Pneumothorax may present acutely with sudden deterioration.</w:t>
      </w:r>
    </w:p>
    <w:p>
      <w:pPr>
        <w:pStyle w:val="Heading2"/>
      </w:pPr>
      <w:r>
        <w:t xml:space="preserve">3.2 Diagnostic Evaluation</w:t>
      </w:r>
    </w:p>
    <w:p>
      <w:pPr>
        <w:spacing w:after="120"/>
      </w:pPr>
      <w:r>
        <w:rPr>
          <w:rFonts w:ascii="Arial" w:cs="Arial" w:eastAsia="Arial" w:hAnsi="Arial"/>
          <w:sz w:val="24"/>
          <w:szCs w:val="24"/>
        </w:rPr>
        <w:t xml:space="preserve">The initial evaluation of a neonate with respiratory distress should include: continuous pulse oximetry (with pre-ductal and post-ductal saturation comparison to assess for PPHN and ductal-dependent cardiac lesions), chest radiograph (the most important initial imaging study), arterial or capillary blood gas analysis, complete blood count with differential and blood culture (to evaluate for sepsis/pneumonia), and blood glucose. The hyperoxia test (administration of 100 percent oxygen and measurement of PaO2) helps distinguish pulmonary from cardiac causes: in pulmonary disease, PaO2 typically rises above 150 mmHg; in cyanotic congenital heart disease, it often remains below 100 mmHg. A pre-ductal to post-ductal saturation gradient of more than 5 to 10 percent suggests PPHN or ductal-dependent cardiac lesion.</w:t>
      </w:r>
    </w:p>
    <w:p>
      <w:pPr>
        <w:pStyle w:val="Heading2"/>
      </w:pPr>
      <w:r>
        <w:t xml:space="preserve">3.3 Chest Radiograph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Classic CXR Findings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RDS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lung volumes; diffuse, bilateral, reticulogranular (ground-glass) opacities; air bronchograms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TTN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to increased lung volumes; perihilar streaking; interstitial edema; small pleural effusions; fluid in the fissures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Hyperinflated lungs; patchy, asymmetric coarse opacities; air trapping; possible pneumothorax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Pneumothorax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Hyperlucent hemithorax with visible visceral pleural line; absent lung markings peripherally; mediastinal shift (tension)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Pneumonia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Patchy or lobar alveolar opacities; may mimic RDS or MAS; can have pleural effusion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PPHN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be normal lungs with severe hypoxemia; or findings of underlying cause (MAS, pneumonia, CDH)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CDH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Bowel loops in thorax; absent/displaced diaphragm; mediastinal shift; OG tube curling in chest; contralateral lung hyperexpansion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Pleural effusion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Opacification of hemithorax; meniscus sign; blunting of costophrenic angle</w:t>
            </w:r>
          </w:p>
        </w:tc>
      </w:tr>
    </w:tbl>
    <w:p>
      <w:pPr>
        <w:spacing w:after="120"/>
      </w:pPr>
      <w:r>
        <w:rPr>
          <w:rFonts w:ascii="Arial" w:cs="Arial" w:eastAsia="Arial" w:hAnsi="Arial"/>
          <w:sz w:val="24"/>
          <w:szCs w:val="24"/>
        </w:rPr>
        <w:t xml:space="preserve">Table 2. Characteristic chest radiograph findings in neonatal respiratory disorders.</w:t>
      </w:r>
    </w:p>
    <w:p>
      <w:r>
        <w:br w:type="page"/>
      </w:r>
    </w:p>
    <w:p>
      <w:pPr>
        <w:pStyle w:val="Heading1"/>
      </w:pPr>
      <w:r>
        <w:t xml:space="preserve">Chapter 4: Specific Conditions — Diagnosis and Management</w:t>
      </w:r>
    </w:p>
    <w:p>
      <w:pPr>
        <w:pStyle w:val="Heading2"/>
      </w:pPr>
      <w:r>
        <w:t xml:space="preserve">4.1 Respiratory Distress Syndrome (RDS)</w:t>
      </w:r>
    </w:p>
    <w:p>
      <w:pPr>
        <w:spacing w:after="120"/>
      </w:pPr>
      <w:r>
        <w:rPr>
          <w:rFonts w:ascii="Arial" w:cs="Arial" w:eastAsia="Arial" w:hAnsi="Arial"/>
          <w:sz w:val="24"/>
          <w:szCs w:val="24"/>
        </w:rPr>
        <w:t xml:space="preserve">RDS (hyaline membrane disease) is caused by surfactant deficiency in premature infants. The incidence and severity are inversely proportional to gestational age. Infants present within minutes of birth with progressive tachypnea, grunting, nasal flaring, retractions, and cyanosis. Without treatment, RDS worsens over the first 48 to 72 hours before improvement begins (as endogenous surfactant production increases). The chest radiograph shows low lung volumes with diffuse, bilateral reticulogranular (ground-glass) opacities and air bronchograms.</w:t>
      </w:r>
    </w:p>
    <w:p>
      <w:pPr>
        <w:spacing w:after="120"/>
      </w:pPr>
      <w:r>
        <w:rPr>
          <w:rFonts w:ascii="Arial" w:cs="Arial" w:eastAsia="Arial" w:hAnsi="Arial"/>
          <w:sz w:val="24"/>
          <w:szCs w:val="24"/>
        </w:rPr>
        <w:t xml:space="preserve">Management: Antenatal corticosteroids (betamethasone 12 mg IM x 2 doses, 24 hours apart, for mothers at risk of preterm delivery between 23 and 34 weeks) are the most effective prevention strategy, reducing RDS incidence and severity by approximately 50 percent. Postnatal management includes early CPAP (starting in the delivery room for spontaneously breathing preterm infants, which has been shown to be as effective as prophylactic intubation and surfactant in many infants), exogenous surfactant replacement therapy (natural surfactant preparations such as poractant alfa [Curosurf], calfactant [Infasurf], or beractant [Survanta]; dosing varies by product, typically 100 to 200 mg/kg intratracheal), and supportive care including thermoregulation, IV fluids, and glucose management. The INSURE (INtubate-SURfactant-Extubate) technique and LISA/MIST (Less Invasive Surfactant Administration) approaches allow surfactant delivery while minimizing mechanical ventilation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Level II nurseries with CPAP capability, initiate CPAP at 5 to 8 cm H2O via nasal prongs or mask for preterm infants with early respiratory distress. If the infant requires FiO2 greater than 0.40 to maintain SpO2 above 90 percent on CPAP, or if there is significant apnea or respiratory failure, surfactant administration and/or transfer to a Level III NICU should be arranged. Many Level II+ nurseries are now trained in LISA technique, which allows surfactant administration via thin catheter without intubation.</w:t>
            </w:r>
          </w:p>
        </w:tc>
      </w:tr>
    </w:tbl>
    <w:p>
      <w:pPr>
        <w:pStyle w:val="Heading2"/>
      </w:pPr>
      <w:r>
        <w:t xml:space="preserve">4.2 Transient Tachypnea of the Newborn (TTN)</w:t>
      </w:r>
    </w:p>
    <w:p>
      <w:pPr>
        <w:spacing w:after="120"/>
      </w:pPr>
      <w:r>
        <w:rPr>
          <w:rFonts w:ascii="Arial" w:cs="Arial" w:eastAsia="Arial" w:hAnsi="Arial"/>
          <w:sz w:val="24"/>
          <w:szCs w:val="24"/>
        </w:rPr>
        <w:t xml:space="preserve">TTN results from delayed clearance of fetal lung fluid after birth. It is the most common cause of respiratory distress in term and near-term infants. Risk factors include cesarean delivery (especially without preceding labor), precipitous delivery, macrosomia, maternal diabetes, and male sex. Infants present within the first 2 hours of life with tachypnea (respiratory rates of 60 to 120), mild retractions, and sometimes grunting. Cyanosis is uncommon; supplemental oxygen requirements are typically low (FiO2 less than 0.40). The chest radiograph shows normal or increased lung volumes with perihilar streaking, interstitial edema, and sometimes small bilateral pleural effusions. The hallmark of TTN is improvement within 24 to 72 hours.</w:t>
      </w:r>
    </w:p>
    <w:p>
      <w:pPr>
        <w:spacing w:after="120"/>
      </w:pPr>
      <w:r>
        <w:rPr>
          <w:rFonts w:ascii="Arial" w:cs="Arial" w:eastAsia="Arial" w:hAnsi="Arial"/>
          <w:sz w:val="24"/>
          <w:szCs w:val="24"/>
        </w:rPr>
        <w:t xml:space="preserve">Management is supportive: supplemental oxygen to maintain SpO2 above 90 to 95 percent, IV fluids if the infant is too tachypneic to feed safely (respiratory rate consistently greater than 60 to 70), and CPAP if needed (5 to 7 cm H2O). There is no role for antibiotics unless sepsis cannot be excluded. There is no role for diuretics or inhaled beta-agonists (these have been studied but have not shown benefit). The critical clinical teaching point is that TTN is a diagnosis of exclusion: if an infant with presumed TTN is not improving by 24 to 48 hours, or if the respiratory distress is worsening, the diagnosis must be reconsidered and alternative etiologies (pneumonia, sepsis, RDS, cardiac disease) actively pursued.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TTN is a diagnosis of EXCLUSION. Never assume TTN without considering pneumonia, sepsis, RDS, and congenital heart disease. If respiratory distress is worsening at 24 hours, or if the infant requires FiO2 greater than 0.40, reassess the diagnosis.</w:t>
            </w:r>
          </w:p>
        </w:tc>
      </w:tr>
    </w:tbl>
    <w:p>
      <w:pPr>
        <w:pStyle w:val="Heading2"/>
      </w:pPr>
      <w:r>
        <w:t xml:space="preserve">4.3 Meconium Aspiration Syndrome (MAS)</w:t>
      </w:r>
    </w:p>
    <w:p>
      <w:pPr>
        <w:spacing w:after="120"/>
      </w:pPr>
      <w:r>
        <w:rPr>
          <w:rFonts w:ascii="Arial" w:cs="Arial" w:eastAsia="Arial" w:hAnsi="Arial"/>
          <w:sz w:val="24"/>
          <w:szCs w:val="24"/>
        </w:rPr>
        <w:t xml:space="preserve">MAS occurs when a term or post-term infant aspirates meconium-stained amniotic fluid (MSAF) into the lower airways, causing mechanical airway obstruction, chemical pneumonitis, surfactant inactivation, and an intense inflammatory response. MSAF is present in approximately 10 to 15 percent of all deliveries, but only about 5 percent of infants born through MSAF develop MAS. Risk factors include post-term gestation, fetal distress, and thick meconium. The 2015 NRP guidelines no longer recommend routine endotracheal suctioning of nonvigorous infants born through MSAF; initial resuscitation steps follow the same algorithm as for infants born through clear fluid.</w:t>
      </w:r>
    </w:p>
    <w:p>
      <w:pPr>
        <w:spacing w:after="120"/>
      </w:pPr>
      <w:r>
        <w:rPr>
          <w:rFonts w:ascii="Arial" w:cs="Arial" w:eastAsia="Arial" w:hAnsi="Arial"/>
          <w:sz w:val="24"/>
          <w:szCs w:val="24"/>
        </w:rPr>
        <w:t xml:space="preserve">Clinical presentation ranges from mild tachypnea to severe respiratory failure with PPHN. Infants may have a barrel-shaped chest from air trapping, coarse breath sounds, and varying degrees of respiratory distress. Chest radiograph shows hyperinflated lungs with patchy, asymmetric coarse opacities. Complications include pneumothorax (20 to 40 percent of moderate-to-severe MAS), PPHN (approximately 20 percent), and air leak syndromes. Management includes supplemental oxygen, CPAP or mechanical ventilation as needed, surfactant therapy (for severe cases with FiO2 greater than 0.50), inhaled nitric oxide for associated PPHN, and broad-spectrum antibiotics (because MAS is difficult to distinguish from pneumonia radiographically). ECMO may be required for refractory cases.</w:t>
      </w:r>
    </w:p>
    <w:p>
      <w:pPr>
        <w:pStyle w:val="Heading2"/>
      </w:pPr>
      <w:r>
        <w:t xml:space="preserve">4.4 Pneumothorax</w:t>
      </w:r>
    </w:p>
    <w:p>
      <w:pPr>
        <w:spacing w:after="120"/>
      </w:pPr>
      <w:r>
        <w:rPr>
          <w:rFonts w:ascii="Arial" w:cs="Arial" w:eastAsia="Arial" w:hAnsi="Arial"/>
          <w:sz w:val="24"/>
          <w:szCs w:val="24"/>
        </w:rPr>
        <w:t xml:space="preserve">Pneumothorax in the neonate can be spontaneous (occurring in 1 to 2 percent of all deliveries, most asymptomatic) or secondary to underlying lung disease (RDS, MAS) or positive pressure ventilation. Tension pneumothorax is a life-threatening emergency that requires immediate recognition and treatment.</w:t>
      </w:r>
    </w:p>
    <w:p>
      <w:pPr>
        <w:spacing w:after="120"/>
      </w:pPr>
      <w:r>
        <w:rPr>
          <w:rFonts w:ascii="Arial" w:cs="Arial" w:eastAsia="Arial" w:hAnsi="Arial"/>
          <w:sz w:val="24"/>
          <w:szCs w:val="24"/>
        </w:rPr>
        <w:t xml:space="preserve">Clinical signs of tension pneumothorax include sudden deterioration, asymmetric chest wall movement, diminished breath sounds on the affected side, shift of the point of maximum cardiac impulse away from the affected side, hypotension, bradycardia, and desaturation. Transillumination of the chest with a high-intensity fiberoptic light can provide rapid bedside diagnosis (a hyperlucent hemithorax suggests pneumothorax). Chest radiograph confirms the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Tension pneumothorax is a clinical diagnosis requiring IMMEDIATE action. Do not delay treatment for imaging. Needle decompression: insert a 22- to 24-gauge angiocatheter at the 2nd intercostal space, midclavicular line (anterior approach) or 4th intercostal space, anterior axillary line (lateral approach), just above the rib to avoid the neurovascular bundle. Aspirate air with a syringe. This is a bridge to definitive chest tube placement.</w:t>
            </w:r>
          </w:p>
        </w:tc>
      </w:tr>
    </w:tbl>
    <w:p>
      <w:pPr>
        <w:pStyle w:val="Heading2"/>
      </w:pPr>
      <w:r>
        <w:t xml:space="preserve">4.5 Persistent Pulmonary Hypertension of the Newborn (PPHN)</w:t>
      </w:r>
    </w:p>
    <w:p>
      <w:pPr>
        <w:spacing w:after="120"/>
      </w:pPr>
      <w:r>
        <w:rPr>
          <w:rFonts w:ascii="Arial" w:cs="Arial" w:eastAsia="Arial" w:hAnsi="Arial"/>
          <w:sz w:val="24"/>
          <w:szCs w:val="24"/>
        </w:rPr>
        <w:t xml:space="preserve">PPHN occurs when the normal postnatal fall in pulmonary vascular resistance fails to occur, resulting in persistent right-to-left shunting through the foramen ovale and ductus arteriosus, causing severe hypoxemia despite high FiO2. PPHN may be idiopathic or secondary to MAS, pneumonia, RDS, CDH, or sepsis. The hallmark is a pre-ductal to post-ductal oxygen saturation difference of more than 5 to 10 percent (pre-ductal SpO2 is higher because blood reaching the right hand has not yet been diluted by the right-to-left ductal shunt). Echocardiography is the definitive diagnostic tool, showing elevated pulmonary artery pressures, right-to-left or bidirectional shunting at the foramen ovale and/or ductus arteriosus, and right ventricular dilation.</w:t>
      </w:r>
    </w:p>
    <w:p>
      <w:pPr>
        <w:spacing w:after="120"/>
      </w:pPr>
      <w:r>
        <w:rPr>
          <w:rFonts w:ascii="Arial" w:cs="Arial" w:eastAsia="Arial" w:hAnsi="Arial"/>
          <w:sz w:val="24"/>
          <w:szCs w:val="24"/>
        </w:rPr>
        <w:t xml:space="preserve">Management of PPHN requires a Level III or IV NICU. The mainstays include optimizing oxygenation and ventilation, maintaining systemic blood pressure (with volume resuscitation and vasopressors as needed), inhaled nitric oxide (iNO, a selective pulmonary vasodilator, started at 20 ppm), and ECMO for refractory cases. In the rural nursery, stabilization while awaiting transport includes high-concentration oxygen (targeting pre-ductal SpO2 greater than 90 percent), avoiding acidosis (which worsens pulmonary vasoconstriction), maintaining normothermia, sedation/analgesia (to minimize oxygen consumption and agitation-induced pulmonary vasoconstriction), and minimal handling.</w:t>
      </w:r>
    </w:p>
    <w:p>
      <w:pPr>
        <w:pStyle w:val="Heading2"/>
      </w:pPr>
      <w:r>
        <w:t xml:space="preserve">4.6 Congenital Diaphragmatic Hernia (CDH)</w:t>
      </w:r>
    </w:p>
    <w:p>
      <w:pPr>
        <w:spacing w:after="120"/>
      </w:pPr>
      <w:r>
        <w:rPr>
          <w:rFonts w:ascii="Arial" w:cs="Arial" w:eastAsia="Arial" w:hAnsi="Arial"/>
          <w:sz w:val="24"/>
          <w:szCs w:val="24"/>
        </w:rPr>
        <w:t xml:space="preserve">CDH is a developmental defect in the diaphragm that allows abdominal viscera to herniate into the thorax, causing lung hypoplasia and abnormal pulmonary vascular development. The most common type is the left-sided Bochdalek hernia (approximately 80 to 85 percent of cases). CDH is frequently diagnosed prenatally by ultrasound. Incidence is approximately 1 in 2,500 to 5,000 live births. Presentation at birth includes immediate severe respiratory distress, scaphoid abdomen, absent breath sounds on the affected side, displaced heart sounds, and visible bowel loops on chest radiograph.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CDH management in the delivery room: (1) INTUBATE immediately; do NOT use bag-mask ventilation or CPAP as this inflates the stomach and intestines in the chest, further compressing the lungs. (2) Place a large-bore OG tube on continuous suction to decompress the stomach. (3) Ventilate gently with low peak pressures (less than 25 cm H2O) to avoid barotrauma to the hypoplastic lungs. (4) Place pre-ductal (right hand) and post-ductal pulse oximetry. (5) Arrange EMERGENT transfer to a Level III/IV NICU with pediatric surgery and ECMO capability.</w:t>
            </w:r>
          </w:p>
        </w:tc>
      </w:tr>
    </w:tbl>
    <w:p>
      <w:pPr>
        <w:pStyle w:val="Heading2"/>
      </w:pPr>
      <w:r>
        <w:t xml:space="preserve">4.7 Neonatal Pneumonia</w:t>
      </w:r>
    </w:p>
    <w:p>
      <w:pPr>
        <w:spacing w:after="120"/>
      </w:pPr>
      <w:r>
        <w:rPr>
          <w:rFonts w:ascii="Arial" w:cs="Arial" w:eastAsia="Arial" w:hAnsi="Arial"/>
          <w:sz w:val="24"/>
          <w:szCs w:val="24"/>
        </w:rPr>
        <w:t xml:space="preserve">Neonatal pneumonia may be acquired congenitally (transplacentally), perinatally (from the birth canal), or postnatally (nosocomial or community-acquired). Early-onset pneumonia (within the first 72 hours) is caused by the same organisms as early-onset sepsis: Group B Streptococcus and E. coli. The clinical presentation overlaps extensively with RDS and sepsis; indeed, pneumonia and sepsis often coexist. Chest radiograph may show diffuse bilateral opacities (mimicking RDS), lobar consolidation, or patchy infiltrates. Management includes broad-spectrum antibiotics (ampicillin plus gentamicin), respiratory support as needed, and consideration of surfactant therapy for severe cases with surfactant inactivation.</w:t>
      </w:r>
    </w:p>
    <w:p>
      <w:r>
        <w:br w:type="page"/>
      </w:r>
    </w:p>
    <w:p>
      <w:pPr>
        <w:pStyle w:val="Heading1"/>
      </w:pPr>
      <w:r>
        <w:t xml:space="preserve">Chapter 5: Respiratory Support in the Nursery</w:t>
      </w:r>
    </w:p>
    <w:p>
      <w:pPr>
        <w:pStyle w:val="Heading2"/>
      </w:pPr>
      <w:r>
        <w:t xml:space="preserve">5.1 Supplemental Oxygen</w:t>
      </w:r>
    </w:p>
    <w:p>
      <w:pPr>
        <w:spacing w:after="120"/>
      </w:pPr>
      <w:r>
        <w:rPr>
          <w:rFonts w:ascii="Arial" w:cs="Arial" w:eastAsia="Arial" w:hAnsi="Arial"/>
          <w:sz w:val="24"/>
          <w:szCs w:val="24"/>
        </w:rPr>
        <w:t xml:space="preserve">Supplemental oxygen is the most basic respiratory intervention and is available in all nursery settings. For term infants, the target SpO2 is generally 90 to 95 percent on room air or supplemental oxygen. Oxygen should be treated as a medication, titrated to effect, and weaned when not needed. Excessive oxygen exposure (hyperoxia) is associated with retinopathy of prematurity (in preterm infants), oxygen free radical injury, and potentially increased mortality. For preterm infants less than 32 weeks, SpO2 targets of 90 to 95 percent are commonly used (the optimal range remains an area of active research and should be guided by institutional protocol).</w:t>
      </w:r>
    </w:p>
    <w:p>
      <w:pPr>
        <w:pStyle w:val="Heading2"/>
      </w:pPr>
      <w:r>
        <w:t xml:space="preserve">5.2 Nasal CPAP</w:t>
      </w:r>
    </w:p>
    <w:p>
      <w:pPr>
        <w:spacing w:after="120"/>
      </w:pPr>
      <w:r>
        <w:rPr>
          <w:rFonts w:ascii="Arial" w:cs="Arial" w:eastAsia="Arial" w:hAnsi="Arial"/>
          <w:sz w:val="24"/>
          <w:szCs w:val="24"/>
        </w:rPr>
        <w:t xml:space="preserve">Nasal CPAP is the most widely used form of non-invasive respiratory support in neonates. It maintains positive airway pressure throughout the respiratory cycle, preventing alveolar collapse, improving functional residual capacity (FRC), and splinting open the upper airway. CPAP is delivered via nasal prongs or mask at pressures of 5 to 8 cm H2O. Bubble CPAP (where the expiratory limb of the circuit is submerged in water to a defined depth to regulate pressure) is the simplest and most widely available form, well-suited to resource-limited settings. CPAP is indicated for RDS (as initial therapy or post-surfactant), TTN (when supplemental oxygen alone is insufficient), and apnea of prematurity.</w:t>
      </w:r>
    </w:p>
    <w:p>
      <w:pPr>
        <w:spacing w:after="120"/>
      </w:pPr>
      <w:r>
        <w:rPr>
          <w:rFonts w:ascii="Arial" w:cs="Arial" w:eastAsia="Arial" w:hAnsi="Arial"/>
          <w:sz w:val="24"/>
          <w:szCs w:val="24"/>
        </w:rPr>
        <w:t xml:space="preserve">Contraindications to CPAP include: unrepaired congenital diaphragmatic hernia (CPAP inflates intrathoracic bowel), choanal atresia, tracheoesophageal fistula (pre-operative), and pneumothorax (CPAP worsens air leak). Complications include nasal septal injury (from ill-fitting prongs), gastric distension (CPAP belly syndrome, managed with OG tube decompression), and air leak.</w:t>
      </w:r>
    </w:p>
    <w:p>
      <w:pPr>
        <w:pStyle w:val="Heading2"/>
      </w:pPr>
      <w:r>
        <w:t xml:space="preserve">5.3 Surfactant Therapy</w:t>
      </w:r>
    </w:p>
    <w:p>
      <w:pPr>
        <w:spacing w:after="120"/>
      </w:pPr>
      <w:r>
        <w:rPr>
          <w:rFonts w:ascii="Arial" w:cs="Arial" w:eastAsia="Arial" w:hAnsi="Arial"/>
          <w:sz w:val="24"/>
          <w:szCs w:val="24"/>
        </w:rPr>
        <w:t xml:space="preserve">Exogenous surfactant replacement therapy is the definitive treatment for moderate-to-severe RDS. It may also be used for severe MAS with surfactant inactivation. Surfactant is administered intratracheally, either via endotracheal tube (INSURE technique) or via thin catheter (LISA/MIST technique). Common preparations include poractant alfa (Curosurf, 100-200 mg/kg, porcine-derived), calfactant (Infasurf, 3 mL/kg, bovine-derived), and beractant (Survanta, 4 mL/kg, bovine-derived). Poractant alfa at a dose of 200 mg/kg has the strongest evidence for efficacy. Surfactant should be administered as early as possible once the decision is made, as delayed surfactant administration reduces effectiveness.</w:t>
      </w:r>
    </w:p>
    <w:p>
      <w:pPr>
        <w:pStyle w:val="Heading2"/>
      </w:pPr>
      <w:r>
        <w:t xml:space="preserve">5.4 When to Escalate: Mechanical Ventilation and Beyond</w:t>
      </w:r>
    </w:p>
    <w:p>
      <w:pPr>
        <w:spacing w:after="120"/>
      </w:pPr>
      <w:r>
        <w:rPr>
          <w:rFonts w:ascii="Arial" w:cs="Arial" w:eastAsia="Arial" w:hAnsi="Arial"/>
          <w:sz w:val="24"/>
          <w:szCs w:val="24"/>
        </w:rPr>
        <w:t xml:space="preserve">Indications for mechanical ventilation include: failure of CPAP (persistent FiO2 greater than 0.50 to 0.60, severe apnea, respiratory acidosis with pH less than 7.20 and PaCO2 greater than 65 mmHg), tension pneumothorax requiring chest tube and positive pressure ventilation, CDH (immediate intubation), and severe MAS or PPHN. In the rural setting, intubation for transport is appropriate when the infant is unlikely to maintain adequate ventilation on CPAP during the transport interval.</w:t>
      </w:r>
    </w:p>
    <w:p>
      <w:r>
        <w:br w:type="page"/>
      </w:r>
    </w:p>
    <w:p>
      <w:pPr>
        <w:pStyle w:val="Heading1"/>
      </w:pPr>
      <w:r>
        <w:t xml:space="preserve">Chapter 6: Special Populations</w:t>
      </w:r>
    </w:p>
    <w:p>
      <w:pPr>
        <w:pStyle w:val="Heading2"/>
      </w:pPr>
      <w:r>
        <w:t xml:space="preserve">6.1 Late Preterm Infants (34-36+6 Weeks)</w:t>
      </w:r>
    </w:p>
    <w:p>
      <w:pPr>
        <w:spacing w:after="120"/>
      </w:pPr>
      <w:r>
        <w:rPr>
          <w:rFonts w:ascii="Arial" w:cs="Arial" w:eastAsia="Arial" w:hAnsi="Arial"/>
          <w:sz w:val="24"/>
          <w:szCs w:val="24"/>
        </w:rPr>
        <w:t xml:space="preserve">Late preterm infants straddle the boundary between prematurity and term. They have substantially higher rates of respiratory morbidity than term infants: RDS, TTN, and apnea are all more common. Surfactant production is often adequate but may be marginally so, particularly if antenatal steroids were not administered. These infants benefit from close respiratory monitoring in the first 24 to 48 hours and have a lower threshold for CPAP initiation. Feeding should be approached cautiously, as tachypnea (respiratory rate greater than 60 to 70) increases aspiration risk.</w:t>
      </w:r>
    </w:p>
    <w:p>
      <w:pPr>
        <w:pStyle w:val="Heading2"/>
      </w:pPr>
      <w:r>
        <w:t xml:space="preserve">6.2 Infants Born by Elective Cesarean Section</w:t>
      </w:r>
    </w:p>
    <w:p>
      <w:pPr>
        <w:spacing w:after="120"/>
      </w:pPr>
      <w:r>
        <w:rPr>
          <w:rFonts w:ascii="Arial" w:cs="Arial" w:eastAsia="Arial" w:hAnsi="Arial"/>
          <w:sz w:val="24"/>
          <w:szCs w:val="24"/>
        </w:rPr>
        <w:t xml:space="preserve">Elective cesarean delivery (without preceding labor) at 37 to 39 weeks is a significant risk factor for TTN because the hormonal signals that initiate lung fluid clearance (catecholamine surge during labor) are absent. The ACOG recommendation to delay elective cesarean until 39 weeks of gestation has reduced but not eliminated this risk. These infants should be monitored closely for respiratory distress in the first 2 to 6 hours of life.</w:t>
      </w:r>
    </w:p>
    <w:p>
      <w:pPr>
        <w:pStyle w:val="Heading2"/>
      </w:pPr>
      <w:r>
        <w:t xml:space="preserve">6.3 Post-Term Infants</w:t>
      </w:r>
    </w:p>
    <w:p>
      <w:pPr>
        <w:spacing w:after="120"/>
      </w:pPr>
      <w:r>
        <w:rPr>
          <w:rFonts w:ascii="Arial" w:cs="Arial" w:eastAsia="Arial" w:hAnsi="Arial"/>
          <w:sz w:val="24"/>
          <w:szCs w:val="24"/>
        </w:rPr>
        <w:t xml:space="preserve">Post-term infants (greater than 42 weeks) are at increased risk for meconium aspiration syndrome and PPHN. Meconium passage is more common at later gestational ages due to fetal intestinal maturity and the increased likelihood of fetal stress. Vigilance for MAS and its complications (pneumothorax, PPHN) is essential.</w:t>
      </w:r>
    </w:p>
    <w:p>
      <w:r>
        <w:br w:type="page"/>
      </w:r>
    </w:p>
    <w:p>
      <w:pPr>
        <w:pStyle w:val="Heading1"/>
      </w:pPr>
      <w:r>
        <w:t xml:space="preserve">Chapter 7: Transport and Escalation</w:t>
      </w:r>
    </w:p>
    <w:p>
      <w:pPr>
        <w:pStyle w:val="Heading2"/>
      </w:pPr>
      <w:r>
        <w:t xml:space="preserve">7.1 Transfer Criteria</w:t>
      </w:r>
    </w:p>
    <w:p>
      <w:pPr>
        <w:pStyle w:val="ListParagraph"/>
        <w:numPr>
          <w:ilvl w:val="0"/>
          <w:numId w:val="2"/>
        </w:numPr>
        <w:spacing w:after="60"/>
      </w:pPr>
      <w:r>
        <w:rPr>
          <w:rFonts w:ascii="Arial" w:cs="Arial" w:eastAsia="Arial" w:hAnsi="Arial"/>
          <w:sz w:val="24"/>
          <w:szCs w:val="24"/>
        </w:rPr>
        <w:t xml:space="preserve">RDS requiring FiO2 greater than 0.40 on CPAP or needing surfactant at a facility without this capability</w:t>
      </w:r>
    </w:p>
    <w:p>
      <w:pPr>
        <w:pStyle w:val="ListParagraph"/>
        <w:numPr>
          <w:ilvl w:val="0"/>
          <w:numId w:val="2"/>
        </w:numPr>
        <w:spacing w:after="60"/>
      </w:pPr>
      <w:r>
        <w:rPr>
          <w:rFonts w:ascii="Arial" w:cs="Arial" w:eastAsia="Arial" w:hAnsi="Arial"/>
          <w:sz w:val="24"/>
          <w:szCs w:val="24"/>
        </w:rPr>
        <w:t xml:space="preserve">Suspected PPHN (pre-ductal to post-ductal SpO2 difference greater than 5-10%; severe hypoxemia with FiO2 greater than 0.60)</w:t>
      </w:r>
    </w:p>
    <w:p>
      <w:pPr>
        <w:pStyle w:val="ListParagraph"/>
        <w:numPr>
          <w:ilvl w:val="0"/>
          <w:numId w:val="2"/>
        </w:numPr>
        <w:spacing w:after="60"/>
      </w:pPr>
      <w:r>
        <w:rPr>
          <w:rFonts w:ascii="Arial" w:cs="Arial" w:eastAsia="Arial" w:hAnsi="Arial"/>
          <w:sz w:val="24"/>
          <w:szCs w:val="24"/>
        </w:rPr>
        <w:t xml:space="preserve">Tension pneumothorax requiring chest tube placement (after needle decompression)</w:t>
      </w:r>
    </w:p>
    <w:p>
      <w:pPr>
        <w:pStyle w:val="ListParagraph"/>
        <w:numPr>
          <w:ilvl w:val="0"/>
          <w:numId w:val="2"/>
        </w:numPr>
        <w:spacing w:after="60"/>
      </w:pPr>
      <w:r>
        <w:rPr>
          <w:rFonts w:ascii="Arial" w:cs="Arial" w:eastAsia="Arial" w:hAnsi="Arial"/>
          <w:sz w:val="24"/>
          <w:szCs w:val="24"/>
        </w:rPr>
        <w:t xml:space="preserve">Congenital diaphragmatic hernia (immediate intubation and transport to Level III/IV with surgery and ECMO)</w:t>
      </w:r>
    </w:p>
    <w:p>
      <w:pPr>
        <w:pStyle w:val="ListParagraph"/>
        <w:numPr>
          <w:ilvl w:val="0"/>
          <w:numId w:val="2"/>
        </w:numPr>
        <w:spacing w:after="60"/>
      </w:pPr>
      <w:r>
        <w:rPr>
          <w:rFonts w:ascii="Arial" w:cs="Arial" w:eastAsia="Arial" w:hAnsi="Arial"/>
          <w:sz w:val="24"/>
          <w:szCs w:val="24"/>
        </w:rPr>
        <w:t xml:space="preserve">MAS with escalating respiratory support needs or complications (pneumothorax, PPHN)</w:t>
      </w:r>
    </w:p>
    <w:p>
      <w:pPr>
        <w:pStyle w:val="ListParagraph"/>
        <w:numPr>
          <w:ilvl w:val="0"/>
          <w:numId w:val="2"/>
        </w:numPr>
        <w:spacing w:after="60"/>
      </w:pPr>
      <w:r>
        <w:rPr>
          <w:rFonts w:ascii="Arial" w:cs="Arial" w:eastAsia="Arial" w:hAnsi="Arial"/>
          <w:sz w:val="24"/>
          <w:szCs w:val="24"/>
        </w:rPr>
        <w:t xml:space="preserve">Respiratory failure requiring mechanical ventilation beyond the facility's capability</w:t>
      </w:r>
    </w:p>
    <w:p>
      <w:pPr>
        <w:pStyle w:val="ListParagraph"/>
        <w:numPr>
          <w:ilvl w:val="0"/>
          <w:numId w:val="2"/>
        </w:numPr>
        <w:spacing w:after="60"/>
      </w:pPr>
      <w:r>
        <w:rPr>
          <w:rFonts w:ascii="Arial" w:cs="Arial" w:eastAsia="Arial" w:hAnsi="Arial"/>
          <w:sz w:val="24"/>
          <w:szCs w:val="24"/>
        </w:rPr>
        <w:t xml:space="preserve">Any neonate whose respiratory support needs exceed the nursery's level designation</w:t>
      </w:r>
    </w:p>
    <w:p>
      <w:pPr>
        <w:pStyle w:val="Heading2"/>
      </w:pPr>
      <w:r>
        <w:t xml:space="preserve">7.2 Stabilization During Transport</w:t>
      </w:r>
    </w:p>
    <w:p>
      <w:pPr>
        <w:pStyle w:val="ListParagraph"/>
        <w:numPr>
          <w:ilvl w:val="0"/>
          <w:numId w:val="3"/>
        </w:numPr>
        <w:spacing w:after="60"/>
      </w:pPr>
      <w:r>
        <w:rPr>
          <w:rFonts w:ascii="Arial" w:cs="Arial" w:eastAsia="Arial" w:hAnsi="Arial"/>
          <w:sz w:val="24"/>
          <w:szCs w:val="24"/>
        </w:rPr>
        <w:t xml:space="preserve">Secure airway: intubate if unable to maintain adequate oxygenation/ventilation on CPAP, or if CDH/severe respiratory failure</w:t>
      </w:r>
    </w:p>
    <w:p>
      <w:pPr>
        <w:pStyle w:val="ListParagraph"/>
        <w:numPr>
          <w:ilvl w:val="0"/>
          <w:numId w:val="3"/>
        </w:numPr>
        <w:spacing w:after="60"/>
      </w:pPr>
      <w:r>
        <w:rPr>
          <w:rFonts w:ascii="Arial" w:cs="Arial" w:eastAsia="Arial" w:hAnsi="Arial"/>
          <w:sz w:val="24"/>
          <w:szCs w:val="24"/>
        </w:rPr>
        <w:t xml:space="preserve">Maintain oxygenation: target pre-ductal SpO2 90-95% (term) or per institutional protocol (preterm)</w:t>
      </w:r>
    </w:p>
    <w:p>
      <w:pPr>
        <w:pStyle w:val="ListParagraph"/>
        <w:numPr>
          <w:ilvl w:val="0"/>
          <w:numId w:val="3"/>
        </w:numPr>
        <w:spacing w:after="60"/>
      </w:pPr>
      <w:r>
        <w:rPr>
          <w:rFonts w:ascii="Arial" w:cs="Arial" w:eastAsia="Arial" w:hAnsi="Arial"/>
          <w:sz w:val="24"/>
          <w:szCs w:val="24"/>
        </w:rPr>
        <w:t xml:space="preserve">Decompress stomach: OG tube on suction (especially important for CDH and any infant on CPAP/PPV)</w:t>
      </w:r>
    </w:p>
    <w:p>
      <w:pPr>
        <w:pStyle w:val="ListParagraph"/>
        <w:numPr>
          <w:ilvl w:val="0"/>
          <w:numId w:val="3"/>
        </w:numPr>
        <w:spacing w:after="60"/>
      </w:pPr>
      <w:r>
        <w:rPr>
          <w:rFonts w:ascii="Arial" w:cs="Arial" w:eastAsia="Arial" w:hAnsi="Arial"/>
          <w:sz w:val="24"/>
          <w:szCs w:val="24"/>
        </w:rPr>
        <w:t xml:space="preserve">IV access and fluids: D10W at maintenance rate; obtain blood glucose, blood gas, CBC, blood culture</w:t>
      </w:r>
    </w:p>
    <w:p>
      <w:pPr>
        <w:pStyle w:val="ListParagraph"/>
        <w:numPr>
          <w:ilvl w:val="0"/>
          <w:numId w:val="3"/>
        </w:numPr>
        <w:spacing w:after="60"/>
      </w:pPr>
      <w:r>
        <w:rPr>
          <w:rFonts w:ascii="Arial" w:cs="Arial" w:eastAsia="Arial" w:hAnsi="Arial"/>
          <w:sz w:val="24"/>
          <w:szCs w:val="24"/>
        </w:rPr>
        <w:t xml:space="preserve">Thermoregulation: maintain temperature 36.5-37.5 degrees Celsius</w:t>
      </w:r>
    </w:p>
    <w:p>
      <w:pPr>
        <w:pStyle w:val="ListParagraph"/>
        <w:numPr>
          <w:ilvl w:val="0"/>
          <w:numId w:val="3"/>
        </w:numPr>
        <w:spacing w:after="60"/>
      </w:pPr>
      <w:r>
        <w:rPr>
          <w:rFonts w:ascii="Arial" w:cs="Arial" w:eastAsia="Arial" w:hAnsi="Arial"/>
          <w:sz w:val="24"/>
          <w:szCs w:val="24"/>
        </w:rPr>
        <w:t xml:space="preserve">Minimal handling: especially for PPHN (stimulation can trigger pulmonary vasospasm)</w:t>
      </w:r>
    </w:p>
    <w:p>
      <w:pPr>
        <w:pStyle w:val="ListParagraph"/>
        <w:numPr>
          <w:ilvl w:val="0"/>
          <w:numId w:val="3"/>
        </w:numPr>
        <w:spacing w:after="60"/>
      </w:pPr>
      <w:r>
        <w:rPr>
          <w:rFonts w:ascii="Arial" w:cs="Arial" w:eastAsia="Arial" w:hAnsi="Arial"/>
          <w:sz w:val="24"/>
          <w:szCs w:val="24"/>
        </w:rPr>
        <w:t xml:space="preserve">SBAR communication with receiving NICU: include gestational age, current respiratory support settings, FiO2, SpO2, blood gas results, chest radiograph findings, and medications administered</w:t>
      </w:r>
    </w:p>
    <w:p>
      <w:r>
        <w:br w:type="page"/>
      </w:r>
    </w:p>
    <w:p>
      <w:pPr>
        <w:pStyle w:val="Heading1"/>
      </w:pPr>
      <w:r>
        <w:t xml:space="preserve">Chapter 8: Quality, Safety, and Common Pitfalls</w:t>
      </w:r>
    </w:p>
    <w:p>
      <w:pPr>
        <w:pStyle w:val="ListParagraph"/>
        <w:numPr>
          <w:ilvl w:val="0"/>
          <w:numId w:val="2"/>
        </w:numPr>
        <w:spacing w:after="60"/>
      </w:pPr>
      <w:r>
        <w:rPr>
          <w:rFonts w:ascii="Arial" w:cs="Arial" w:eastAsia="Arial" w:hAnsi="Arial"/>
          <w:sz w:val="24"/>
          <w:szCs w:val="24"/>
        </w:rPr>
        <w:t xml:space="preserve">Misdiagnosing cyanotic congenital heart disease as respiratory disease: Always perform pre-ductal and post-ductal SpO2 comparison. If the hyperoxia test fails (PaO2 remains less than 100 mmHg on 100% FiO2), suspect cardiac disease and obtain urgent echocardiography.</w:t>
      </w:r>
    </w:p>
    <w:p>
      <w:pPr>
        <w:pStyle w:val="ListParagraph"/>
        <w:numPr>
          <w:ilvl w:val="0"/>
          <w:numId w:val="2"/>
        </w:numPr>
        <w:spacing w:after="60"/>
      </w:pPr>
      <w:r>
        <w:rPr>
          <w:rFonts w:ascii="Arial" w:cs="Arial" w:eastAsia="Arial" w:hAnsi="Arial"/>
          <w:sz w:val="24"/>
          <w:szCs w:val="24"/>
        </w:rPr>
        <w:t xml:space="preserve">Assuming TTN without excluding sepsis: Respiratory distress in a neonate with maternal risk factors for infection (chorioamnionitis, prolonged ROM, GBS colonization with inadequate IAP) should be treated as presumed sepsis with empirical antibiotics until cultures are negative.</w:t>
      </w:r>
    </w:p>
    <w:p>
      <w:pPr>
        <w:pStyle w:val="ListParagraph"/>
        <w:numPr>
          <w:ilvl w:val="0"/>
          <w:numId w:val="2"/>
        </w:numPr>
        <w:spacing w:after="60"/>
      </w:pPr>
      <w:r>
        <w:rPr>
          <w:rFonts w:ascii="Arial" w:cs="Arial" w:eastAsia="Arial" w:hAnsi="Arial"/>
          <w:sz w:val="24"/>
          <w:szCs w:val="24"/>
        </w:rPr>
        <w:t xml:space="preserve">Excessive oxygen exposure: Treat oxygen as a drug. Wean FiO2 to maintain target SpO2. Hyperoxia damages the preterm retina and lung.</w:t>
      </w:r>
    </w:p>
    <w:p>
      <w:pPr>
        <w:pStyle w:val="ListParagraph"/>
        <w:numPr>
          <w:ilvl w:val="0"/>
          <w:numId w:val="2"/>
        </w:numPr>
        <w:spacing w:after="60"/>
      </w:pPr>
      <w:r>
        <w:rPr>
          <w:rFonts w:ascii="Arial" w:cs="Arial" w:eastAsia="Arial" w:hAnsi="Arial"/>
          <w:sz w:val="24"/>
          <w:szCs w:val="24"/>
        </w:rPr>
        <w:t xml:space="preserve">Delayed surfactant administration: If RDS is confirmed and the infant meets criteria for surfactant, administer it as early as possible. Each hour of delay reduces efficacy.</w:t>
      </w:r>
    </w:p>
    <w:p>
      <w:pPr>
        <w:pStyle w:val="ListParagraph"/>
        <w:numPr>
          <w:ilvl w:val="0"/>
          <w:numId w:val="2"/>
        </w:numPr>
        <w:spacing w:after="60"/>
      </w:pPr>
      <w:r>
        <w:rPr>
          <w:rFonts w:ascii="Arial" w:cs="Arial" w:eastAsia="Arial" w:hAnsi="Arial"/>
          <w:sz w:val="24"/>
          <w:szCs w:val="24"/>
        </w:rPr>
        <w:t xml:space="preserve">Using CPAP/bag-mask ventilation in CDH: This is contraindicated. CDH infants must be intubated immediately; positive pressure to the face inflates bowel in the chest.</w:t>
      </w:r>
    </w:p>
    <w:p>
      <w:pPr>
        <w:pStyle w:val="ListParagraph"/>
        <w:numPr>
          <w:ilvl w:val="0"/>
          <w:numId w:val="2"/>
        </w:numPr>
        <w:spacing w:after="60"/>
      </w:pPr>
      <w:r>
        <w:rPr>
          <w:rFonts w:ascii="Arial" w:cs="Arial" w:eastAsia="Arial" w:hAnsi="Arial"/>
          <w:sz w:val="24"/>
          <w:szCs w:val="24"/>
        </w:rPr>
        <w:t xml:space="preserve">Failure to recognize tension pneumothorax: Sudden deterioration in a ventilated or CPAP-supported infant should immediately prompt assessment for air leak. Transillumination provides rapid bedside diagnosis.</w:t>
      </w:r>
    </w:p>
    <w:p>
      <w:pPr>
        <w:pStyle w:val="ListParagraph"/>
        <w:numPr>
          <w:ilvl w:val="0"/>
          <w:numId w:val="2"/>
        </w:numPr>
        <w:spacing w:after="60"/>
      </w:pPr>
      <w:r>
        <w:rPr>
          <w:rFonts w:ascii="Arial" w:cs="Arial" w:eastAsia="Arial" w:hAnsi="Arial"/>
          <w:sz w:val="24"/>
          <w:szCs w:val="24"/>
        </w:rPr>
        <w:t xml:space="preserve">Over-reliance on chest radiograph in TTN: A normal or near-normal CXR does not exclude serious pathology. The clinical trajectory is the most important diagnostic tool.</w:t>
      </w:r>
    </w:p>
    <w:p>
      <w:r>
        <w:br w:type="page"/>
      </w:r>
    </w:p>
    <w:p>
      <w:pPr>
        <w:pStyle w:val="Heading1"/>
      </w:pPr>
      <w:r>
        <w:t xml:space="preserve">Chapter 9: Case Studies</w:t>
      </w:r>
    </w:p>
    <w:p>
      <w:pPr>
        <w:pStyle w:val="Heading2"/>
      </w:pPr>
      <w:r>
        <w:t xml:space="preserve">Case 1: Term Infant with Tachypnea After Elective C-Section</w:t>
      </w:r>
    </w:p>
    <w:p>
      <w:pPr>
        <w:spacing w:after="120"/>
      </w:pPr>
      <w:r>
        <w:rPr>
          <w:rFonts w:ascii="Arial" w:cs="Arial" w:eastAsia="Arial" w:hAnsi="Arial"/>
          <w:sz w:val="24"/>
          <w:szCs w:val="24"/>
        </w:rPr>
        <w:t xml:space="preserve">A 39-week male infant is born via elective repeat cesarean section without labor. Apgar scores are 8 and 9. At 1 hour of life, the nurse notes a respiratory rate of 80, mild subcostal retractions, and an SpO2 of 92% on room air. The infant appears pink, is intermittently grunting, and has good tone and activity.</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the classic TTN scenario: term infant, cesarean without labor, onset within the first 2 hours, mild distress. Initial management: place on low-flow nasal cannula or blow-by oxygen to maintain SpO2 greater than 92-95%, obtain a chest radiograph (expect perihilar streaking, fluid in fissures), check a blood gas (expect mild respiratory acidosis/hypoxemia), make NPO until respiratory rate consistently below 60-70, and start IV fluids. If sepsis risk factors are present, obtain blood culture and start empirical antibiotics. Expect improvement within 24 to 72 hours. If distress worsens, FiO2 exceeds 0.40, or the infant does not improve by 48 hours, reconsider the diagnosis: think pneumonia, sepsis, RDS (even in a term infant, especially if diabetic mother), or cardiac disease.</w:t>
      </w:r>
    </w:p>
    <w:p>
      <w:pPr>
        <w:pStyle w:val="Heading2"/>
      </w:pPr>
      <w:r>
        <w:t xml:space="preserve">Case 2: Preterm Infant with Progressive Respiratory Distress</w:t>
      </w:r>
    </w:p>
    <w:p>
      <w:pPr>
        <w:spacing w:after="120"/>
      </w:pPr>
      <w:r>
        <w:rPr>
          <w:rFonts w:ascii="Arial" w:cs="Arial" w:eastAsia="Arial" w:hAnsi="Arial"/>
          <w:sz w:val="24"/>
          <w:szCs w:val="24"/>
        </w:rPr>
        <w:t xml:space="preserve">A 32-week infant born to a mother who received one dose of betamethasone 12 hours before delivery is placed on CPAP 6 cm H2O in the delivery room. At 2 hours of life, FiO2 has increased from 0.25 to 0.45 to maintain SpO2 above 90%. The infant has moderate retractions and grunting. Chest radiograph shows bilateral ground-glass opacities with air bronchograms.</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has RDS confirmed by the classic radiographic findings. The escalating FiO2 requirement on CPAP indicates the need for surfactant therapy. If the facility has surfactant administration capability, administer poractant alfa 200 mg/kg via INSURE or LISA technique. If not, arrange emergent transfer to a Level III NICU while continuing CPAP. Monitor blood gases; if the infant develops severe respiratory acidosis (pH less than 7.20, PaCO2 greater than 65) or FiO2 exceeds 0.50-0.60 on CPAP, intubation and mechanical ventilation will be needed. The single dose of antenatal betamethasone provided partial benefit; had a full course been received, the severity of RDS would likely be reduced.</w:t>
      </w:r>
    </w:p>
    <w:p>
      <w:pPr>
        <w:pStyle w:val="Heading2"/>
      </w:pPr>
      <w:r>
        <w:t xml:space="preserve">Case 3: Acute Deterioration on CPAP</w:t>
      </w:r>
    </w:p>
    <w:p>
      <w:pPr>
        <w:spacing w:after="120"/>
      </w:pPr>
      <w:r>
        <w:rPr>
          <w:rFonts w:ascii="Arial" w:cs="Arial" w:eastAsia="Arial" w:hAnsi="Arial"/>
          <w:sz w:val="24"/>
          <w:szCs w:val="24"/>
        </w:rPr>
        <w:t xml:space="preserve">A 35-week infant on CPAP 7 cm H2O for mild RDS suddenly desaturates from SpO2 95% to 70%, with heart rate dropping from 150 to 90. The right hemithorax appears more distended than the left. Breath sounds are markedly diminished on the right.</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 clinical presentation consistent with right-sided tension pneumothorax. Do not wait for a chest radiograph. Immediately: (1) remove CPAP and provide free-flow oxygen, (2) perform needle decompression using a 22-24 gauge angiocatheter at the right 2nd intercostal space midclavicular line or 4th intercostal space anterior axillary line, advancing just above the rib with a syringe attached, aspirating air, (3) if transillumination is available, confirm with bright light source, (4) after successful needle decompression (clinical improvement with air aspirated), obtain chest radiograph and place definitive chest tube, (5) contact the NICU for transfer if ongoing chest tube management exceeds the nursery's capability.</w:t>
      </w:r>
    </w:p>
    <w:p>
      <w:r>
        <w:br w:type="page"/>
      </w:r>
    </w:p>
    <w:p>
      <w:pPr>
        <w:pStyle w:val="Heading1"/>
      </w:pPr>
      <w:r>
        <w:t xml:space="preserve">Chapter 10: Summary and Key Takeaways</w:t>
      </w:r>
    </w:p>
    <w:p>
      <w:pPr>
        <w:pStyle w:val="ListParagraph"/>
        <w:numPr>
          <w:ilvl w:val="0"/>
          <w:numId w:val="2"/>
        </w:numPr>
        <w:spacing w:after="60"/>
      </w:pPr>
      <w:r>
        <w:rPr>
          <w:rFonts w:ascii="Arial" w:cs="Arial" w:eastAsia="Arial" w:hAnsi="Arial"/>
          <w:sz w:val="24"/>
          <w:szCs w:val="24"/>
        </w:rPr>
        <w:t xml:space="preserve">Respiratory distress is the most common neonatal emergency. The five most common causes are: RDS (preterm), TTN (term/late preterm, C-section), MAS (term/post-term with MSAF), pneumonia, and pneumothorax.</w:t>
      </w:r>
    </w:p>
    <w:p>
      <w:pPr>
        <w:pStyle w:val="ListParagraph"/>
        <w:numPr>
          <w:ilvl w:val="0"/>
          <w:numId w:val="2"/>
        </w:numPr>
        <w:spacing w:after="60"/>
      </w:pPr>
      <w:r>
        <w:rPr>
          <w:rFonts w:ascii="Arial" w:cs="Arial" w:eastAsia="Arial" w:hAnsi="Arial"/>
          <w:sz w:val="24"/>
          <w:szCs w:val="24"/>
        </w:rPr>
        <w:t xml:space="preserve">Always compare pre-ductal and post-ductal SpO2 to screen for PPHN and ductal-dependent cardiac lesions.</w:t>
      </w:r>
    </w:p>
    <w:p>
      <w:pPr>
        <w:pStyle w:val="ListParagraph"/>
        <w:numPr>
          <w:ilvl w:val="0"/>
          <w:numId w:val="2"/>
        </w:numPr>
        <w:spacing w:after="60"/>
      </w:pPr>
      <w:r>
        <w:rPr>
          <w:rFonts w:ascii="Arial" w:cs="Arial" w:eastAsia="Arial" w:hAnsi="Arial"/>
          <w:sz w:val="24"/>
          <w:szCs w:val="24"/>
        </w:rPr>
        <w:t xml:space="preserve">TTN is a diagnosis of EXCLUSION. If not improving by 24-48 hours or FiO2 exceeds 0.40, reconsider the diagnosis.</w:t>
      </w:r>
    </w:p>
    <w:p>
      <w:pPr>
        <w:pStyle w:val="ListParagraph"/>
        <w:numPr>
          <w:ilvl w:val="0"/>
          <w:numId w:val="2"/>
        </w:numPr>
        <w:spacing w:after="60"/>
      </w:pPr>
      <w:r>
        <w:rPr>
          <w:rFonts w:ascii="Arial" w:cs="Arial" w:eastAsia="Arial" w:hAnsi="Arial"/>
          <w:sz w:val="24"/>
          <w:szCs w:val="24"/>
        </w:rPr>
        <w:t xml:space="preserve">RDS treatment: antenatal steroids (prevention), early CPAP (first-line), surfactant (for moderate-severe disease, administer early).</w:t>
      </w:r>
    </w:p>
    <w:p>
      <w:pPr>
        <w:pStyle w:val="ListParagraph"/>
        <w:numPr>
          <w:ilvl w:val="0"/>
          <w:numId w:val="2"/>
        </w:numPr>
        <w:spacing w:after="60"/>
      </w:pPr>
      <w:r>
        <w:rPr>
          <w:rFonts w:ascii="Arial" w:cs="Arial" w:eastAsia="Arial" w:hAnsi="Arial"/>
          <w:sz w:val="24"/>
          <w:szCs w:val="24"/>
        </w:rPr>
        <w:t xml:space="preserve">CDH: INTUBATE immediately. Do NOT use CPAP or bag-mask ventilation. Place OG tube for gastric decompression. Transfer emergently.</w:t>
      </w:r>
    </w:p>
    <w:p>
      <w:pPr>
        <w:pStyle w:val="ListParagraph"/>
        <w:numPr>
          <w:ilvl w:val="0"/>
          <w:numId w:val="2"/>
        </w:numPr>
        <w:spacing w:after="60"/>
      </w:pPr>
      <w:r>
        <w:rPr>
          <w:rFonts w:ascii="Arial" w:cs="Arial" w:eastAsia="Arial" w:hAnsi="Arial"/>
          <w:sz w:val="24"/>
          <w:szCs w:val="24"/>
        </w:rPr>
        <w:t xml:space="preserve">Tension pneumothorax: Clinical diagnosis requiring IMMEDIATE needle decompression. Do not wait for CXR.</w:t>
      </w:r>
    </w:p>
    <w:p>
      <w:pPr>
        <w:pStyle w:val="ListParagraph"/>
        <w:numPr>
          <w:ilvl w:val="0"/>
          <w:numId w:val="2"/>
        </w:numPr>
        <w:spacing w:after="60"/>
      </w:pPr>
      <w:r>
        <w:rPr>
          <w:rFonts w:ascii="Arial" w:cs="Arial" w:eastAsia="Arial" w:hAnsi="Arial"/>
          <w:sz w:val="24"/>
          <w:szCs w:val="24"/>
        </w:rPr>
        <w:t xml:space="preserve">PPHN: Suspect when severe hypoxemia is out of proportion to lung disease. Pre-ductal to post-ductal SpO2 gradient greater than 5-10%. Requires iNO and possibly ECMO at a tertiary center.</w:t>
      </w:r>
    </w:p>
    <w:p>
      <w:pPr>
        <w:pStyle w:val="ListParagraph"/>
        <w:numPr>
          <w:ilvl w:val="0"/>
          <w:numId w:val="2"/>
        </w:numPr>
        <w:spacing w:after="60"/>
      </w:pPr>
      <w:r>
        <w:rPr>
          <w:rFonts w:ascii="Arial" w:cs="Arial" w:eastAsia="Arial" w:hAnsi="Arial"/>
          <w:sz w:val="24"/>
          <w:szCs w:val="24"/>
        </w:rPr>
        <w:t xml:space="preserve">Oxygen is a drug. Titrate to target SpO2. Avoid hyperoxia.</w:t>
      </w:r>
    </w:p>
    <w:p>
      <w:pPr>
        <w:pStyle w:val="ListParagraph"/>
        <w:numPr>
          <w:ilvl w:val="0"/>
          <w:numId w:val="2"/>
        </w:numPr>
        <w:spacing w:after="60"/>
      </w:pPr>
      <w:r>
        <w:rPr>
          <w:rFonts w:ascii="Arial" w:cs="Arial" w:eastAsia="Arial" w:hAnsi="Arial"/>
          <w:sz w:val="24"/>
          <w:szCs w:val="24"/>
        </w:rPr>
        <w:t xml:space="preserve">In the rural nursery: CPAP, oxygen, thermoregulation, gastric decompression, and effective SBAR communication are your tools. Know when your facility's capabilities are exceeded and transfer early.</w:t>
      </w:r>
    </w:p>
    <w:p>
      <w:r>
        <w:br w:type="page"/>
      </w:r>
    </w:p>
    <w:p>
      <w:pPr>
        <w:pStyle w:val="Heading1"/>
      </w:pPr>
      <w:r>
        <w:t xml:space="preserve">References</w:t>
      </w:r>
    </w:p>
    <w:p>
      <w:pPr>
        <w:spacing w:after="120"/>
      </w:pPr>
      <w:r>
        <w:rPr>
          <w:rFonts w:ascii="Arial" w:cs="Arial" w:eastAsia="Arial" w:hAnsi="Arial"/>
          <w:sz w:val="24"/>
          <w:szCs w:val="24"/>
        </w:rPr>
        <w:t xml:space="preserve">1. Reuter S, Moser C, Baack M. Respiratory Distress in the Newborn. Pediatr Rev. 2014;35(10):417-428. doi:10.1542/pir.35-10-417</w:t>
      </w:r>
    </w:p>
    <w:p>
      <w:pPr>
        <w:spacing w:after="120"/>
      </w:pPr>
      <w:r>
        <w:rPr>
          <w:rFonts w:ascii="Arial" w:cs="Arial" w:eastAsia="Arial" w:hAnsi="Arial"/>
          <w:sz w:val="24"/>
          <w:szCs w:val="24"/>
        </w:rPr>
        <w:t xml:space="preserve">2. Sweet DG, Carnielli VP, Greisen G, et al. European Consensus Guidelines on the Management of Respiratory Distress Syndrome: 2022 Update. Neonatology. 2023;120(1):3-23. doi:10.1159/000528914</w:t>
      </w:r>
    </w:p>
    <w:p>
      <w:pPr>
        <w:spacing w:after="120"/>
      </w:pPr>
      <w:r>
        <w:rPr>
          <w:rFonts w:ascii="Arial" w:cs="Arial" w:eastAsia="Arial" w:hAnsi="Arial"/>
          <w:sz w:val="24"/>
          <w:szCs w:val="24"/>
        </w:rPr>
        <w:t xml:space="preserve">3. Jha K, Nassar GN, Makker K. Transient Tachypnea of the Newborn. StatPearls. Updated 2023.</w:t>
      </w:r>
    </w:p>
    <w:p>
      <w:pPr>
        <w:spacing w:after="120"/>
      </w:pPr>
      <w:r>
        <w:rPr>
          <w:rFonts w:ascii="Arial" w:cs="Arial" w:eastAsia="Arial" w:hAnsi="Arial"/>
          <w:sz w:val="24"/>
          <w:szCs w:val="24"/>
        </w:rPr>
        <w:t xml:space="preserve">4. Rawat M, Chandrasekharan PK, Williams A, et al. Oxygen Saturation Index and Severity of Hypoxic Respiratory Failure. Neonatology. 2015;107(3):161-166.</w:t>
      </w:r>
    </w:p>
    <w:p>
      <w:pPr>
        <w:spacing w:after="120"/>
      </w:pPr>
      <w:r>
        <w:rPr>
          <w:rFonts w:ascii="Arial" w:cs="Arial" w:eastAsia="Arial" w:hAnsi="Arial"/>
          <w:sz w:val="24"/>
          <w:szCs w:val="24"/>
        </w:rPr>
        <w:t xml:space="preserve">5. Aziz K, Lee HC, Escobedo MB, et al. Part 5: Neonatal Resuscitation. 2020 AHA Guidelines for CPR and ECC. Circulation. 2020;142(16 Suppl 2):S524-S550.</w:t>
      </w:r>
    </w:p>
    <w:p>
      <w:pPr>
        <w:spacing w:after="120"/>
      </w:pPr>
      <w:r>
        <w:rPr>
          <w:rFonts w:ascii="Arial" w:cs="Arial" w:eastAsia="Arial" w:hAnsi="Arial"/>
          <w:sz w:val="24"/>
          <w:szCs w:val="24"/>
        </w:rPr>
        <w:t xml:space="preserve">6. Konduri GG, Vohr B, Robertson C, et al. Early Inhaled Nitric Oxide Therapy for Term and Near-Term Newborn Infants With Hypoxic Respiratory Failure. Pediatrics. 2004;113(3):559-564.</w:t>
      </w:r>
    </w:p>
    <w:p>
      <w:pPr>
        <w:spacing w:after="120"/>
      </w:pPr>
      <w:r>
        <w:rPr>
          <w:rFonts w:ascii="Arial" w:cs="Arial" w:eastAsia="Arial" w:hAnsi="Arial"/>
          <w:sz w:val="24"/>
          <w:szCs w:val="24"/>
        </w:rPr>
        <w:t xml:space="preserve">7. Snoek KG, Reiss IKM, Greenough A, et al. Standardized Postnatal Management of Infants With CDH in Europe: The CDH EURO Consortium Consensus. Neonatology. 2016;110(1):66-74.</w:t>
      </w:r>
    </w:p>
    <w:p>
      <w:pPr>
        <w:spacing w:after="120"/>
      </w:pPr>
      <w:r>
        <w:rPr>
          <w:rFonts w:ascii="Arial" w:cs="Arial" w:eastAsia="Arial" w:hAnsi="Arial"/>
          <w:sz w:val="24"/>
          <w:szCs w:val="24"/>
        </w:rPr>
        <w:t xml:space="preserve">8. Committee on Fetus and Newborn, AAP. Respiratory Support in Preterm Infants at Birth. Pediatrics. 2014;133(1):171-174.</w:t>
      </w:r>
    </w:p>
    <w:p>
      <w:pPr>
        <w:spacing w:after="120"/>
      </w:pPr>
      <w:r>
        <w:rPr>
          <w:rFonts w:ascii="Arial" w:cs="Arial" w:eastAsia="Arial" w:hAnsi="Arial"/>
          <w:sz w:val="24"/>
          <w:szCs w:val="24"/>
        </w:rPr>
        <w:t xml:space="preserve">9. Foglia EE, Jensen EA, Kirpalani H. Delivery Room Interventions to Prevent Bronchopulmonary Dysplasia. J Perinatol. 2017;37(11):1171-1179.</w:t>
      </w:r>
    </w:p>
    <w:p>
      <w:pPr>
        <w:spacing w:after="120"/>
      </w:pPr>
      <w:r>
        <w:rPr>
          <w:rFonts w:ascii="Arial" w:cs="Arial" w:eastAsia="Arial" w:hAnsi="Arial"/>
          <w:sz w:val="24"/>
          <w:szCs w:val="24"/>
        </w:rPr>
        <w:t xml:space="preserve">10. Kumar VHS. Current Concepts in the Management of CDH in Infants. Indian J Surg. 2015;77(4):313-321.</w:t>
      </w:r>
    </w:p>
    <w:p>
      <w:pPr>
        <w:spacing w:after="120"/>
      </w:pPr>
      <w:r>
        <w:rPr>
          <w:rFonts w:ascii="Arial" w:cs="Arial" w:eastAsia="Arial" w:hAnsi="Arial"/>
          <w:sz w:val="24"/>
          <w:szCs w:val="24"/>
        </w:rPr>
        <w:t xml:space="preserve">11. Stoll BJ, Hansen NI, Bell EF, et al. Trends in Care Practices, Morbidity, and Mortality of Extremely Preterm Neonates. JAMA. 2015;314(10):1039-1051.</w:t>
      </w:r>
    </w:p>
    <w:p>
      <w:pPr>
        <w:spacing w:after="120"/>
      </w:pPr>
      <w:r>
        <w:rPr>
          <w:rFonts w:ascii="Arial" w:cs="Arial" w:eastAsia="Arial" w:hAnsi="Arial"/>
          <w:sz w:val="24"/>
          <w:szCs w:val="24"/>
        </w:rPr>
        <w:t xml:space="preserve">12. Baudat-Nguyen J, Schneider J, et al. Incidence and Management of Neonatal Pneumothorax. Am J Perinatol. 2024;41(S01):e3305-e3312.</w:t>
      </w:r>
    </w:p>
    <w:p>
      <w:pPr>
        <w:spacing w:after="120"/>
      </w:pPr>
      <w:r>
        <w:rPr>
          <w:rFonts w:ascii="Arial" w:cs="Arial" w:eastAsia="Arial" w:hAnsi="Arial"/>
          <w:sz w:val="24"/>
          <w:szCs w:val="24"/>
        </w:rPr>
        <w:t xml:space="preserve">13. Dargaville PA, Copnell B; Australian and New Zealand Neonatal Network. The Epidemiology of MAS: Incidence, Risk Factors, Therapies, and Outcome. J Pediatr. 2006;148(1):7-13.</w:t>
      </w:r>
    </w:p>
    <w:p>
      <w:pPr>
        <w:spacing w:after="120"/>
      </w:pPr>
      <w:r>
        <w:rPr>
          <w:rFonts w:ascii="Arial" w:cs="Arial" w:eastAsia="Arial" w:hAnsi="Arial"/>
          <w:sz w:val="24"/>
          <w:szCs w:val="24"/>
        </w:rPr>
        <w:t xml:space="preserve">14. Lakshminrusimha S, Keszler M. Persistent Pulmonary Hypertension of the Newborn. NeoReviews. 2015;16(12):e680-e692.</w:t>
      </w:r>
    </w:p>
    <w:p>
      <w:pPr>
        <w:spacing w:after="120"/>
      </w:pPr>
      <w:r>
        <w:rPr>
          <w:rFonts w:ascii="Arial" w:cs="Arial" w:eastAsia="Arial" w:hAnsi="Arial"/>
          <w:sz w:val="24"/>
          <w:szCs w:val="24"/>
        </w:rPr>
        <w:t xml:space="preserve">15. STABLE Program, 7th Ed. Postresuscitation/Pretransport Stabilization Care of Sick Infants. 2024.</w:t>
      </w:r>
    </w:p>
    <w:p>
      <w:pPr>
        <w:spacing w:after="120"/>
      </w:pPr>
      <w:r>
        <w:rPr>
          <w:rFonts w:ascii="Arial" w:cs="Arial" w:eastAsia="Arial" w:hAnsi="Arial"/>
          <w:sz w:val="24"/>
          <w:szCs w:val="24"/>
        </w:rPr>
        <w:t xml:space="preserve">16. Verder H, Albertsen P, Ebbesen F, et al. Nasal CPAP and Surfactant for Treatment of RDS and Prevention of BPD. Acta Paediatr. 1999;88(10):1127-1132.</w:t>
      </w:r>
    </w:p>
    <w:p>
      <w:pPr>
        <w:spacing w:after="120"/>
      </w:pPr>
      <w:r>
        <w:rPr>
          <w:rFonts w:ascii="Arial" w:cs="Arial" w:eastAsia="Arial" w:hAnsi="Arial"/>
          <w:sz w:val="24"/>
          <w:szCs w:val="24"/>
        </w:rPr>
        <w:t xml:space="preserve">17. Polin RA, Carlo WA; Committee on Fetus and Newborn, AAP. Surfactant Replacement Therapy for Preterm and Term Neonates With Respiratory Distress. Pediatrics. 2014;133(1):156-163.</w:t>
      </w:r>
    </w:p>
    <w:p>
      <w:pPr>
        <w:spacing w:after="120"/>
      </w:pPr>
      <w:r>
        <w:rPr>
          <w:rFonts w:ascii="Arial" w:cs="Arial" w:eastAsia="Arial" w:hAnsi="Arial"/>
          <w:sz w:val="24"/>
          <w:szCs w:val="24"/>
        </w:rPr>
        <w:t xml:space="preserve">18. Roberts AG, Younge N, Greenberg RG. Neonatal NEC: Update. Paediatr Drugs. 2024;26(3):259-275.</w:t>
      </w:r>
    </w:p>
    <w:p>
      <w:pPr>
        <w:spacing w:after="120"/>
      </w:pPr>
      <w:r>
        <w:rPr>
          <w:rFonts w:ascii="Arial" w:cs="Arial" w:eastAsia="Arial" w:hAnsi="Arial"/>
          <w:sz w:val="24"/>
          <w:szCs w:val="24"/>
        </w:rPr>
        <w:t xml:space="preserve">19. Neonatal Respiratory Distress Syndrome. StatPearls. Updated 2025. NCBI Bookshelf NBK560779.</w:t>
      </w:r>
    </w:p>
    <w:p>
      <w:pPr>
        <w:spacing w:after="120"/>
      </w:pPr>
      <w:r>
        <w:rPr>
          <w:rFonts w:ascii="Arial" w:cs="Arial" w:eastAsia="Arial" w:hAnsi="Arial"/>
          <w:sz w:val="24"/>
          <w:szCs w:val="24"/>
        </w:rPr>
        <w:t xml:space="preserve">20. Merck Manual Professional: Respiratory Support in Neonates and Infants. Updated 2024.</w:t>
      </w:r>
    </w:p>
    <w:p>
      <w:pPr>
        <w:spacing w:after="120"/>
      </w:pPr>
      <w:r>
        <w:rPr>
          <w:rFonts w:ascii="Arial" w:cs="Arial" w:eastAsia="Arial" w:hAnsi="Arial"/>
          <w:sz w:val="24"/>
          <w:szCs w:val="24"/>
        </w:rPr>
        <w:t xml:space="preserve">21. Bubble CPAP in Infants. StatPearls. Updated 2025. NCBI Bookshelf NBK613282.</w:t>
      </w:r>
    </w:p>
    <w:p>
      <w:pPr>
        <w:spacing w:after="120"/>
      </w:pPr>
      <w:r>
        <w:rPr>
          <w:rFonts w:ascii="Arial" w:cs="Arial" w:eastAsia="Arial" w:hAnsi="Arial"/>
          <w:sz w:val="24"/>
          <w:szCs w:val="24"/>
        </w:rPr>
        <w:t xml:space="preserve">22. Chest Tube Insertion in the Neonate. StatPearls. Updated 2024. NCBI Bookshelf NBK604214.</w:t>
      </w:r>
    </w:p>
    <w:p>
      <w:pPr>
        <w:spacing w:after="120"/>
      </w:pPr>
      <w:r>
        <w:rPr>
          <w:rFonts w:ascii="Arial" w:cs="Arial" w:eastAsia="Arial" w:hAnsi="Arial"/>
          <w:sz w:val="24"/>
          <w:szCs w:val="24"/>
        </w:rPr>
        <w:t xml:space="preserve">23. Liu J, et al. Ultrasound Diagnosis and Grading Criteria of Neonatal RDS. J Matern Fetal Neonatal Med. 2023;36(1):2206943.</w:t>
      </w:r>
    </w:p>
    <w:p>
      <w:pPr>
        <w:spacing w:after="120"/>
      </w:pPr>
      <w:r>
        <w:rPr>
          <w:rFonts w:ascii="Arial" w:cs="Arial" w:eastAsia="Arial" w:hAnsi="Arial"/>
          <w:sz w:val="24"/>
          <w:szCs w:val="24"/>
        </w:rPr>
        <w:t xml:space="preserve">24. Williams EE, Dassios T, Greenough A. Respiratory Support of CDH Infants. Front Pediatr. 2021;9:808317.</w:t>
      </w:r>
    </w:p>
    <w:p>
      <w:pPr>
        <w:spacing w:after="120"/>
      </w:pPr>
      <w:r>
        <w:rPr>
          <w:rFonts w:ascii="Arial" w:cs="Arial" w:eastAsia="Arial" w:hAnsi="Arial"/>
          <w:sz w:val="24"/>
          <w:szCs w:val="24"/>
        </w:rPr>
        <w:t xml:space="preserve">25. Delphi Consensus: Management of RDS in Moderate/Late Preterm Neonates. An Pediatr. 2024. doi:10.1016/j.anpede.2024.10.007</w:t>
      </w:r>
    </w:p>
    <w:p>
      <w:r>
        <w:br w:type="page"/>
      </w:r>
    </w:p>
    <w:p>
      <w:pPr>
        <w:pStyle w:val="Heading1"/>
      </w:pPr>
      <w:r>
        <w:t xml:space="preserve">Appendices</w:t>
      </w:r>
    </w:p>
    <w:p>
      <w:pPr>
        <w:pStyle w:val="Heading2"/>
      </w:pPr>
      <w:r>
        <w:t xml:space="preserve">Appendix A: CPAP Settings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Starting pressure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 cm H2O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at 5-6 for TTN; 6-8 for 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FiO2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at 0.21-0.30, titrate to target SpO2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Wean FiO2 before weaning CPAP pressure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Flow rate (bubble CPAP)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6-10 LPM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for bubble system to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Nasal prongs or nasal mask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Size appropriately; check for nasal septal injury q shift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tube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Always place to prevent gastric distension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Put to low intermittent suction or vent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Escalation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FiO2 &gt; 0.40-0.50 on CPAP 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Consider surfactant (if RDS) or transfer</w:t>
            </w:r>
          </w:p>
        </w:tc>
      </w:tr>
    </w:tbl>
    <w:p>
      <w:pPr>
        <w:spacing w:after="120"/>
      </w:pPr>
      <w:r>
        <w:rPr>
          <w:rFonts w:ascii="Arial" w:cs="Arial" w:eastAsia="Arial" w:hAnsi="Arial"/>
          <w:sz w:val="24"/>
          <w:szCs w:val="24"/>
        </w:rPr>
        <w:t xml:space="preserve">Table A1. CPAP quick reference for Level II nursery.</w:t>
      </w:r>
    </w:p>
    <w:p>
      <w:pPr>
        <w:pStyle w:val="Heading2"/>
      </w:pPr>
      <w:r>
        <w:t xml:space="preserve">Appendix B: Needle Decompression for Tension Pneumothorax</w:t>
      </w:r>
    </w:p>
    <w:p>
      <w:pPr>
        <w:spacing w:after="120"/>
      </w:pPr>
      <w:r>
        <w:rPr>
          <w:rFonts w:ascii="Arial" w:cs="Arial" w:eastAsia="Arial" w:hAnsi="Arial"/>
          <w:sz w:val="24"/>
          <w:szCs w:val="24"/>
        </w:rPr>
        <w:t xml:space="preserve">Equipment: 22-24 gauge angiocatheter, 10 mL syringe, antiseptic. Site: 2nd intercostal space, midclavicular line (anterior) OR 4th intercostal space, anterior axillary line (lateral). Technique: Prep skin with antiseptic, advance angiocatheter perpendicular to chest wall just above the rib (to avoid intercostal neurovascular bundle below each rib), advance until a rush of air is aspirated into the syringe, remove the needle and leave the catheter in place, secure the catheter and obtain chest radiograph, contact NICU for definitive chest tube placement and transfer.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Pulmonary Disorders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2026-03-19T01:24:49.836Z</dcterms:created>
  <dcterms:modified xsi:type="dcterms:W3CDTF">2026-03-19T01:24:49.836Z</dcterms:modified>
</cp:coreProperties>
</file>

<file path=docProps/custom.xml><?xml version="1.0" encoding="utf-8"?>
<Properties xmlns="http://schemas.openxmlformats.org/officeDocument/2006/custom-properties" xmlns:vt="http://schemas.openxmlformats.org/officeDocument/2006/docPropsVTypes"/>
</file>