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Arial" w:cs="Arial" w:eastAsia="Arial" w:hAnsi="Arial"/>
          <w:b/>
          <w:bCs/>
          <w:color w:val="1F3864"/>
          <w:sz w:val="56"/>
          <w:szCs w:val="56"/>
        </w:rPr>
        <w:t xml:space="preserve">Neonatal Skin Disorders</w:t>
      </w:r>
    </w:p>
    <w:p>
      <w:pPr>
        <w:spacing w:after="200"/>
        <w:jc w:val="center"/>
      </w:pPr>
      <w:r>
        <w:rPr>
          <w:rFonts w:ascii="Arial" w:cs="Arial" w:eastAsia="Arial" w:hAnsi="Arial"/>
          <w:color w:val="2E75B6"/>
          <w:sz w:val="32"/>
          <w:szCs w:val="32"/>
        </w:rPr>
        <w:t xml:space="preserve">A Comprehensive Guide for Rural Nursery Providers</w:t>
      </w:r>
    </w:p>
    <w:p>
      <w:pPr>
        <w:spacing w:after="200"/>
        <w:jc w:val="center"/>
      </w:pPr>
      <w:r>
        <w:rPr>
          <w:rFonts w:ascii="Arial" w:cs="Arial" w:eastAsia="Arial" w:hAnsi="Arial"/>
          <w:color w:val="404040"/>
          <w:sz w:val="28"/>
          <w:szCs w:val="28"/>
        </w:rPr>
        <w:t xml:space="preserve">Level I and Level II/II+ Nursery Education Series</w:t>
      </w:r>
    </w:p>
    <w:p>
      <w:pPr>
        <w:spacing w:after="200"/>
        <w:jc w:val="center"/>
      </w:pPr>
      <w:r>
        <w:rPr>
          <w:rFonts w:ascii="Arial" w:cs="Arial" w:eastAsia="Arial" w:hAnsi="Arial"/>
          <w:color w:val="404040"/>
          <w:sz w:val="24"/>
          <w:szCs w:val="24"/>
        </w:rPr>
        <w:t xml:space="preserve">For the Pediatric Emergency Medicine CDS Project</w:t>
      </w:r>
    </w:p>
    <w:p>
      <w:pPr>
        <w:spacing w:after="400"/>
        <w:jc w:val="center"/>
      </w:pPr>
      <w:r>
        <w:rPr>
          <w:rFonts w:ascii="Arial" w:cs="Arial" w:eastAsia="Arial" w:hAnsi="Arial"/>
          <w:color w:val="808080"/>
          <w:sz w:val="24"/>
          <w:szCs w:val="24"/>
        </w:rPr>
        <w:t xml:space="preserve">Date: March 19, 2026</w:t>
      </w:r>
    </w:p>
    <w:p>
      <w:r>
        <w:br w:type="page"/>
      </w:r>
    </w:p>
    <w:p>
      <w:pPr>
        <w:pStyle w:val="Heading1"/>
      </w:pPr>
      <w:r>
        <w:t xml:space="preserve">Table of Contents</w:t>
      </w:r>
    </w:p>
    <w:sdt>
      <w:sdtPr>
        <w:alias w:val="TOC"/>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Chapter 1: Introduction and Neonatal Skin Physiology</w:t>
      </w:r>
    </w:p>
    <w:p>
      <w:pPr>
        <w:pStyle w:val="Heading2"/>
      </w:pPr>
      <w:r>
        <w:t xml:space="preserve">1.1 The Neonatal Skin as an Organ System</w:t>
      </w:r>
    </w:p>
    <w:p>
      <w:pPr>
        <w:spacing w:after="120"/>
      </w:pPr>
      <w:r>
        <w:rPr>
          <w:rFonts w:ascii="Arial" w:cs="Arial" w:eastAsia="Arial" w:hAnsi="Arial"/>
          <w:sz w:val="24"/>
          <w:szCs w:val="24"/>
        </w:rPr>
        <w:t xml:space="preserve">The skin is the largest organ of the body and is particularly important in the newborn period because of its multiple critical functions: thermoregulation, barrier protection against infection and water loss, sensory input, and immune surveillance. Neonatal skin differs significantly from adult skin in several ways that directly impact clinical management. The stratum corneum (the outermost protective layer of the epidermis) is thinner in neonates, particularly in preterm infants, where it does not fully mature until approximately 32 to 34 weeks of gestation. In extremely preterm infants (less than 28 weeks), the skin is essentially transparent, gelatinous, and provides minimal barrier function, leading to massive transepidermal water loss (TEWL), temperature instability, and vulnerability to infection and chemical injury.</w:t>
      </w:r>
    </w:p>
    <w:p>
      <w:pPr>
        <w:spacing w:after="120"/>
      </w:pPr>
      <w:r>
        <w:rPr>
          <w:rFonts w:ascii="Arial" w:cs="Arial" w:eastAsia="Arial" w:hAnsi="Arial"/>
          <w:sz w:val="24"/>
          <w:szCs w:val="24"/>
        </w:rPr>
        <w:t xml:space="preserve">The dermal-epidermal junction is less well-developed in neonates, meaning the epidermis is more easily separated from the dermis by shear forces (e.g., adhesive removal), leading to skin stripping injuries. The pH of neonatal skin is higher at birth (approximately 6.5 to 7.0) and gradually acidifies over the first 2 to 4 weeks to the adult level of approximately 5.5 (the acid mantle), which provides antimicrobial protection. Skin colonization with normal flora (primarily coagulase-negative staphylococci) begins within hours of birth and is influenced by delivery mode (vaginal versus cesarean), contact with caregivers, and environmental factors.</w:t>
      </w:r>
    </w:p>
    <w:p>
      <w:pPr>
        <w:pStyle w:val="Heading2"/>
      </w:pPr>
      <w:r>
        <w:t xml:space="preserve">1.2 The Clinical Approach to Neonatal Skin Findings</w:t>
      </w:r>
    </w:p>
    <w:p>
      <w:pPr>
        <w:spacing w:after="120"/>
      </w:pPr>
      <w:r>
        <w:rPr>
          <w:rFonts w:ascii="Arial" w:cs="Arial" w:eastAsia="Arial" w:hAnsi="Arial"/>
          <w:sz w:val="24"/>
          <w:szCs w:val="24"/>
        </w:rPr>
        <w:t xml:space="preserve">Skin findings in neonates are extremely common, with studies showing that over 90 percent of newborns have at least one identifiable skin finding during the first few days of life. The vast majority are benign and self-limited. However, the critical clinical skill is distinguishing the common benign findings from the uncommon but potentially life-threatening conditions. The systematic approach includes: (1) timing of onset (present at birth versus developing after birth), (2) morphology (macule, papule, vesicle, pustule, plaque, nodule), (3) distribution (localized versus generalized, sparing of palms/soles), (4) associated systemic signs (fever, poor feeding, lethargy, hepatosplenomegaly), and (5) the clinical appearance of the infant (well-appearing versus ill-appearing). An ill-appearing neonate with skin vesicles or pustules warrants immediate evaluation for infection (HSV, bacterial, Candida). A well-appearing neonate with a rash is overwhelmingly likely to have a benign condition.</w:t>
      </w:r>
    </w:p>
    <w:p>
      <w:r>
        <w:br w:type="page"/>
      </w:r>
    </w:p>
    <w:p>
      <w:pPr>
        <w:pStyle w:val="Heading1"/>
      </w:pPr>
      <w:r>
        <w:t xml:space="preserve">Chapter 2: Benign Transient Skin Conditions</w:t>
      </w:r>
    </w:p>
    <w:p>
      <w:pPr>
        <w:pStyle w:val="Heading2"/>
      </w:pPr>
      <w:r>
        <w:t xml:space="preserve">2.1 Erythema Toxicum Neonatorum (ETN)</w:t>
      </w:r>
    </w:p>
    <w:p>
      <w:pPr>
        <w:spacing w:after="120"/>
      </w:pPr>
      <w:r>
        <w:rPr>
          <w:rFonts w:ascii="Arial" w:cs="Arial" w:eastAsia="Arial" w:hAnsi="Arial"/>
          <w:sz w:val="24"/>
          <w:szCs w:val="24"/>
        </w:rPr>
        <w:t xml:space="preserve">ETN is the single most common skin eruption in newborns, affecting 30 to 70 percent of term neonates. Despite its alarming name, it is completely benign and self-limited. ETN presents on day 1 to 3 of life (though it can appear at birth or as late as 2 weeks) as erythematous macules, papules, and pustules, each with a characteristic surrounding flare of erythema, giving the classic flea-bitten appearance. Lesions favor the face, trunk, and proximal extremities. Critically, ETN spares the palms and soles. It is more common in term infants and is rare in preterm infants less than 30 weeks. The etiology remains unknown but is thought to relate to an immune activation response involving eosinophils. Diagnosis is clinical. If confirmation is needed, a Wright or Giemsa stain of pustule contents shows abundant eosinophils (no bacteria, no multinucleated giant cells). No treatment is required; lesions resolve spontaneously within 5 to 14 days. Reassure parents.</w:t>
      </w:r>
    </w:p>
    <w:p>
      <w:pPr>
        <w:pStyle w:val="Heading2"/>
      </w:pPr>
      <w:r>
        <w:t xml:space="preserve">2.2 Transient Neonatal Pustular Melanosis (TNPM)</w:t>
      </w:r>
    </w:p>
    <w:p>
      <w:pPr>
        <w:spacing w:after="120"/>
      </w:pPr>
      <w:r>
        <w:rPr>
          <w:rFonts w:ascii="Arial" w:cs="Arial" w:eastAsia="Arial" w:hAnsi="Arial"/>
          <w:sz w:val="24"/>
          <w:szCs w:val="24"/>
        </w:rPr>
        <w:t xml:space="preserve">TNPM occurs in approximately 5 percent of Black newborns and less than 1 percent of White newborns. Unlike ETN, TNPM is typically present at birth. The characteristic evolution occurs in three stages: (1) superficial vesicopustules that rupture easily (often ruptured before the clinician sees them), leaving (2) a collarette of fine white scale surrounding (3) a hyperpigmented macule that persists for weeks to months before fading. All body surfaces may be affected, INCLUDING the palms and soles (distinguishing it from ETN). The infant is well-appearing. Wright stain of pustule contents shows neutrophils (not eosinophils as in ETN) and occasional eosinophils, but no organisms. No treatment is needed. The hyperpigmented macules may persist for up to 3 months but eventually fade completely.</w:t>
      </w:r>
    </w:p>
    <w:p>
      <w:pPr>
        <w:pStyle w:val="Heading2"/>
      </w:pPr>
      <w:r>
        <w:t xml:space="preserve">2.3 Milia</w:t>
      </w:r>
    </w:p>
    <w:p>
      <w:pPr>
        <w:spacing w:after="120"/>
      </w:pPr>
      <w:r>
        <w:rPr>
          <w:rFonts w:ascii="Arial" w:cs="Arial" w:eastAsia="Arial" w:hAnsi="Arial"/>
          <w:sz w:val="24"/>
          <w:szCs w:val="24"/>
        </w:rPr>
        <w:t xml:space="preserve">Milia are tiny (1 to 2 mm), pearly white or yellow papules caused by retention of keratin within the epidermis. They occur in approximately 40 to 50 percent of newborns and are most common on the nose, cheeks, forehead, and chin. They may also occur on the palate (Epstein pearls) or gingiva (Bohn nodules). Milia are present at birth and resolve spontaneously within 1 to 2 months as the keratin is expelled through normal skin turnover. No treatment is needed. Parents should be advised not to squeeze or manipulate the lesions.</w:t>
      </w:r>
    </w:p>
    <w:p>
      <w:pPr>
        <w:pStyle w:val="Heading2"/>
      </w:pPr>
      <w:r>
        <w:t xml:space="preserve">2.4 Miliaria</w:t>
      </w:r>
    </w:p>
    <w:p>
      <w:pPr>
        <w:spacing w:after="120"/>
      </w:pPr>
      <w:r>
        <w:rPr>
          <w:rFonts w:ascii="Arial" w:cs="Arial" w:eastAsia="Arial" w:hAnsi="Arial"/>
          <w:sz w:val="24"/>
          <w:szCs w:val="24"/>
        </w:rPr>
        <w:t xml:space="preserve">Miliaria (heat rash or prickly heat) results from obstruction of eccrine sweat glands, leading to sweat retention in the skin. It affects up to 40 percent of neonates and occurs when infants are overdressed, overheated, or febrile. Two forms are common in neonates: miliaria crystallina (obstruction at the level of the stratum corneum, producing tiny, superficial, clear vesicles without surrounding erythema that rupture easily) and miliaria rubra (obstruction at a deeper level, producing small erythematous papules and vesicles in skin-fold areas, trunk, and clothed regions). Treatment is avoidance of overheating: remove excess clothing, lower environmental temperature, and allow the skin to breathe. Miliaria resolves within days once the heat stimulus is removed.</w:t>
      </w:r>
    </w:p>
    <w:p>
      <w:pPr>
        <w:pStyle w:val="Heading2"/>
      </w:pPr>
      <w:r>
        <w:t xml:space="preserve">2.5 Neonatal Acne (Neonatal Cephalic Pustulosis)</w:t>
      </w:r>
    </w:p>
    <w:p>
      <w:pPr>
        <w:spacing w:after="120"/>
      </w:pPr>
      <w:r>
        <w:rPr>
          <w:rFonts w:ascii="Arial" w:cs="Arial" w:eastAsia="Arial" w:hAnsi="Arial"/>
          <w:sz w:val="24"/>
          <w:szCs w:val="24"/>
        </w:rPr>
        <w:t xml:space="preserve">Neonatal acne affects approximately 20 to 30 percent of newborns and presents at 2 to 4 weeks of life as small erythematous papules and pustules on the cheeks, forehead, nose, and chin. It is now thought to be primarily caused by colonization with Malassezia species (yeast) rather than true acne vulgaris, and the preferred term is neonatal cephalic pustulosis. The condition results from maternal androgen transfer in late pregnancy, which stimulates sebaceous gland activity. No treatment is typically needed; lesions resolve by 1 to 3 months. For severe or persistent cases, topical ketoconazole cream (for Malassezia) or 2.5 percent benzoyl peroxide lotion may be considered. Severe neonatal acne accompanied by virilization warrants evaluation for congenital adrenal hyperplasia.</w:t>
      </w:r>
    </w:p>
    <w:p>
      <w:pPr>
        <w:pStyle w:val="Heading2"/>
      </w:pPr>
      <w:r>
        <w:t xml:space="preserve">2.6 Sebaceous Hyperplasia</w:t>
      </w:r>
    </w:p>
    <w:p>
      <w:pPr>
        <w:spacing w:after="120"/>
      </w:pPr>
      <w:r>
        <w:rPr>
          <w:rFonts w:ascii="Arial" w:cs="Arial" w:eastAsia="Arial" w:hAnsi="Arial"/>
          <w:sz w:val="24"/>
          <w:szCs w:val="24"/>
        </w:rPr>
        <w:t xml:space="preserve">Sebaceous hyperplasia appears as tiny yellowish papules on the nose, cheeks, and upper lip, caused by maternal androgen stimulation of sebaceous glands in utero. It is present at birth and affects approximately 50 percent of newborns. The papules are smaller and more yellow than milia. No treatment is needed; they resolve within the first few weeks of life as maternal hormones decline.</w:t>
      </w:r>
    </w:p>
    <w:p>
      <w:pPr>
        <w:pStyle w:val="Heading2"/>
      </w:pPr>
      <w:r>
        <w:t xml:space="preserve">2.7 Seborrheic Dermatitis (Cradle Cap)</w:t>
      </w:r>
    </w:p>
    <w:p>
      <w:pPr>
        <w:spacing w:after="120"/>
      </w:pPr>
      <w:r>
        <w:rPr>
          <w:rFonts w:ascii="Arial" w:cs="Arial" w:eastAsia="Arial" w:hAnsi="Arial"/>
          <w:sz w:val="24"/>
          <w:szCs w:val="24"/>
        </w:rPr>
        <w:t xml:space="preserve">Seborrheic dermatitis presents as thick, greasy, yellowish scales on the scalp (cradle cap), face, and skin folds. It typically appears at 2 to 6 weeks of life and can persist for several months. The condition is thought to relate to Malassezia colonization of sebaceous-rich skin. It is self-limited and benign. Treatment includes gentle removal of scales with mineral oil or petroleum jelly applied before bathing, followed by gentle brushing. For persistent cases, low-potency topical steroids (hydrocortisone 1 percent) or topical ketoconazole cream may be used. Seborrheic dermatitis should be distinguished from atopic dermatitis: seborrheic dermatitis is non-pruritic, involves the scalp prominently, and is found in skin folds (flexural distribution), while atopic dermatitis is intensely pruritic, typically appears after 3 months of age, and favors the cheeks and extensor surfaces in infants.</w:t>
      </w:r>
    </w:p>
    <w:p>
      <w:pPr>
        <w:pStyle w:val="Heading2"/>
      </w:pPr>
      <w:r>
        <w:t xml:space="preserve">2.8 Harlequin Color Change</w:t>
      </w:r>
    </w:p>
    <w:p>
      <w:pPr>
        <w:spacing w:after="120"/>
      </w:pPr>
      <w:r>
        <w:rPr>
          <w:rFonts w:ascii="Arial" w:cs="Arial" w:eastAsia="Arial" w:hAnsi="Arial"/>
          <w:sz w:val="24"/>
          <w:szCs w:val="24"/>
        </w:rPr>
        <w:t xml:space="preserve">Harlequin color change is a striking but completely benign phenomenon in which one half of the neonate's body turns deep red while the other half remains pale, with a sharp midline demarcation. It occurs in up to 10 percent of neonates, typically in the first week of life, and lasts seconds to minutes. It is caused by transient vasomotor instability and resolves spontaneously. No treatment or further evaluation is needed.</w:t>
      </w:r>
    </w:p>
    <w:p>
      <w:pPr>
        <w:pStyle w:val="Heading2"/>
      </w:pPr>
      <w:r>
        <w:t xml:space="preserve">2.9 Cutis Marmorata</w:t>
      </w:r>
    </w:p>
    <w:p>
      <w:pPr>
        <w:spacing w:after="120"/>
      </w:pPr>
      <w:r>
        <w:rPr>
          <w:rFonts w:ascii="Arial" w:cs="Arial" w:eastAsia="Arial" w:hAnsi="Arial"/>
          <w:sz w:val="24"/>
          <w:szCs w:val="24"/>
        </w:rPr>
        <w:t xml:space="preserve">Cutis marmorata is a physiologic reticulated (net-like) mottling pattern of the skin that occurs in response to cold exposure or vasomotor instability. It is extremely common in neonates and is a normal response. It resolves with rewarming. Persistent cutis marmorata that does not resolve with warming (cutis marmorata telangiectatica congenita, CMTC) is a distinct and rare vascular anomaly that warrants dermatology referral and evaluation for associated anomalies.</w:t>
      </w:r>
    </w:p>
    <w:p>
      <w:pPr>
        <w:pStyle w:val="Heading2"/>
      </w:pPr>
      <w:r>
        <w:t xml:space="preserve">2.10 Physiologic Desquamation</w:t>
      </w:r>
    </w:p>
    <w:p>
      <w:pPr>
        <w:spacing w:after="120"/>
      </w:pPr>
      <w:r>
        <w:rPr>
          <w:rFonts w:ascii="Arial" w:cs="Arial" w:eastAsia="Arial" w:hAnsi="Arial"/>
          <w:sz w:val="24"/>
          <w:szCs w:val="24"/>
        </w:rPr>
        <w:t xml:space="preserve">Peeling or flaking skin in the first 1 to 2 weeks of life is extremely common, especially in post-term infants (greater than 42 weeks). The degree of peeling correlates with gestational age, with post-term infants showing the most dramatic desquamation. It is a normal process as the stratum corneum adapts to the extrauterine environment. No treatment other than standard skin moisturization is needed. The skin underneath the peeling is healthy.</w:t>
      </w:r>
    </w:p>
    <w:p>
      <w:r>
        <w:br w:type="page"/>
      </w:r>
    </w:p>
    <w:p>
      <w:pPr>
        <w:pStyle w:val="Heading1"/>
      </w:pPr>
      <w:r>
        <w:t xml:space="preserve">Chapter 3: Birthmarks and Pigmentary Findings</w:t>
      </w:r>
    </w:p>
    <w:p>
      <w:pPr>
        <w:pStyle w:val="Heading2"/>
      </w:pPr>
      <w:r>
        <w:t xml:space="preserve">3.1 Dermal Melanocytosis (Mongolian Spots)</w:t>
      </w:r>
    </w:p>
    <w:p>
      <w:pPr>
        <w:spacing w:after="120"/>
      </w:pPr>
      <w:r>
        <w:rPr>
          <w:rFonts w:ascii="Arial" w:cs="Arial" w:eastAsia="Arial" w:hAnsi="Arial"/>
          <w:sz w:val="24"/>
          <w:szCs w:val="24"/>
        </w:rPr>
        <w:t xml:space="preserve">Dermal melanocytosis (formerly called Mongolian spots) are blue-gray or blue-green flat patches caused by melanocytes trapped in the dermis during embryologic migration from the neural crest to the epidermis. They are present at birth and are most common on the lumbosacral area and buttocks, though they may occur anywhere on the body. Prevalence varies by race: over 90 percent of Black, Asian, Hispanic, and Native American infants; approximately 10 percent of White infants (particularly those of Mediterranean descent). They are completely benign, do not transform into melanoma, and most fade significantly by school age, though some persist into adulthood.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60"/>
            </w:pPr>
            <w:r>
              <w:rPr>
                <w:rFonts w:ascii="Arial" w:cs="Arial" w:eastAsia="Arial" w:hAnsi="Arial"/>
                <w:b/>
                <w:bCs/>
                <w:color w:val="BF6900"/>
                <w:sz w:val="24"/>
                <w:szCs w:val="24"/>
              </w:rPr>
              <w:t xml:space="preserve">CRITICAL POINT</w:t>
            </w:r>
          </w:p>
          <w:p>
            <w:pPr>
              <w:spacing w:after="120"/>
            </w:pPr>
            <w:r>
              <w:rPr>
                <w:rFonts w:ascii="Arial" w:cs="Arial" w:eastAsia="Arial" w:hAnsi="Arial"/>
                <w:sz w:val="24"/>
                <w:szCs w:val="24"/>
              </w:rPr>
              <w:t xml:space="preserve">Document all dermal melanocytosis (Mongolian spots) in the medical record, including location, size, and color. In atypical locations (extremities, face), they can be mistaken for bruises and raise false concerns for non-accidental trauma. Thorough documentation at birth protects both the family and the provider.</w:t>
            </w:r>
          </w:p>
        </w:tc>
      </w:tr>
    </w:tbl>
    <w:p>
      <w:pPr>
        <w:pStyle w:val="Heading2"/>
      </w:pPr>
      <w:r>
        <w:t xml:space="preserve">3.2 Salmon Patches (Stork Bites, Angel Kisses)</w:t>
      </w:r>
    </w:p>
    <w:p>
      <w:pPr>
        <w:spacing w:after="120"/>
      </w:pPr>
      <w:r>
        <w:rPr>
          <w:rFonts w:ascii="Arial" w:cs="Arial" w:eastAsia="Arial" w:hAnsi="Arial"/>
          <w:sz w:val="24"/>
          <w:szCs w:val="24"/>
        </w:rPr>
        <w:t xml:space="preserve">Salmon patches (nevus simplex) are flat, pink-red capillary malformations that occur in 30 to 50 percent of neonates. The most common locations are the nape of the neck (stork bite, persists in approximately 50 percent of adults), glabella (angel kiss, between the eyebrows), eyelids, and upper lip. They are caused by persistent fetal dermal capillaries. Facial salmon patches typically fade by 1 to 2 years of age. Nuchal patches are more likely to persist. No treatment is needed. Salmon patches should be distinguished from port-wine stains (nevus flammeus), which are deeper red to purple, do not fade with time, and may be associated with underlying syndromes.</w:t>
      </w:r>
    </w:p>
    <w:p>
      <w:pPr>
        <w:pStyle w:val="Heading2"/>
      </w:pPr>
      <w:r>
        <w:t xml:space="preserve">3.3 Port-Wine Stain (Nevus Flammeus)</w:t>
      </w:r>
    </w:p>
    <w:p>
      <w:pPr>
        <w:spacing w:after="120"/>
      </w:pPr>
      <w:r>
        <w:rPr>
          <w:rFonts w:ascii="Arial" w:cs="Arial" w:eastAsia="Arial" w:hAnsi="Arial"/>
          <w:sz w:val="24"/>
          <w:szCs w:val="24"/>
        </w:rPr>
        <w:t xml:space="preserve">Port-wine stains are flat, well-demarcated, dark red to purple capillary malformations that are present at birth, do NOT lighten with time, and tend to deepen in color and develop a thickened, pebbly texture with age. They represent a permanent structural abnormality of dermal capillaries. Port-wine stains occur in approximately 0.3 percent of newborns. The critical clinical concern is the association with underlying syndromes, particularly Sturge-Weber syndrome when the port-wine stain involves the V1 (ophthalmic) distribution of the trigeminal nerve. Sturge-Weber syndrome includes ipsilateral leptomeningeal angiomatosis (causing seizures, intellectual disability, and hemiparesis) and glaucoma. Any port-wine stain involving the forehead, upper eyelid, or V1 distribution warrants ophthalmologic evaluation and consideration of brain MRI. Treatment of port-wine stains is pulsed dye laser therapy, ideally started in infancy for best results.</w:t>
      </w:r>
    </w:p>
    <w:p>
      <w:pPr>
        <w:pStyle w:val="Heading2"/>
      </w:pPr>
      <w:r>
        <w:t xml:space="preserve">3.4 Infantile Hemangiomas</w:t>
      </w:r>
    </w:p>
    <w:p>
      <w:pPr>
        <w:spacing w:after="120"/>
      </w:pPr>
      <w:r>
        <w:rPr>
          <w:rFonts w:ascii="Arial" w:cs="Arial" w:eastAsia="Arial" w:hAnsi="Arial"/>
          <w:sz w:val="24"/>
          <w:szCs w:val="24"/>
        </w:rPr>
        <w:t xml:space="preserve">Infantile hemangiomas are the most common benign tumor of infancy, occurring in approximately 4 to 5 percent of term infants and up to 10 to 12 percent of preterm infants less than 1500 grams. They have a characteristic natural history: they are typically NOT present at birth (or present only as a premonitory mark such as pallor, telangiectasia, or a red macule), undergo a rapid proliferative phase from 1 to 3 months, reaching maximum size by 5 to 9 months, followed by a slow involution phase over 3 to 10 years. Superficial hemangiomas are bright red, raised, and well-defined (strawberry hemangiomas). Deep hemangiomas are skin-colored or bluish subcutaneous nodules.</w:t>
      </w:r>
    </w:p>
    <w:p>
      <w:pPr>
        <w:spacing w:after="120"/>
      </w:pPr>
      <w:r>
        <w:rPr>
          <w:rFonts w:ascii="Arial" w:cs="Arial" w:eastAsia="Arial" w:hAnsi="Arial"/>
          <w:sz w:val="24"/>
          <w:szCs w:val="24"/>
        </w:rPr>
        <w:t xml:space="preserve">Most hemangiomas are uncomplicated and require only observation and parental reassurance. However, approximately 10 to 15 percent develop complications requiring treatment. Indications for referral and treatment include: periorbital hemangiomas threatening visual axis obstruction (risk of amblyopia), airway hemangiomas (subglottic location; suspect if cutaneous beard-distribution hemangioma is present), ulcerated hemangiomas (painful, risk of infection and scarring), large facial hemangiomas (disfigurement, PHACE syndrome evaluation), and hepatic hemangiomas (risk of high-output cardiac failure or consumptive hypothyroidism). The first-line treatment is oral propranolol (2 to 3 mg/kg/day divided BID or TID), which has revolutionized hemangioma management since its serendipitous discovery in 2008. Propranolol is generally well-tolerated but requires monitoring for hypoglycemia, bradycardia, and hypotension, particularly during initiation.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60"/>
            </w:pPr>
            <w:r>
              <w:rPr>
                <w:rFonts w:ascii="Arial" w:cs="Arial" w:eastAsia="Arial" w:hAnsi="Arial"/>
                <w:b/>
                <w:bCs/>
                <w:color w:val="BF6900"/>
                <w:sz w:val="24"/>
                <w:szCs w:val="24"/>
              </w:rPr>
              <w:t xml:space="preserve">CRITICAL POINT</w:t>
            </w:r>
          </w:p>
          <w:p>
            <w:pPr>
              <w:spacing w:after="120"/>
            </w:pPr>
            <w:r>
              <w:rPr>
                <w:rFonts w:ascii="Arial" w:cs="Arial" w:eastAsia="Arial" w:hAnsi="Arial"/>
                <w:sz w:val="24"/>
                <w:szCs w:val="24"/>
              </w:rPr>
              <w:t xml:space="preserve">Indications for URGENT referral for infantile hemangioma: periorbital (risk of amblyopia), beard distribution (risk of subglottic/airway hemangioma), large facial (PHACE syndrome), ulcerated, and hepatic. Oral propranolol is first-line treatment. Start treatment early (ideally before 5 months) during the proliferative phase for best outcomes.</w:t>
            </w:r>
          </w:p>
        </w:tc>
      </w:tr>
    </w:tbl>
    <w:p>
      <w:r>
        <w:br w:type="page"/>
      </w:r>
    </w:p>
    <w:p>
      <w:pPr>
        <w:pStyle w:val="Heading1"/>
      </w:pPr>
      <w:r>
        <w:t xml:space="preserve">Chapter 4: Infectious Skin Conditions</w:t>
      </w:r>
    </w:p>
    <w:p>
      <w:pPr>
        <w:pStyle w:val="Heading2"/>
      </w:pPr>
      <w:r>
        <w:t xml:space="preserve">4.1 Neonatal Herpes Simplex Virus (HSV)</w:t>
      </w:r>
    </w:p>
    <w:p>
      <w:pPr>
        <w:spacing w:after="120"/>
      </w:pPr>
      <w:r>
        <w:rPr>
          <w:rFonts w:ascii="Arial" w:cs="Arial" w:eastAsia="Arial" w:hAnsi="Arial"/>
          <w:sz w:val="24"/>
          <w:szCs w:val="24"/>
        </w:rPr>
        <w:t xml:space="preserve">Neonatal HSV is the most dangerous infectious skin condition in the newborn. Skin, eye, and mouth (SEM) disease presents with clusters of vesicles on an erythematous base, typically appearing at 1 to 2 weeks of life. However, SEM disease can progress to CNS disease or disseminated disease, both of which carry significant mortality and morbidity. Any neonate with vesicular lesions should be evaluated for HSV with Tzanck smear (multinucleated giant cells), HSV PCR of vesicle fluid, and HSV PCR of blood and CSF. Treatment with IV acyclovir (20 mg/kg every 8 hours) must be started empirically while awaiting results if HSV is suspected. Do NOT wait for test results to initiate treatment.</w:t>
      </w:r>
    </w:p>
    <w:p>
      <w:pPr>
        <w:pStyle w:val="Heading2"/>
      </w:pPr>
      <w:r>
        <w:t xml:space="preserve">4.2 Staphylococcal Skin Infections</w:t>
      </w:r>
    </w:p>
    <w:p>
      <w:pPr>
        <w:spacing w:after="120"/>
      </w:pPr>
      <w:r>
        <w:rPr>
          <w:rFonts w:ascii="Arial" w:cs="Arial" w:eastAsia="Arial" w:hAnsi="Arial"/>
          <w:sz w:val="24"/>
          <w:szCs w:val="24"/>
        </w:rPr>
        <w:t xml:space="preserve">Staphylococcus aureus (including MRSA) is the most common cause of neonatal bacterial skin infection. Presentations include: impetigo (superficial honey-crusted erosions or bullous lesions), pustulosis, paronychia, omphalitis (periumbilical erythema and purulent drainage, which can progress to necrotizing fasciitis and sepsis), and staphylococcal scalded skin syndrome (SSSS, caused by exfoliative toxin-producing S. aureus, presenting with diffuse tender erythema progressing to sheet-like desquamation). For localized impetigo: topical mupirocin. For more extensive infections: systemic antibiotics (parenteral for neonates). Omphalitis requires parenteral antibiotics (antistaphylococcal penicillin or vancomycin plus gentamicin) and surgical consultation if necrotizing fasciitis is suspected. SSSS requires parenteral antistaphylococcal antibiotics and supportive wound care.</w:t>
      </w:r>
    </w:p>
    <w:p>
      <w:pPr>
        <w:pStyle w:val="Heading2"/>
      </w:pPr>
      <w:r>
        <w:t xml:space="preserve">4.3 Candidal Skin Infections</w:t>
      </w:r>
    </w:p>
    <w:p>
      <w:pPr>
        <w:spacing w:after="120"/>
      </w:pPr>
      <w:r>
        <w:rPr>
          <w:rFonts w:ascii="Arial" w:cs="Arial" w:eastAsia="Arial" w:hAnsi="Arial"/>
          <w:sz w:val="24"/>
          <w:szCs w:val="24"/>
        </w:rPr>
        <w:t xml:space="preserve">Candidiasis in neonates presents in several forms: oral thrush (white adherent plaques on oral mucosa that do not wipe off easily), diaper dermatitis (beefy-red erythema with satellite lesions in the diaper area, often with involvement of skin folds), congenital cutaneous candidiasis (presents at birth or within 6 days with diffuse erythematous rash with papules and pustules, including palms and soles; usually self-limiting in term infants but can disseminate in preterm infants), and invasive candidiasis (systemic infection primarily in VLBW infants with central lines and prolonged antibiotic exposure). Treatment: oral thrush with nystatin oral suspension; diaper candidiasis with topical nystatin or clotrimazole cream; congenital cutaneous candidiasis in preterm infants requires systemic antifungal therapy (fluconazole or amphotericin B) due to risk of dissemination.</w:t>
      </w:r>
    </w:p>
    <w:p>
      <w:pPr>
        <w:pStyle w:val="Heading2"/>
      </w:pPr>
      <w:r>
        <w:t xml:space="preserve">4.4 Congenital Syphilis</w:t>
      </w:r>
    </w:p>
    <w:p>
      <w:pPr>
        <w:spacing w:after="120"/>
      </w:pPr>
      <w:r>
        <w:rPr>
          <w:rFonts w:ascii="Arial" w:cs="Arial" w:eastAsia="Arial" w:hAnsi="Arial"/>
          <w:sz w:val="24"/>
          <w:szCs w:val="24"/>
        </w:rPr>
        <w:t xml:space="preserve">Congenital syphilis has surged dramatically in the United States, with rates increasing over 900 percent in the past decade. Early congenital syphilis (presenting in the first 3 months of life) has characteristic skin findings: small, copper-red, maculopapular or papulosquamous lesions, primarily on the palms and soles, that peel and crust over 1 to 3 weeks. Other findings include rhinitis (snuffles), hepatosplenomegaly, osteochondritis, and hematologic abnormalities. Diagnosis is by maternal and neonatal serologic testing (RPR/VDRL with confirmatory treponemal test). Treatment is parenteral penicillin G. Skin findings in conjunction with maternal positive syphilis serology should prompt immediate evaluation and treatment per CDC guidelines.</w:t>
      </w:r>
    </w:p>
    <w:p>
      <w:r>
        <w:br w:type="page"/>
      </w:r>
    </w:p>
    <w:p>
      <w:pPr>
        <w:pStyle w:val="Heading1"/>
      </w:pPr>
      <w:r>
        <w:t xml:space="preserve">Chapter 5: Skin Care of the Preterm Infant</w:t>
      </w:r>
    </w:p>
    <w:p>
      <w:pPr>
        <w:spacing w:after="120"/>
      </w:pPr>
      <w:r>
        <w:rPr>
          <w:rFonts w:ascii="Arial" w:cs="Arial" w:eastAsia="Arial" w:hAnsi="Arial"/>
          <w:sz w:val="24"/>
          <w:szCs w:val="24"/>
        </w:rPr>
        <w:t xml:space="preserve">The skin of the extremely preterm infant (less than 28 weeks) is one of the most vulnerable organ systems, providing minimal barrier function due to the incomplete development of the stratum corneum. Evidence-based skin care practices for preterm infants include:</w:t>
      </w:r>
    </w:p>
    <w:p>
      <w:pPr>
        <w:pStyle w:val="ListParagraph"/>
        <w:numPr>
          <w:ilvl w:val="0"/>
          <w:numId w:val="2"/>
        </w:numPr>
        <w:spacing w:after="60"/>
      </w:pPr>
      <w:r>
        <w:rPr>
          <w:rFonts w:ascii="Arial" w:cs="Arial" w:eastAsia="Arial" w:hAnsi="Arial"/>
          <w:sz w:val="24"/>
          <w:szCs w:val="24"/>
        </w:rPr>
        <w:t xml:space="preserve">Minimize adhesive use: Use hydrocolloid barriers under adhesives. Remove adhesives with saline-moistened gauze, not dry removal. Pectin-based adhesive removers are safer than solvent-based products.</w:t>
      </w:r>
    </w:p>
    <w:p>
      <w:pPr>
        <w:pStyle w:val="ListParagraph"/>
        <w:numPr>
          <w:ilvl w:val="0"/>
          <w:numId w:val="2"/>
        </w:numPr>
        <w:spacing w:after="60"/>
      </w:pPr>
      <w:r>
        <w:rPr>
          <w:rFonts w:ascii="Arial" w:cs="Arial" w:eastAsia="Arial" w:hAnsi="Arial"/>
          <w:sz w:val="24"/>
          <w:szCs w:val="24"/>
        </w:rPr>
        <w:t xml:space="preserve">Bathing: Do not bathe preterm infants in the first week of life; vernix caseosa provides an important protective barrier. After the first week, bath with warm water only every 2 to 4 days (not daily). Avoid soap and fragranced products. If cleansing agents are needed, use pH-neutral, fragrance-free products.</w:t>
      </w:r>
    </w:p>
    <w:p>
      <w:pPr>
        <w:pStyle w:val="ListParagraph"/>
        <w:numPr>
          <w:ilvl w:val="0"/>
          <w:numId w:val="2"/>
        </w:numPr>
        <w:spacing w:after="60"/>
      </w:pPr>
      <w:r>
        <w:rPr>
          <w:rFonts w:ascii="Arial" w:cs="Arial" w:eastAsia="Arial" w:hAnsi="Arial"/>
          <w:sz w:val="24"/>
          <w:szCs w:val="24"/>
        </w:rPr>
        <w:t xml:space="preserve">Emollients: The use of prophylactic emollients (petroleum-based products such as Aquaphor) in preterm infants remains controversial. A Cochrane review found that prophylactic emollient application may increase the risk of coagulase-negative staphylococcal infection in VLBW infants. Current practice: use emollients therapeutically for visibly dry or cracked skin, not prophylactically in VLBW infants.</w:t>
      </w:r>
    </w:p>
    <w:p>
      <w:pPr>
        <w:pStyle w:val="ListParagraph"/>
        <w:numPr>
          <w:ilvl w:val="0"/>
          <w:numId w:val="2"/>
        </w:numPr>
        <w:spacing w:after="60"/>
      </w:pPr>
      <w:r>
        <w:rPr>
          <w:rFonts w:ascii="Arial" w:cs="Arial" w:eastAsia="Arial" w:hAnsi="Arial"/>
          <w:sz w:val="24"/>
          <w:szCs w:val="24"/>
        </w:rPr>
        <w:t xml:space="preserve">Humidity: Maintain incubator humidity at 70 to 80 percent for infants less than 28 weeks in the first 1 to 2 weeks, then gradually wean humidity. This dramatically reduces TEWL and maintains skin integrity.</w:t>
      </w:r>
    </w:p>
    <w:p>
      <w:pPr>
        <w:pStyle w:val="ListParagraph"/>
        <w:numPr>
          <w:ilvl w:val="0"/>
          <w:numId w:val="2"/>
        </w:numPr>
        <w:spacing w:after="60"/>
      </w:pPr>
      <w:r>
        <w:rPr>
          <w:rFonts w:ascii="Arial" w:cs="Arial" w:eastAsia="Arial" w:hAnsi="Arial"/>
          <w:sz w:val="24"/>
          <w:szCs w:val="24"/>
        </w:rPr>
        <w:t xml:space="preserve">Antiseptics: Chlorhexidine (CHG) is the preferred antiseptic for skin preparation before procedures. In infants less than 26 weeks or less than 1500 grams, use CHG with caution (risk of chemical burns) and in lower concentrations (0.5 to 1 percent aqueous rather than 2 percent in alcohol). Povidone-iodine may cause transient thyroid suppression in preterm infants. After any antiseptic application, remove residual with sterile water or saline after the procedure.</w:t>
      </w:r>
    </w:p>
    <w:p>
      <w:pPr>
        <w:pStyle w:val="ListParagraph"/>
        <w:numPr>
          <w:ilvl w:val="0"/>
          <w:numId w:val="2"/>
        </w:numPr>
        <w:spacing w:after="60"/>
      </w:pPr>
      <w:r>
        <w:rPr>
          <w:rFonts w:ascii="Arial" w:cs="Arial" w:eastAsia="Arial" w:hAnsi="Arial"/>
          <w:sz w:val="24"/>
          <w:szCs w:val="24"/>
        </w:rPr>
        <w:t xml:space="preserve">Diaper care: Barrier creams (zinc oxide-based) are recommended for intact skin in the diaper area. Change diapers frequently. For diaper dermatitis: identify the cause (irritant contact dermatitis, candidiasis, or allergic contact dermatitis) and treat accordingly.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60"/>
            </w:pPr>
            <w:r>
              <w:rPr>
                <w:rFonts w:ascii="Arial" w:cs="Arial" w:eastAsia="Arial" w:hAnsi="Arial"/>
                <w:b/>
                <w:bCs/>
                <w:color w:val="375623"/>
                <w:sz w:val="24"/>
                <w:szCs w:val="24"/>
              </w:rPr>
              <w:t xml:space="preserve">RURAL CONSIDERATION</w:t>
            </w:r>
          </w:p>
          <w:p>
            <w:pPr>
              <w:spacing w:after="120"/>
            </w:pPr>
            <w:r>
              <w:rPr>
                <w:rFonts w:ascii="Arial" w:cs="Arial" w:eastAsia="Arial" w:hAnsi="Arial"/>
                <w:sz w:val="24"/>
                <w:szCs w:val="24"/>
              </w:rPr>
              <w:t xml:space="preserve">In the rural nursery, the most important skin care practices are: (1) avoid unnecessary adhesive trauma, (2) do not bathe preterm infants in the first week, (3) protect skin integrity to prevent infection, and (4) document all birthmarks and skin findings at birth for medicolegal protection.</w:t>
            </w:r>
          </w:p>
        </w:tc>
      </w:tr>
    </w:tbl>
    <w:p>
      <w:r>
        <w:br w:type="page"/>
      </w:r>
    </w:p>
    <w:p>
      <w:pPr>
        <w:pStyle w:val="Heading1"/>
      </w:pPr>
      <w:r>
        <w:t xml:space="preserve">Chapter 6: Case Studies</w:t>
      </w:r>
    </w:p>
    <w:p>
      <w:pPr>
        <w:pStyle w:val="Heading2"/>
      </w:pPr>
      <w:r>
        <w:t xml:space="preserve">Case 1: Day 2 Rash in a Well-Appearing Term Infant</w:t>
      </w:r>
    </w:p>
    <w:p>
      <w:pPr>
        <w:spacing w:after="120"/>
      </w:pPr>
      <w:r>
        <w:rPr>
          <w:rFonts w:ascii="Arial" w:cs="Arial" w:eastAsia="Arial" w:hAnsi="Arial"/>
          <w:sz w:val="24"/>
          <w:szCs w:val="24"/>
        </w:rPr>
        <w:t xml:space="preserve">A 39-week male infant, born via uncomplicated vaginal delivery, develops scattered erythematous papules and pustules on the trunk and face on day 2 of life. The lesions have surrounding erythema. The palms and soles are not involved. The infant is feeding well, afebrile, with normal vital signs.</w:t>
      </w:r>
    </w:p>
    <w:p>
      <w:pPr>
        <w:spacing w:after="120"/>
      </w:pPr>
      <w:r>
        <w:rPr>
          <w:rFonts w:ascii="Arial" w:cs="Arial" w:eastAsia="Arial" w:hAnsi="Arial"/>
          <w:b/>
          <w:bCs/>
          <w:sz w:val="24"/>
          <w:szCs w:val="24"/>
        </w:rPr>
        <w:t xml:space="preserve">Discussion:</w:t>
      </w:r>
    </w:p>
    <w:p>
      <w:pPr>
        <w:spacing w:after="120"/>
      </w:pPr>
      <w:r>
        <w:rPr>
          <w:rFonts w:ascii="Arial" w:cs="Arial" w:eastAsia="Arial" w:hAnsi="Arial"/>
          <w:sz w:val="24"/>
          <w:szCs w:val="24"/>
        </w:rPr>
        <w:t xml:space="preserve">This is classic erythema toxicum neonatorum: well-appearing term infant, onset day 2 to 3, papules/pustules with erythematous flare, sparing palms and soles. No workup is needed. If there is any diagnostic uncertainty, a Wright stain of pustule contents showing eosinophils confirms the diagnosis. Reassure the parents that this is the most common rash in newborns, is completely harmless, and will resolve within 1 to 2 weeks. No treatment is indicated.</w:t>
      </w:r>
    </w:p>
    <w:p>
      <w:pPr>
        <w:pStyle w:val="Heading2"/>
      </w:pPr>
      <w:r>
        <w:t xml:space="preserve">Case 2: Vesicles on a 10-Day-Old</w:t>
      </w:r>
    </w:p>
    <w:p>
      <w:pPr>
        <w:spacing w:after="120"/>
      </w:pPr>
      <w:r>
        <w:rPr>
          <w:rFonts w:ascii="Arial" w:cs="Arial" w:eastAsia="Arial" w:hAnsi="Arial"/>
          <w:sz w:val="24"/>
          <w:szCs w:val="24"/>
        </w:rPr>
        <w:t xml:space="preserve">A 10-day-old term female infant is brought to the rural ED with a cluster of small, clear vesicles on an erythematous base on the left temple and forehead. Two vesicles are also present on the left eyelid. The infant has been irritable and feeding poorly for the past 6 hours. Temperature is 38.1 degrees Celsius rectally. There is no maternal history of genital herpes.</w:t>
      </w:r>
    </w:p>
    <w:p>
      <w:pPr>
        <w:spacing w:after="120"/>
      </w:pPr>
      <w:r>
        <w:rPr>
          <w:rFonts w:ascii="Arial" w:cs="Arial" w:eastAsia="Arial" w:hAnsi="Arial"/>
          <w:b/>
          <w:bCs/>
          <w:sz w:val="24"/>
          <w:szCs w:val="24"/>
        </w:rPr>
        <w:t xml:space="preserve">Discussion:</w:t>
      </w:r>
    </w:p>
    <w:p>
      <w:pPr>
        <w:spacing w:after="120"/>
      </w:pPr>
      <w:r>
        <w:rPr>
          <w:rFonts w:ascii="Arial" w:cs="Arial" w:eastAsia="Arial" w:hAnsi="Arial"/>
          <w:sz w:val="24"/>
          <w:szCs w:val="24"/>
        </w:rPr>
        <w:t xml:space="preserve">This is an emergency. Clustered vesicles on an erythematous base in a neonate is neonatal HSV until proven otherwise. The poor feeding, irritability, and fever raise concern for progression beyond SEM disease to CNS or disseminated HSV. Actions: (1) Obtain HSV PCR from vesicle fluid, blood, and CSF. (2) Obtain blood culture, CBC, hepatic function, and coagulation studies. (3) Start IV acyclovir 20 mg/kg every 8 hours IMMEDIATELY. Do NOT wait for results. (4) The absence of maternal herpes history does not exclude neonatal HSV; up to 70 percent of mothers of infants with neonatal HSV have no known history or symptoms. (5) Ophthalmology consult for eyelid involvement. (6) Transfer to Level III NICU for ongoing management. Teaching point: vesicles in a neonate = HSV evaluation and empiric acyclovir until proven otherwise.</w:t>
      </w:r>
    </w:p>
    <w:p>
      <w:pPr>
        <w:pStyle w:val="Heading2"/>
      </w:pPr>
      <w:r>
        <w:t xml:space="preserve">Case 3: Large Facial Birthmark in a Newborn</w:t>
      </w:r>
    </w:p>
    <w:p>
      <w:pPr>
        <w:spacing w:after="120"/>
      </w:pPr>
      <w:r>
        <w:rPr>
          <w:rFonts w:ascii="Arial" w:cs="Arial" w:eastAsia="Arial" w:hAnsi="Arial"/>
          <w:sz w:val="24"/>
          <w:szCs w:val="24"/>
        </w:rPr>
        <w:t xml:space="preserve">A term female infant is born with a large, flat, dark red-purple patch covering the right forehead, upper eyelid, and right cheek. It does not blanch completely with pressure and appears well-demarcated. The infant is otherwise well-appearing.</w:t>
      </w:r>
    </w:p>
    <w:p>
      <w:pPr>
        <w:spacing w:after="120"/>
      </w:pPr>
      <w:r>
        <w:rPr>
          <w:rFonts w:ascii="Arial" w:cs="Arial" w:eastAsia="Arial" w:hAnsi="Arial"/>
          <w:b/>
          <w:bCs/>
          <w:sz w:val="24"/>
          <w:szCs w:val="24"/>
        </w:rPr>
        <w:t xml:space="preserve">Discussion:</w:t>
      </w:r>
    </w:p>
    <w:p>
      <w:pPr>
        <w:spacing w:after="120"/>
      </w:pPr>
      <w:r>
        <w:rPr>
          <w:rFonts w:ascii="Arial" w:cs="Arial" w:eastAsia="Arial" w:hAnsi="Arial"/>
          <w:sz w:val="24"/>
          <w:szCs w:val="24"/>
        </w:rPr>
        <w:t xml:space="preserve">This is a port-wine stain (nevus flammeus) in the V1 distribution of the trigeminal nerve. This distribution carries risk for Sturge-Weber syndrome (leptomeningeal angiomatosis). Actions: (1) Ophthalmology referral urgently (risk of glaucoma in ipsilateral eye). (2) Brain MRI with contrast to evaluate for leptomeningeal angiomatosis. (3) Neurology referral (seizure risk if CNS involvement is present). (4) Dermatology referral for pulsed dye laser treatment planning. (5) Educate parents about the permanent nature of the birthmark and the need for ongoing surveillance. This is NOT a salmon patch; salmon patches are lighter pink, fade with time, and do not involve the upper eyelid or V1 distribution.</w:t>
      </w:r>
    </w:p>
    <w:p>
      <w:r>
        <w:br w:type="page"/>
      </w:r>
    </w:p>
    <w:p>
      <w:pPr>
        <w:pStyle w:val="Heading1"/>
      </w:pPr>
      <w:r>
        <w:t xml:space="preserve">Chapter 7: Summary and Key Takeaways</w:t>
      </w:r>
    </w:p>
    <w:p>
      <w:pPr>
        <w:pStyle w:val="ListParagraph"/>
        <w:numPr>
          <w:ilvl w:val="0"/>
          <w:numId w:val="3"/>
        </w:numPr>
        <w:spacing w:after="60"/>
      </w:pPr>
      <w:r>
        <w:rPr>
          <w:rFonts w:ascii="Arial" w:cs="Arial" w:eastAsia="Arial" w:hAnsi="Arial"/>
          <w:sz w:val="24"/>
          <w:szCs w:val="24"/>
        </w:rPr>
        <w:t xml:space="preserve">Over 90% of neonatal skin findings are benign and self-limited. The key skill is distinguishing common benign conditions from rare dangerous ones.</w:t>
      </w:r>
    </w:p>
    <w:p>
      <w:pPr>
        <w:pStyle w:val="ListParagraph"/>
        <w:numPr>
          <w:ilvl w:val="0"/>
          <w:numId w:val="3"/>
        </w:numPr>
        <w:spacing w:after="60"/>
      </w:pPr>
      <w:r>
        <w:rPr>
          <w:rFonts w:ascii="Arial" w:cs="Arial" w:eastAsia="Arial" w:hAnsi="Arial"/>
          <w:sz w:val="24"/>
          <w:szCs w:val="24"/>
        </w:rPr>
        <w:t xml:space="preserve">ETN (flea-bitten appearance, day 2-3, spares palms/soles, eosinophils on Wright stain) and TNPM (present at birth, includes palms/soles, neutrophils, hyperpigmented macules) are the two most common benign pustular rashes. No treatment needed.</w:t>
      </w:r>
    </w:p>
    <w:p>
      <w:pPr>
        <w:pStyle w:val="ListParagraph"/>
        <w:numPr>
          <w:ilvl w:val="0"/>
          <w:numId w:val="3"/>
        </w:numPr>
        <w:spacing w:after="60"/>
      </w:pPr>
      <w:r>
        <w:rPr>
          <w:rFonts w:ascii="Arial" w:cs="Arial" w:eastAsia="Arial" w:hAnsi="Arial"/>
          <w:sz w:val="24"/>
          <w:szCs w:val="24"/>
        </w:rPr>
        <w:t xml:space="preserve">Milia (white papules on nose/cheeks), miliaria (heat rash), neonatal acne (papules/pustules cheeks at 2-4 weeks), and sebaceous hyperplasia (yellow papules on nose) are all benign and self-limited.</w:t>
      </w:r>
    </w:p>
    <w:p>
      <w:pPr>
        <w:pStyle w:val="ListParagraph"/>
        <w:numPr>
          <w:ilvl w:val="0"/>
          <w:numId w:val="3"/>
        </w:numPr>
        <w:spacing w:after="60"/>
      </w:pPr>
      <w:r>
        <w:rPr>
          <w:rFonts w:ascii="Arial" w:cs="Arial" w:eastAsia="Arial" w:hAnsi="Arial"/>
          <w:sz w:val="24"/>
          <w:szCs w:val="24"/>
        </w:rPr>
        <w:t xml:space="preserve">Vesicles in a neonate = evaluate for HSV. Start IV acyclovir 20 mg/kg q8h IMMEDIATELY. Do NOT wait for test results. Absence of maternal herpes history does not exclude neonatal HSV.</w:t>
      </w:r>
    </w:p>
    <w:p>
      <w:pPr>
        <w:pStyle w:val="ListParagraph"/>
        <w:numPr>
          <w:ilvl w:val="0"/>
          <w:numId w:val="3"/>
        </w:numPr>
        <w:spacing w:after="60"/>
      </w:pPr>
      <w:r>
        <w:rPr>
          <w:rFonts w:ascii="Arial" w:cs="Arial" w:eastAsia="Arial" w:hAnsi="Arial"/>
          <w:sz w:val="24"/>
          <w:szCs w:val="24"/>
        </w:rPr>
        <w:t xml:space="preserve">Dermal melanocytosis (Mongolian spots): DOCUMENT in the medical record at birth. Atypical locations can be mistaken for non-accidental trauma.</w:t>
      </w:r>
    </w:p>
    <w:p>
      <w:pPr>
        <w:pStyle w:val="ListParagraph"/>
        <w:numPr>
          <w:ilvl w:val="0"/>
          <w:numId w:val="3"/>
        </w:numPr>
        <w:spacing w:after="60"/>
      </w:pPr>
      <w:r>
        <w:rPr>
          <w:rFonts w:ascii="Arial" w:cs="Arial" w:eastAsia="Arial" w:hAnsi="Arial"/>
          <w:sz w:val="24"/>
          <w:szCs w:val="24"/>
        </w:rPr>
        <w:t xml:space="preserve">Port-wine stain in V1 distribution (forehead, upper eyelid) = evaluate for Sturge-Weber syndrome: ophthalmology, brain MRI, neurology.</w:t>
      </w:r>
    </w:p>
    <w:p>
      <w:pPr>
        <w:pStyle w:val="ListParagraph"/>
        <w:numPr>
          <w:ilvl w:val="0"/>
          <w:numId w:val="3"/>
        </w:numPr>
        <w:spacing w:after="60"/>
      </w:pPr>
      <w:r>
        <w:rPr>
          <w:rFonts w:ascii="Arial" w:cs="Arial" w:eastAsia="Arial" w:hAnsi="Arial"/>
          <w:sz w:val="24"/>
          <w:szCs w:val="24"/>
        </w:rPr>
        <w:t xml:space="preserve">Infantile hemangiomas: NOT present at birth (usually appear 1-3 months). Refer urgently if periorbital, airway (beard distribution), large facial, ulcerated, or hepatic. Propranolol is first-line treatment.</w:t>
      </w:r>
    </w:p>
    <w:p>
      <w:pPr>
        <w:pStyle w:val="ListParagraph"/>
        <w:numPr>
          <w:ilvl w:val="0"/>
          <w:numId w:val="3"/>
        </w:numPr>
        <w:spacing w:after="60"/>
      </w:pPr>
      <w:r>
        <w:rPr>
          <w:rFonts w:ascii="Arial" w:cs="Arial" w:eastAsia="Arial" w:hAnsi="Arial"/>
          <w:sz w:val="24"/>
          <w:szCs w:val="24"/>
        </w:rPr>
        <w:t xml:space="preserve">Congenital syphilis: copper-red papulosquamous lesions on palms/soles. Rates have surged 900%+. Evaluate and treat per CDC guidelines.</w:t>
      </w:r>
    </w:p>
    <w:p>
      <w:pPr>
        <w:pStyle w:val="ListParagraph"/>
        <w:numPr>
          <w:ilvl w:val="0"/>
          <w:numId w:val="3"/>
        </w:numPr>
        <w:spacing w:after="60"/>
      </w:pPr>
      <w:r>
        <w:rPr>
          <w:rFonts w:ascii="Arial" w:cs="Arial" w:eastAsia="Arial" w:hAnsi="Arial"/>
          <w:sz w:val="24"/>
          <w:szCs w:val="24"/>
        </w:rPr>
        <w:t xml:space="preserve">Preterm skin care: minimize adhesives, no bathing in first week, humidity 70-80% for &lt;28 wk, CHG with caution in ELBW, therapeutic (not prophylactic) emollients.</w:t>
      </w:r>
    </w:p>
    <w:p>
      <w:pPr>
        <w:pStyle w:val="ListParagraph"/>
        <w:numPr>
          <w:ilvl w:val="0"/>
          <w:numId w:val="3"/>
        </w:numPr>
        <w:spacing w:after="60"/>
      </w:pPr>
      <w:r>
        <w:rPr>
          <w:rFonts w:ascii="Arial" w:cs="Arial" w:eastAsia="Arial" w:hAnsi="Arial"/>
          <w:sz w:val="24"/>
          <w:szCs w:val="24"/>
        </w:rPr>
        <w:t xml:space="preserve">Seborrheic dermatitis (cradle cap) is benign, non-pruritic, involves scalp and folds. Distinguish from atopic dermatitis (pruritic, after 3 months, cheeks/extensors).</w:t>
      </w:r>
    </w:p>
    <w:p>
      <w:r>
        <w:br w:type="page"/>
      </w:r>
    </w:p>
    <w:p>
      <w:pPr>
        <w:pStyle w:val="Heading1"/>
      </w:pPr>
      <w:r>
        <w:t xml:space="preserve">References</w:t>
      </w:r>
    </w:p>
    <w:p>
      <w:pPr>
        <w:spacing w:after="120"/>
      </w:pPr>
      <w:r>
        <w:rPr>
          <w:rFonts w:ascii="Arial" w:cs="Arial" w:eastAsia="Arial" w:hAnsi="Arial"/>
          <w:sz w:val="24"/>
          <w:szCs w:val="24"/>
        </w:rPr>
        <w:t xml:space="preserve">1. Snyder KAM, Voelckers AD. Newborn Skin: Part I. Common Rashes and Skin Changes. Am Fam Physician. 2024;109(3):212-216.</w:t>
      </w:r>
    </w:p>
    <w:p>
      <w:pPr>
        <w:spacing w:after="120"/>
      </w:pPr>
      <w:r>
        <w:rPr>
          <w:rFonts w:ascii="Arial" w:cs="Arial" w:eastAsia="Arial" w:hAnsi="Arial"/>
          <w:sz w:val="24"/>
          <w:szCs w:val="24"/>
        </w:rPr>
        <w:t xml:space="preserve">2. O'Connor NR, McLaughlin MR, Ham P. Newborn Skin: Part I. Common Rashes. Am Fam Physician. 2008;77(1):47-52.</w:t>
      </w:r>
    </w:p>
    <w:p>
      <w:pPr>
        <w:spacing w:after="120"/>
      </w:pPr>
      <w:r>
        <w:rPr>
          <w:rFonts w:ascii="Arial" w:cs="Arial" w:eastAsia="Arial" w:hAnsi="Arial"/>
          <w:sz w:val="24"/>
          <w:szCs w:val="24"/>
        </w:rPr>
        <w:t xml:space="preserve">3. Kanada KN, Merin MR, Munden A, Friedlander SF. A Prospective Study of Cutaneous Findings in Newborns in the United States. J Pediatr. 2012;161(2):240-245.</w:t>
      </w:r>
    </w:p>
    <w:p>
      <w:pPr>
        <w:spacing w:after="120"/>
      </w:pPr>
      <w:r>
        <w:rPr>
          <w:rFonts w:ascii="Arial" w:cs="Arial" w:eastAsia="Arial" w:hAnsi="Arial"/>
          <w:sz w:val="24"/>
          <w:szCs w:val="24"/>
        </w:rPr>
        <w:t xml:space="preserve">4. Haveri FT, Inamadar AC. A Cross-Sectional Prospective Study of Cutaneous Lesions in Newborn. ISRN Dermatol. 2014;2014:360590.</w:t>
      </w:r>
    </w:p>
    <w:p>
      <w:pPr>
        <w:spacing w:after="120"/>
      </w:pPr>
      <w:r>
        <w:rPr>
          <w:rFonts w:ascii="Arial" w:cs="Arial" w:eastAsia="Arial" w:hAnsi="Arial"/>
          <w:sz w:val="24"/>
          <w:szCs w:val="24"/>
        </w:rPr>
        <w:t xml:space="preserve">5. Pal A, Haroon TS. Neonatal Skin Conditions. Curr Probl Dermatol. 2017;49:30-40.</w:t>
      </w:r>
    </w:p>
    <w:p>
      <w:pPr>
        <w:spacing w:after="120"/>
      </w:pPr>
      <w:r>
        <w:rPr>
          <w:rFonts w:ascii="Arial" w:cs="Arial" w:eastAsia="Arial" w:hAnsi="Arial"/>
          <w:sz w:val="24"/>
          <w:szCs w:val="24"/>
        </w:rPr>
        <w:t xml:space="preserve">6. Gokdemir G, Erdogan HK, Koslu A, Baksu B. Cutaneous Lesions in Turkish Neonates Born in a Teaching Hospital. Indian J Dermatol Venereol Leprol. 2009;75(6):624.</w:t>
      </w:r>
    </w:p>
    <w:p>
      <w:pPr>
        <w:spacing w:after="120"/>
      </w:pPr>
      <w:r>
        <w:rPr>
          <w:rFonts w:ascii="Arial" w:cs="Arial" w:eastAsia="Arial" w:hAnsi="Arial"/>
          <w:sz w:val="24"/>
          <w:szCs w:val="24"/>
        </w:rPr>
        <w:t xml:space="preserve">7. Nanda S, Reddy BS, Ramji S, Pandhi D. Analytical Study of Pustular Eruptions in Neonates. Pediatr Dermatol. 2002;19(3):210-215.</w:t>
      </w:r>
    </w:p>
    <w:p>
      <w:pPr>
        <w:spacing w:after="120"/>
      </w:pPr>
      <w:r>
        <w:rPr>
          <w:rFonts w:ascii="Arial" w:cs="Arial" w:eastAsia="Arial" w:hAnsi="Arial"/>
          <w:sz w:val="24"/>
          <w:szCs w:val="24"/>
        </w:rPr>
        <w:t xml:space="preserve">8. StatPearls. Erythema Toxicum. NCBI Bookshelf. Updated Jan 2025.</w:t>
      </w:r>
    </w:p>
    <w:p>
      <w:pPr>
        <w:spacing w:after="120"/>
      </w:pPr>
      <w:r>
        <w:rPr>
          <w:rFonts w:ascii="Arial" w:cs="Arial" w:eastAsia="Arial" w:hAnsi="Arial"/>
          <w:sz w:val="24"/>
          <w:szCs w:val="24"/>
        </w:rPr>
        <w:t xml:space="preserve">9. Drolet BA, Frommelt PC, Chamlin SL, et al. Initiation and Use of Propranolol for Infantile Hemangioma: Report of a Consensus Conference. Pediatrics. 2013;131(1):128-140.</w:t>
      </w:r>
    </w:p>
    <w:p>
      <w:pPr>
        <w:spacing w:after="120"/>
      </w:pPr>
      <w:r>
        <w:rPr>
          <w:rFonts w:ascii="Arial" w:cs="Arial" w:eastAsia="Arial" w:hAnsi="Arial"/>
          <w:sz w:val="24"/>
          <w:szCs w:val="24"/>
        </w:rPr>
        <w:t xml:space="preserve">10. Leaute-Labreze C, Hoeger P, Mazereeuw-Hautier J, et al. A Randomized, Controlled Trial of Oral Propranolol in Infantile Hemangioma. N Engl J Med. 2015;372(8):735-746.</w:t>
      </w:r>
    </w:p>
    <w:p>
      <w:pPr>
        <w:spacing w:after="120"/>
      </w:pPr>
      <w:r>
        <w:rPr>
          <w:rFonts w:ascii="Arial" w:cs="Arial" w:eastAsia="Arial" w:hAnsi="Arial"/>
          <w:sz w:val="24"/>
          <w:szCs w:val="24"/>
        </w:rPr>
        <w:t xml:space="preserve">11. Krowchuk DP, Frieden IJ, Mancini AJ, et al. Clinical Practice Guideline for the Management of Infantile Hemangiomas. Pediatrics. 2019;143(1):e20183475.</w:t>
      </w:r>
    </w:p>
    <w:p>
      <w:pPr>
        <w:spacing w:after="120"/>
      </w:pPr>
      <w:r>
        <w:rPr>
          <w:rFonts w:ascii="Arial" w:cs="Arial" w:eastAsia="Arial" w:hAnsi="Arial"/>
          <w:sz w:val="24"/>
          <w:szCs w:val="24"/>
        </w:rPr>
        <w:t xml:space="preserve">12. Newborn Nursery at Stanford. Skin Photo Gallery. med.stanford.edu. Accessed 2026.</w:t>
      </w:r>
    </w:p>
    <w:p>
      <w:pPr>
        <w:spacing w:after="120"/>
      </w:pPr>
      <w:r>
        <w:rPr>
          <w:rFonts w:ascii="Arial" w:cs="Arial" w:eastAsia="Arial" w:hAnsi="Arial"/>
          <w:sz w:val="24"/>
          <w:szCs w:val="24"/>
        </w:rPr>
        <w:t xml:space="preserve">13. Eichenfield LF, Frieden IJ, Mathes EF, Zaenglein AL, eds. Neonatal and Infant Dermatology. 3rd ed. Elsevier; 2015.</w:t>
      </w:r>
    </w:p>
    <w:p>
      <w:pPr>
        <w:spacing w:after="120"/>
      </w:pPr>
      <w:r>
        <w:rPr>
          <w:rFonts w:ascii="Arial" w:cs="Arial" w:eastAsia="Arial" w:hAnsi="Arial"/>
          <w:sz w:val="24"/>
          <w:szCs w:val="24"/>
        </w:rPr>
        <w:t xml:space="preserve">14. Association of Women's Health, Obstetric and Neonatal Nurses (AWHONN). Evidence-Based Clinical Practice Guideline: Neonatal Skin Care. 4th ed. 2018.</w:t>
      </w:r>
    </w:p>
    <w:p>
      <w:pPr>
        <w:spacing w:after="120"/>
      </w:pPr>
      <w:r>
        <w:rPr>
          <w:rFonts w:ascii="Arial" w:cs="Arial" w:eastAsia="Arial" w:hAnsi="Arial"/>
          <w:sz w:val="24"/>
          <w:szCs w:val="24"/>
        </w:rPr>
        <w:t xml:space="preserve">15. Cleminson J, McGuire W. Topical Emollient for Preventing Infection in Preterm Infants. Cochrane Database Syst Rev. 2021;(5):CD001150.</w:t>
      </w:r>
    </w:p>
    <w:p>
      <w:pPr>
        <w:spacing w:after="120"/>
      </w:pPr>
      <w:r>
        <w:rPr>
          <w:rFonts w:ascii="Arial" w:cs="Arial" w:eastAsia="Arial" w:hAnsi="Arial"/>
          <w:sz w:val="24"/>
          <w:szCs w:val="24"/>
        </w:rPr>
        <w:t xml:space="preserve">16. Blume-Peytavi U, Lavender T, Jenerowicz D, et al. Recommendations from a European Roundtable Meeting on Best Practice Healthy Infant Skin Care. Pediatr Dermatol. 2016;33(3):311-321.</w:t>
      </w:r>
    </w:p>
    <w:p>
      <w:pPr>
        <w:spacing w:after="120"/>
      </w:pPr>
      <w:r>
        <w:rPr>
          <w:rFonts w:ascii="Arial" w:cs="Arial" w:eastAsia="Arial" w:hAnsi="Arial"/>
          <w:sz w:val="24"/>
          <w:szCs w:val="24"/>
        </w:rPr>
        <w:t xml:space="preserve">17. Oranges T, Dini V, Romanelli M. Skin Physiology of the Neonate and Infant: Clinical Implications. Adv Wound Care. 2015;4(10):587-595.</w:t>
      </w:r>
    </w:p>
    <w:p>
      <w:pPr>
        <w:spacing w:after="120"/>
      </w:pPr>
      <w:r>
        <w:rPr>
          <w:rFonts w:ascii="Arial" w:cs="Arial" w:eastAsia="Arial" w:hAnsi="Arial"/>
          <w:sz w:val="24"/>
          <w:szCs w:val="24"/>
        </w:rPr>
        <w:t xml:space="preserve">18. CDC. Congenital Syphilis—CDC Fact Sheet. Updated 2024.</w:t>
      </w:r>
    </w:p>
    <w:p>
      <w:pPr>
        <w:spacing w:after="120"/>
      </w:pPr>
      <w:r>
        <w:rPr>
          <w:rFonts w:ascii="Arial" w:cs="Arial" w:eastAsia="Arial" w:hAnsi="Arial"/>
          <w:sz w:val="24"/>
          <w:szCs w:val="24"/>
        </w:rPr>
        <w:t xml:space="preserve">19. Kimberlin DW, Baley J, Committee on Infectious Diseases, Committee on Fetus and Newborn. Guidance on Management of Asymptomatic Neonates Born to Women With Active Genital Herpes Lesions. Pediatrics. 2013;131(2):e572-e579.</w:t>
      </w:r>
    </w:p>
    <w:p>
      <w:pPr>
        <w:spacing w:after="120"/>
      </w:pPr>
      <w:r>
        <w:rPr>
          <w:rFonts w:ascii="Arial" w:cs="Arial" w:eastAsia="Arial" w:hAnsi="Arial"/>
          <w:sz w:val="24"/>
          <w:szCs w:val="24"/>
        </w:rPr>
        <w:t xml:space="preserve">20. James WD, Berger TG, Elston DM. Andrews' Diseases of the Skin. 13th ed. Elsevier; 2020.</w:t>
      </w:r>
    </w:p>
    <w:p>
      <w:pPr>
        <w:spacing w:after="120"/>
      </w:pPr>
      <w:r>
        <w:rPr>
          <w:rFonts w:ascii="Arial" w:cs="Arial" w:eastAsia="Arial" w:hAnsi="Arial"/>
          <w:sz w:val="24"/>
          <w:szCs w:val="24"/>
        </w:rPr>
        <w:t xml:space="preserve">21. Morelli JG. Diseases of the Neonate. In: Kliegman RM, ed. Nelson Textbook of Pediatrics. 21st ed. Elsevier; 2020.</w:t>
      </w:r>
    </w:p>
    <w:p>
      <w:pPr>
        <w:spacing w:after="120"/>
      </w:pPr>
      <w:r>
        <w:rPr>
          <w:rFonts w:ascii="Arial" w:cs="Arial" w:eastAsia="Arial" w:hAnsi="Arial"/>
          <w:sz w:val="24"/>
          <w:szCs w:val="24"/>
        </w:rPr>
        <w:t xml:space="preserve">22. Goyal T, Varshney A, Bakshi SK. Incidence of Vesicobullous and Erosive Disorders of Neonates. Int J Dermatol. 2021;60(6):707-715.</w:t>
      </w:r>
    </w:p>
    <w:p>
      <w:pPr>
        <w:spacing w:after="120"/>
      </w:pPr>
      <w:r>
        <w:rPr>
          <w:rFonts w:ascii="Arial" w:cs="Arial" w:eastAsia="Arial" w:hAnsi="Arial"/>
          <w:sz w:val="24"/>
          <w:szCs w:val="24"/>
        </w:rPr>
        <w:t xml:space="preserve">23. Sachdeva M, Kaur S, Nagpal M, Dewan SP. Cutaneous Lesions in Newborn. Indian J Dermatol Venereol Leprol. 2002;68(5):275-278.</w:t>
      </w:r>
    </w:p>
    <w:p>
      <w:pPr>
        <w:spacing w:after="120"/>
      </w:pPr>
      <w:r>
        <w:rPr>
          <w:rFonts w:ascii="Arial" w:cs="Arial" w:eastAsia="Arial" w:hAnsi="Arial"/>
          <w:sz w:val="24"/>
          <w:szCs w:val="24"/>
        </w:rPr>
        <w:t xml:space="preserve">24. Visscher MO, Adam R, Brink S, Odio M. Newborn Infant Skin: Physiology, Development, and Care. Clin Dermatol. 2015;33(3):271-280.</w:t>
      </w:r>
    </w:p>
    <w:p>
      <w:pPr>
        <w:spacing w:after="120"/>
      </w:pPr>
      <w:r>
        <w:rPr>
          <w:rFonts w:ascii="Arial" w:cs="Arial" w:eastAsia="Arial" w:hAnsi="Arial"/>
          <w:sz w:val="24"/>
          <w:szCs w:val="24"/>
        </w:rPr>
        <w:t xml:space="preserve">25. Neonatal Pustular Dermatosis: An Overview. Indian Dermatol Online J. 2015;6(2):69-79. PMC4372928.</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8"/>
        <w:szCs w:val="18"/>
      </w:rPr>
      <w:t xml:space="preserve">Page </w:t>
    </w:r>
    <w:r>
      <w:rPr>
        <w:rFonts w:ascii="Arial" w:cs="Arial" w:eastAsia="Arial" w:hAnsi="Arial"/>
        <w:color w:val="808080"/>
        <w:sz w:val="18"/>
        <w:szCs w:val="18"/>
      </w:rPr>
      <w:fldChar w:fldCharType="begin"/>
      <w:instrText xml:space="preserve">PAGE</w:instrText>
      <w:fldChar w:fldCharType="separate"/>
      <w:fldChar w:fldCharType="end"/>
    </w:r>
    <w:r>
      <w:rPr>
        <w:rFonts w:ascii="Arial" w:cs="Arial" w:eastAsia="Arial" w:hAnsi="Arial"/>
        <w:color w:val="808080"/>
        <w:sz w:val="18"/>
        <w:szCs w:val="18"/>
      </w:rPr>
      <w:t xml:space="preserve"> | Pediatric Emergency CDS Project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rFonts w:ascii="Arial" w:cs="Arial" w:eastAsia="Arial" w:hAnsi="Arial"/>
        <w:i/>
        <w:iCs/>
        <w:color w:val="808080"/>
        <w:sz w:val="18"/>
        <w:szCs w:val="18"/>
      </w:rPr>
      <w:t xml:space="preserve">Neonatal Skin Disorders — Rural Nursery Education Series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8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180"/>
      <w:outlineLvl w:val="2"/>
    </w:pPr>
    <w:rPr>
      <w:rFonts w:ascii="Arial" w:cs="Arial" w:eastAsia="Arial" w:hAnsi="Arial"/>
      <w:b/>
      <w:bCs/>
      <w:color w:val="40404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2026-03-19T09:10:24.354Z</dcterms:created>
  <dcterms:modified xsi:type="dcterms:W3CDTF">2026-03-19T09:10:24.354Z</dcterms:modified>
</cp:coreProperties>
</file>

<file path=docProps/custom.xml><?xml version="1.0" encoding="utf-8"?>
<Properties xmlns="http://schemas.openxmlformats.org/officeDocument/2006/custom-properties" xmlns:vt="http://schemas.openxmlformats.org/officeDocument/2006/docPropsVTypes"/>
</file>