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INITIAL ASSESSMENT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⚠ NEVER withhold glucocorticoids in a known CAH patient. Treat first, investigate second. </w:t>
            </w:r>
            <w:r>
              <w:rPr>
                <w:sz w:val="20"/>
                <w:szCs w:val="20"/>
              </w:rPr>
              <w:t xml:space="preserve">If hemodynamically unstable or altered → IM/IV Hydrocortisone STAT (see Page 2).</w:t>
            </w:r>
          </w:p>
        </w:tc>
      </w:tr>
    </w:tbl>
    <w:p>
      <w:pPr>
        <w:spacing w:before="80"/>
      </w:pPr>
    </w:p>
    <w:p>
      <w:pPr>
        <w:pStyle w:val="Heading2"/>
      </w:pPr>
      <w:r>
        <w:t xml:space="preserve">Rapid Assessment Checklist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History: </w:t>
            </w:r>
            <w:r>
              <w:rPr>
                <w:sz w:val="18"/>
                <w:szCs w:val="18"/>
              </w:rPr>
              <w:t xml:space="preserve">□ Confirm CAH type (SW/SV/NC)
</w:t>
            </w:r>
            <w:r>
              <w:rPr>
                <w:sz w:val="18"/>
                <w:szCs w:val="18"/>
              </w:rPr>
              <w:t xml:space="preserve">□ Current HC dose &amp; last dose time
</w:t>
            </w:r>
            <w:r>
              <w:rPr>
                <w:sz w:val="18"/>
                <w:szCs w:val="18"/>
              </w:rPr>
              <w:t xml:space="preserve">□ Fludrocortisone dose
</w:t>
            </w:r>
            <w:r>
              <w:rPr>
                <w:sz w:val="18"/>
                <w:szCs w:val="18"/>
              </w:rPr>
              <w:t xml:space="preserve">□ Any stress dosing already given?
</w:t>
            </w:r>
            <w:r>
              <w:rPr>
                <w:sz w:val="18"/>
                <w:szCs w:val="18"/>
              </w:rPr>
              <w:t xml:space="preserve">□ Vomiting? (red flag!)
</w:t>
            </w:r>
            <w:r>
              <w:rPr>
                <w:sz w:val="18"/>
                <w:szCs w:val="18"/>
              </w:rPr>
              <w:t xml:space="preserve">□ Steroid emergency card present?</w:t>
            </w:r>
          </w:p>
        </w:tc>
        <w:tc>
          <w:tcPr>
            <w:tcW w:type="dxa" w:w="6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Physical: </w:t>
            </w:r>
            <w:r>
              <w:rPr>
                <w:sz w:val="18"/>
                <w:szCs w:val="18"/>
              </w:rPr>
              <w:t xml:space="preserve">□ BP for age (hypotension?)
</w:t>
            </w:r>
            <w:r>
              <w:rPr>
                <w:sz w:val="18"/>
                <w:szCs w:val="18"/>
              </w:rPr>
              <w:t xml:space="preserve">□ Mental status (lethargic? altered?)
</w:t>
            </w:r>
            <w:r>
              <w:rPr>
                <w:sz w:val="18"/>
                <w:szCs w:val="18"/>
              </w:rPr>
              <w:t xml:space="preserve">□ Perfusion (cap refill, pulses)
</w:t>
            </w:r>
            <w:r>
              <w:rPr>
                <w:sz w:val="18"/>
                <w:szCs w:val="18"/>
              </w:rPr>
              <w:t xml:space="preserve">□ Hydration status
</w:t>
            </w:r>
            <w:r>
              <w:rPr>
                <w:sz w:val="18"/>
                <w:szCs w:val="18"/>
              </w:rPr>
              <w:t xml:space="preserve">□ STAT glucose (POC)
</w:t>
            </w:r>
            <w:r>
              <w:rPr>
                <w:sz w:val="18"/>
                <w:szCs w:val="18"/>
              </w:rPr>
              <w:t xml:space="preserve">□ Temperature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ORAL SICK DAY DOSING (Stable, Tolerating PO)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440"/>
        <w:gridCol w:w="2720"/>
        <w:gridCol w:w="272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HC Dose Adjustment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MILD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38.0–38.9°C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DOUBLE total daily dose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Divide TID or QID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Duration of illness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MODERATE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≥39.0°C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TRIPLE total daily dose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Divide TID or QID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Duration of illness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SEVERE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≥40.0°C</w:t>
            </w:r>
          </w:p>
        </w:tc>
        <w:tc>
          <w:tcPr>
            <w:tcW w:type="dxa" w:w="3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5× dose OR IM/IV (see below)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Q6H (IM/IV)</w:t>
            </w:r>
          </w:p>
        </w:tc>
        <w:tc>
          <w:tcPr>
            <w:tcW w:type="dxa" w:w="2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Until stable + PO</w:t>
            </w:r>
          </w:p>
        </w:tc>
      </w:tr>
    </w:tbl>
    <w:p>
      <w:pPr>
        <w:spacing w:before="60"/>
      </w:pPr>
      <w:r>
        <w:rPr>
          <w:i/>
          <w:iCs/>
          <w:color w:val="6C757D"/>
          <w:sz w:val="16"/>
          <w:szCs w:val="16"/>
        </w:rPr>
        <w:t xml:space="preserve">Alternative (BSPED): Target ~30 mg/m²/day QID for any sick day, regardless of baseline dose. </w:t>
      </w:r>
      <w:r>
        <w:rPr>
          <w:i/>
          <w:iCs/>
          <w:color w:val="6C757D"/>
          <w:sz w:val="16"/>
          <w:szCs w:val="16"/>
        </w:rPr>
        <w:t xml:space="preserve">Continue fludrocortisone at usual dose. Return to maintenance 24–48h after afebrile.</w:t>
      </w:r>
    </w:p>
    <w:p>
      <w:pPr>
        <w:spacing w:before="1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KEY RULES: </w:t>
            </w:r>
            <w:r>
              <w:rPr>
                <w:sz w:val="18"/>
                <w:szCs w:val="18"/>
              </w:rPr>
              <w:t xml:space="preserve">• If vomits within 30 min of PO dose → re-dose once. If vomits again → IM hydrocortisone. </w:t>
            </w:r>
            <w:r>
              <w:rPr>
                <w:sz w:val="18"/>
                <w:szCs w:val="18"/>
              </w:rPr>
              <w:t xml:space="preserve">• Vomiting is the #1 reason for IM injection (61% of centres). </w:t>
            </w:r>
            <w:r>
              <w:rPr>
                <w:sz w:val="18"/>
                <w:szCs w:val="18"/>
              </w:rPr>
              <w:t xml:space="preserve">• GI illness is the #1 trigger of adrenal crisis across all ages.</w:t>
            </w:r>
          </w:p>
        </w:tc>
      </w:tr>
    </w:tbl>
    <w:r>
      <w:br w:type="page"/>
    </w:r>
    <w:p>
      <w:pPr>
        <w:pStyle w:val="Heading1"/>
      </w:pPr>
      <w:r>
        <w:t xml:space="preserve">EMERGENCY IM HYDROCORTISONE DOSING (Solu-Cortef)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 Dose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Injection Site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Repeat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Infant &lt; 1 year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25 mg IM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Vastus lateralis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Q6H prn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Child 1–5 years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50 mg IM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Vastus lateralis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Q6H prn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Child 6–12 years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50–100 mg IM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Deltoid or VL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Q6H prn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Adolescent &gt; 12 years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100 mg IM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Deltoid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Q6H prn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Generic (any age)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2 mg/kg IM (max 100 mg)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VL or deltoid</w:t>
            </w:r>
          </w:p>
        </w:tc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Q6H prn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🚨 ADRENAL CRISIS PROTOCOL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Triggers: Hypotension for age | Altered mental status | Shock | Seizure | Glucose &lt; 60 mg/dL</w:t>
            </w:r>
          </w:p>
          <w:p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STEP 1: </w:t>
            </w:r>
            <w:r>
              <w:rPr>
                <w:sz w:val="18"/>
                <w:szCs w:val="18"/>
              </w:rPr>
              <w:t xml:space="preserve">ABCs → 100% O₂ → Cardiac monitor → 2 large-bore IVs → STAT labs (BMP, glucose, cortisol, ACTH, 17-OHP, VBG)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STEP 2: </w:t>
            </w:r>
            <w:r>
              <w:rPr>
                <w:b/>
                <w:bCs/>
                <w:sz w:val="18"/>
                <w:szCs w:val="18"/>
              </w:rPr>
              <w:t xml:space="preserve">HYDROCORTISONE 2 mg/kg IV/IM (max 100 mg) — STAT. DO NOT WAIT FOR IV → GIVE IM.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STEP 3: </w:t>
            </w:r>
            <w:r>
              <w:rPr>
                <w:sz w:val="18"/>
                <w:szCs w:val="18"/>
              </w:rPr>
              <w:t xml:space="preserve">NS 20 mL/kg bolus over 15–20 min. Repeat ×3 PRN. Then D5NS at 1.5–2× maintenance.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STEP 4: </w:t>
            </w:r>
            <w:r>
              <w:rPr>
                <w:sz w:val="18"/>
                <w:szCs w:val="18"/>
              </w:rPr>
              <w:t xml:space="preserve">GLUCOSE &lt; 60? → D10W 5–10 mL/kg IV (infant) or D25W 2–4 mL/kg IV (child). Recheck q30 min.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STEP 5: </w:t>
            </w:r>
            <w:r>
              <w:rPr>
                <w:sz w:val="18"/>
                <w:szCs w:val="18"/>
              </w:rPr>
              <w:t xml:space="preserve">Ongoing HC: 50–100 mg/m²/day IV ÷ Q6H. OR continuous infusion 2–4 mg/m²/hr.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STEP 6: </w:t>
            </w:r>
            <w:r>
              <w:rPr>
                <w:sz w:val="18"/>
                <w:szCs w:val="18"/>
              </w:rPr>
              <w:t xml:space="preserve">K &gt; 6.0 + ECG changes? → CaGluconate 100 mg/kg IV over 5 min. K usually resolves with HC + fluids.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STEP 7: </w:t>
            </w:r>
            <w:r>
              <w:rPr>
                <w:sz w:val="18"/>
                <w:szCs w:val="18"/>
              </w:rPr>
              <w:t xml:space="preserve">Endocrine consult STAT (telemedicine if needed). ACTIVATE TRANSPORT to PICU.</w:t>
            </w:r>
          </w:p>
        </w:tc>
      </w:tr>
    </w:tbl>
    <w:p>
      <w:pPr>
        <w:spacing w:before="1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5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333EA"/>
                <w:sz w:val="18"/>
                <w:szCs w:val="18"/>
              </w:rPr>
              <w:t xml:space="preserve">NEONATAL SALT-WASTING CRISIS (New Dx, typically male 1–3 weeks): </w:t>
            </w:r>
            <w:r>
              <w:rPr>
                <w:sz w:val="18"/>
                <w:szCs w:val="18"/>
              </w:rPr>
              <w:t xml:space="preserve">HC 25 mg IV/IM STAT → NS 20 mL/kg bolus → D10W for hypoglycemia → Expect Na&lt;120, K&gt;7 → NICU transport STAT. Draw 17-OHP before steroids if possible.</w:t>
            </w:r>
          </w:p>
        </w:tc>
      </w:tr>
    </w:tbl>
    <w:r>
      <w:br w:type="page"/>
    </w:r>
    <w:p>
      <w:pPr>
        <w:pStyle w:val="Heading1"/>
      </w:pPr>
      <w:r>
        <w:t xml:space="preserve">PERIOPERATIVE STRESS DOSING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40"/>
        <w:gridCol w:w="3340"/>
        <w:gridCol w:w="3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Surgery Type</w:t>
            </w:r>
          </w:p>
        </w:tc>
        <w:tc>
          <w:tcPr>
            <w:tcW w:type="dxa" w:w="4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Induction Dose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Post-Op Dosing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Taper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Minor (local)</w:t>
            </w:r>
          </w:p>
        </w:tc>
        <w:tc>
          <w:tcPr>
            <w:tcW w:type="dxa" w:w="4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Double PO morning dose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Usual dose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None needed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Moderate (GA &lt;1h)</w:t>
            </w:r>
          </w:p>
        </w:tc>
        <w:tc>
          <w:tcPr>
            <w:tcW w:type="dxa" w:w="4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HC 50 mg/m² IV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50 mg/m²/day ÷ Q6H ×24–48h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÷2 each day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Major (cardiac/abd)</w:t>
            </w:r>
          </w:p>
        </w:tc>
        <w:tc>
          <w:tcPr>
            <w:tcW w:type="dxa" w:w="4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HC 50–100 mg/m² IV</w:t>
            </w:r>
          </w:p>
        </w:tc>
        <w:tc>
          <w:tcPr>
            <w:tcW w:type="dxa" w:w="3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50–100 mg/m²/day ÷ Q6H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÷2 each day ×2–3d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SPECIAL CONSIDERATIONS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10260"/>
      </w:tblGrid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NCCAH (not on daily GC)</w:t>
            </w:r>
          </w:p>
        </w:tc>
        <w:tc>
          <w:tcPr>
            <w:tcW w:type="dxa" w:w="10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Stress dose ONLY IF cortisol &lt; 14–18 µg/dL on cosyntropin stim or iatrogenic suppression. No crisis reported in untreated NCCAH.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NCCAH (ON daily GC)</w:t>
            </w:r>
          </w:p>
        </w:tc>
        <w:tc>
          <w:tcPr>
            <w:tcW w:type="dxa" w:w="10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Full sick day rules apply — same as classical CAH. Risk of secondary AI from HPA suppression.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Vaccination</w:t>
            </w:r>
          </w:p>
        </w:tc>
        <w:tc>
          <w:tcPr>
            <w:tcW w:type="dxa" w:w="10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No prophylactic dose increase. Apply standard fever-based sick day rules IF post-vaccination fever develops.</w:t>
            </w:r>
          </w:p>
        </w:tc>
      </w:tr>
      <w:tr>
        <w:tc>
          <w:tcPr>
            <w:tcW w:type="dxa" w:w="34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Pregnancy / Labor</w:t>
            </w:r>
          </w:p>
        </w:tc>
        <w:tc>
          <w:tcPr>
            <w:tcW w:type="dxa" w:w="10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Continue pre-pregnancy HC/FC. Stress dose HC during labor/delivery. HC is inactivated by placenta — safe for fetus.</w:t>
            </w:r>
          </w:p>
        </w:tc>
      </w:tr>
    </w:tbl>
    <w:p>
      <w:pPr>
        <w:spacing w:before="120"/>
      </w:pPr>
    </w:p>
    <w:p>
      <w:pPr>
        <w:pStyle w:val="Heading1"/>
      </w:pPr>
      <w:r>
        <w:t xml:space="preserve">TRANSPORT CRITERIA — CALL TRANSPORT IF: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• Hemodynamic instability despite initial resuscitation   </w:t>
            </w:r>
            <w:r>
              <w:rPr>
                <w:b/>
                <w:bCs/>
                <w:sz w:val="18"/>
                <w:szCs w:val="18"/>
              </w:rPr>
              <w:t xml:space="preserve">• Altered mental status / seizure   </w:t>
            </w:r>
            <w:r>
              <w:rPr>
                <w:b/>
                <w:bCs/>
                <w:sz w:val="18"/>
                <w:szCs w:val="18"/>
              </w:rPr>
              <w:t xml:space="preserve">• Need for continuous IV HC infusion   </w:t>
            </w:r>
            <w:r>
              <w:rPr>
                <w:b/>
                <w:bCs/>
                <w:sz w:val="18"/>
                <w:szCs w:val="18"/>
              </w:rPr>
              <w:t xml:space="preserve">• Persistent Na &lt; 125 or K &gt; 6.5 despite Tx   </w:t>
            </w:r>
            <w:r>
              <w:rPr>
                <w:b/>
                <w:bCs/>
                <w:sz w:val="18"/>
                <w:szCs w:val="18"/>
              </w:rPr>
              <w:t xml:space="preserve">• New diagnosis / first presentation   </w:t>
            </w:r>
            <w:r>
              <w:rPr>
                <w:b/>
                <w:bCs/>
                <w:sz w:val="18"/>
                <w:szCs w:val="18"/>
              </w:rPr>
              <w:t xml:space="preserve">• No improvement 1–2 hrs after crisis management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COMMON PITFALLS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88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1.</w:t>
            </w:r>
          </w:p>
        </w:tc>
        <w:tc>
          <w:tcPr>
            <w:tcW w:type="dxa" w:w="1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Failing to stress dose — the most dangerous error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2.</w:t>
            </w:r>
          </w:p>
        </w:tc>
        <w:tc>
          <w:tcPr>
            <w:tcW w:type="dxa" w:w="1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Waiting for IV access before giving IM hydrocortisone — give IM immediately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3.</w:t>
            </w:r>
          </w:p>
        </w:tc>
        <w:tc>
          <w:tcPr>
            <w:tcW w:type="dxa" w:w="1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Using dexamethasone first-line — no mineralocorticoid effect; use hydrocortisone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4.</w:t>
            </w:r>
          </w:p>
        </w:tc>
        <w:tc>
          <w:tcPr>
            <w:tcW w:type="dxa" w:w="1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Forgetting to check glucose — hypoglycemia is common, especially ages 1–11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18"/>
                <w:szCs w:val="18"/>
              </w:rPr>
              <w:t xml:space="preserve">5.</w:t>
            </w:r>
          </w:p>
        </w:tc>
        <w:tc>
          <w:tcPr>
            <w:tcW w:type="dxa" w:w="1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18"/>
                <w:szCs w:val="18"/>
              </w:rPr>
              <w:t xml:space="preserve">Stopping stress doses too early — continue for full duration of illness</w:t>
            </w:r>
          </w:p>
        </w:tc>
      </w:tr>
    </w:tbl>
    <w:p>
      <w:pPr>
        <w:spacing w:before="8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NICU/PICU: [YOUR NUMBER]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Transport Team: [YOUR NUMBER]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Peds Endocrine: [YOUR NUMBER]</w:t>
            </w:r>
          </w:p>
        </w:tc>
      </w:tr>
    </w:tbl>
    <w:p>
      <w:pPr>
        <w:spacing w:before="40"/>
      </w:pPr>
      <w:r>
        <w:rPr>
          <w:i/>
          <w:iCs/>
          <w:color w:val="999999"/>
          <w:sz w:val="14"/>
          <w:szCs w:val="14"/>
        </w:rPr>
        <w:t xml:space="preserve">References: Speiser 2018 (Endocrine Society CPG), El-Maouche 2018 (NIH), Ali 2022 (I-CAH Survey), BSPED 2023, Arlt 2020. Full citations in companion textbook.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| April 2026 | Pediatric Emergency CDS Project | For Educational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60"/>
    </w:pPr>
    <w:r>
      <w:rPr>
        <w:b/>
        <w:bCs/>
        <w:color w:val="1E3A5F"/>
        <w:sz w:val="24"/>
        <w:szCs w:val="24"/>
      </w:rPr>
      <w:t xml:space="preserve">CAH ACUTE ILLNESS &amp; SICK DAY DOSING — QUICK REFERENCE</w:t>
    </w:r>
    <w:r>
      <w:rPr>
        <w:i/>
        <w:iCs/>
        <w:color w:val="6C757D"/>
        <w:sz w:val="16"/>
        <w:szCs w:val="16"/>
      </w:rPr>
      <w:t xml:space="preserve">     Level I/II Nursery &amp; Rural 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0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2026-04-03T10:28:38.640Z</dcterms:created>
  <dcterms:modified xsi:type="dcterms:W3CDTF">2026-04-03T10:28:38.640Z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