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3A5F"/>
          <w:sz w:val="52"/>
          <w:szCs w:val="52"/>
        </w:rPr>
        <w:t xml:space="preserve">Congenital Adrenal Hyperplasia:</w:t>
      </w:r>
    </w:p>
    <w:p>
      <w:pPr>
        <w:jc w:val="center"/>
      </w:pPr>
      <w:r>
        <w:rPr>
          <w:rFonts w:ascii="Arial" w:cs="Arial" w:eastAsia="Arial" w:hAnsi="Arial"/>
          <w:b/>
          <w:bCs/>
          <w:color w:val="2563EB"/>
          <w:sz w:val="44"/>
          <w:szCs w:val="44"/>
        </w:rPr>
        <w:t xml:space="preserve">Acute Illness Management &amp; Sick Day Dosing</w:t>
      </w:r>
    </w:p>
    <w:p>
      <w:pPr>
        <w:spacing w:before="400"/>
        <w:jc w:val="center"/>
      </w:pPr>
      <w:r>
        <w:rPr>
          <w:color w:val="495057"/>
          <w:sz w:val="26"/>
          <w:szCs w:val="26"/>
        </w:rPr>
        <w:t xml:space="preserve">A Comprehensive Guide for Rural Nursery &amp; Emergency Department Providers</w:t>
      </w:r>
    </w:p>
    <w:p>
      <w:pPr>
        <w:spacing w:before="200"/>
        <w:jc w:val="center"/>
      </w:pPr>
      <w:r>
        <w:rPr>
          <w:i/>
          <w:iCs/>
          <w:color w:val="6C757D"/>
          <w:sz w:val="24"/>
          <w:szCs w:val="24"/>
        </w:rPr>
        <w:t xml:space="preserve">Level I and Level II/II+ Nursery Education Series</w:t>
      </w:r>
    </w:p>
    <w:p>
      <w:pPr>
        <w:spacing w:before="100"/>
        <w:jc w:val="center"/>
      </w:pPr>
      <w:r>
        <w:rPr>
          <w:color w:val="6C757D"/>
          <w:sz w:val="22"/>
          <w:szCs w:val="22"/>
        </w:rPr>
        <w:t xml:space="preserve">For the Pediatric Emergency Medicine CDS Project</w:t>
      </w:r>
    </w:p>
    <w:p>
      <w:pPr>
        <w:spacing w:before="600"/>
        <w:jc w:val="center"/>
      </w:pPr>
      <w:r>
        <w:rPr>
          <w:color w:val="999999"/>
          <w:sz w:val="22"/>
          <w:szCs w:val="22"/>
        </w:rPr>
        <w:t xml:space="preserve">April 2026</w:t>
      </w:r>
    </w:p>
    <w:p>
      <w:r>
        <w:br w:type="page"/>
      </w: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Chapter 1: Introduction and Scope</w:t>
      </w:r>
    </w:p>
    <w:p>
      <w:pPr>
        <w:pStyle w:val="Heading2"/>
      </w:pPr>
      <w:r>
        <w:t xml:space="preserve">1.1 Why This Topic Matters in the Rural Setting</w:t>
      </w:r>
    </w:p>
    <w:p>
      <w:pPr>
        <w:spacing w:after="120"/>
      </w:pPr>
      <w:r>
        <w:t xml:space="preserve">Congenital adrenal hyperplasia (CAH) due to 21-hydroxylase deficiency is the most common cause of primary adrenal insufficiency in the pediatric population, with an estimated incidence of approximately 1 in 10,000 to 1 in 15,000 live births in the United States and Europe. While all newborns in the United States are screened for classical 21-hydroxylase deficiency, the day-to-day management of acute illness in CAH patients — particularly the appropriate application of glucocorticoid stress dosing and the recognition and treatment of adrenal crisis — remains a critical knowledge gap for many providers in community and rural settings.</w:t>
      </w:r>
    </w:p>
    <w:p>
      <w:pPr>
        <w:spacing w:after="120"/>
      </w:pPr>
      <w:r>
        <w:t xml:space="preserve">In rural emergency departments and Level I/II nurseries, encounters with CAH patients during acute illness are infrequent, yet the stakes are extraordinarily high. An undertreated CAH patient during a febrile gastrointestinal illness can deteriorate into life-threatening adrenal crisis within hours. The longitudinal study by El-Maouche and colleagues at the National Institutes of Health (2018), which followed 156 CAH patients over 23 years, demonstrated that gastrointestinal infections and upper respiratory tract infections were the two most common precipitants of adrenal crisis and hospitalizations across all age groups. Adrenal crisis with probable hypoglycemia occurred in 11 pediatric patients ranging from 1.1 to 11.3 years of age.</w:t>
      </w:r>
    </w:p>
    <w:p>
      <w:pPr>
        <w:spacing w:after="120"/>
      </w:pPr>
      <w:r>
        <w:t xml:space="preserve">This guide is designed for the full spectrum of rural providers — family medicine physicians, pediatricians, emergency medicine physicians, neonatal nurse practitioners, and registered nurses — who may care for a CAH patient during acute illness. It provides a systematic, evidence-based approach to sick day dosing, recognition of impending adrenal crisis, emergency management, and stabilization prior to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sz w:val="22"/>
                <w:szCs w:val="22"/>
              </w:rPr>
              <w:t xml:space="preserve">RURAL CONSIDERATION</w:t>
            </w:r>
          </w:p>
          <w:p>
            <w:pPr>
              <w:spacing w:before="60"/>
            </w:pPr>
            <w:r>
              <w:rPr>
                <w:sz w:val="20"/>
                <w:szCs w:val="20"/>
              </w:rPr>
              <w:t xml:space="preserve">In Critical Access Hospitals with limited pharmacy hours and formulary, ensure that hydrocortisone sodium succinate (Solu-Cortef) for injection is stocked in the emergency department Pyxis at all times. Confirm that IM/IV hydrocortisone is available and that all ED nurses know the location and reconstitution procedure. Consider adding CAH to the facility's rare-but-critical condition protocol list.</w:t>
            </w:r>
          </w:p>
        </w:tc>
      </w:tr>
    </w:tbl>
    <w:p>
      <w:pPr>
        <w:pStyle w:val="Heading2"/>
      </w:pPr>
      <w:r>
        <w:t xml:space="preserve">1.2 Scope of Practice Considerations</w:t>
      </w:r>
    </w:p>
    <w:p>
      <w:pPr>
        <w:spacing w:after="120"/>
      </w:pPr>
      <w:r>
        <w:t xml:space="preserve">This guide covers the management of acute illness and sick day dosing in patients with known congenital adrenal hyperplasia, with emphasis on the following clinical scenarios: (1) outpatient sick day management with oral stress dosing; (2) emergency department evaluation and IM/IV stress dosing for moderate-to-severe illness; (3) recognition and emergency treatment of acute adrenal crisis; (4) perioperative stress dosing; and (5) neonatal salt-wasting crisis as a first presentation. Special considerations for non-classical CAH are also addressed.</w:t>
      </w:r>
    </w:p>
    <w:p>
      <w:pPr>
        <w:spacing w:after="120"/>
      </w:pPr>
      <w:r>
        <w:t xml:space="preserve">This guide does not cover the long-term management of CAH (medication titration, hormonal monitoring, growth optimization, surgical considerations) or the diagnostic workup of suspected but unconfirmed CAH, which should be managed in consultation with a pediatric endocrinologist.</w:t>
      </w:r>
    </w:p>
    <w:p>
      <w:pPr>
        <w:pStyle w:val="Heading2"/>
      </w:pPr>
      <w:r>
        <w:t xml:space="preserve">1.3 How to Use This Guide</w:t>
      </w:r>
    </w:p>
    <w:p>
      <w:pPr>
        <w:spacing w:after="120"/>
      </w:pPr>
      <w:r>
        <w:t xml:space="preserve">Chapter 2 provides foundational pathophysiology to help providers understand why stress dosing is necessary. Chapter 3 covers the clinical presentation and assessment of the CAH patient with acute illness. Chapter 4 addresses the diagnostic workup during acute presentations. Chapter 5 is the core management chapter with step-by-step protocols and dosing tables. Chapter 6 covers special populations including neonates, non-classical CAH, and perioperative management. Chapter 7 addresses transport and escalation criteria for rural settings. Chapter 8 discusses quality and safety considerations. Chapter 9 presents clinical case studies. Chapter 10 provides a summary of key takeaways.</w:t>
      </w:r>
    </w:p>
    <w:p>
      <w:r>
        <w:br w:type="page"/>
      </w:r>
    </w:p>
    <w:p>
      <w:pPr>
        <w:pStyle w:val="Heading1"/>
      </w:pPr>
      <w:r>
        <w:t xml:space="preserve">Chapter 2: Foundational Knowledge</w:t>
      </w:r>
    </w:p>
    <w:p>
      <w:pPr>
        <w:pStyle w:val="Heading2"/>
      </w:pPr>
      <w:r>
        <w:t xml:space="preserve">2.1 Normal Adrenal Physiology and the Cortisol Stress Response</w:t>
      </w:r>
    </w:p>
    <w:p>
      <w:pPr>
        <w:spacing w:after="120"/>
      </w:pPr>
      <w:r>
        <w:t xml:space="preserve">The adrenal glands, located atop each kidney, produce three critical classes of steroid hormones from the adrenal cortex: glucocorticoids (primarily cortisol) from the zona fasciculata, mineralocorticoids (primarily aldosterone) from the zona glomerulosa, and androgens (primarily dehydroepiandrosterone [DHEA] and androstenedione) from the zona reticularis. The adrenal medulla produces catecholamines (epinephrine and norepinephrine).</w:t>
      </w:r>
    </w:p>
    <w:p>
      <w:pPr>
        <w:spacing w:after="120"/>
      </w:pPr>
      <w:r>
        <w:t xml:space="preserve">Under normal physiological conditions, the hypothalamic-pituitary-adrenal (HPA) axis regulates cortisol production through a negative feedback loop. The hypothalamus releases corticotropin-releasing hormone (CRH), which stimulates the anterior pituitary to secrete adrenocorticotropic hormone (ACTH). ACTH then drives the adrenal cortex to produce cortisol. Normal cortisol production follows a diurnal rhythm, with peak levels in the early morning (approximately 10–20 micrograms per deciliter) and nadir levels in the late evening. Total daily cortisol production in a healthy individual is approximately 6 to 8 milligrams per square meter of body surface area per day.</w:t>
      </w:r>
    </w:p>
    <w:p>
      <w:pPr>
        <w:spacing w:after="120"/>
      </w:pPr>
      <w:r>
        <w:t xml:space="preserve">During physiological stress — such as acute illness, fever, trauma, or surgery — the HPA axis dramatically upregulates cortisol production. Stress-level cortisol output may increase 3- to 5-fold, reaching 50 to 75 milligrams per square meter per day or higher. This stress response is essential for maintaining cardiovascular stability, adequate blood glucose levels, modulating the immune response, and supporting cellular metabolism during the catabolic state of illness. Without an adequate cortisol stress response, the patient is at risk for hemodynamic collapse, hypoglycemia, and death.</w:t>
      </w:r>
    </w:p>
    <w:p>
      <w:pPr>
        <w:pStyle w:val="Heading2"/>
      </w:pPr>
      <w:r>
        <w:t xml:space="preserve">2.2 Pathophysiology of Congenital Adrenal Hyperplasia</w:t>
      </w:r>
    </w:p>
    <w:p>
      <w:pPr>
        <w:spacing w:after="120"/>
      </w:pPr>
      <w:r>
        <w:t xml:space="preserve">Congenital adrenal hyperplasia due to 21-hydroxylase deficiency accounts for more than 95 percent of all CAH cases. The 21-hydroxylase enzyme (CYP21A2) catalyzes the conversion of 17-hydroxyprogesterone (17-OHP) to 11-deoxycortisol in the cortisol synthesis pathway, and the conversion of progesterone to deoxycorticosterone in the aldosterone synthesis pathway. When this enzyme is absent or deficient, both cortisol and aldosterone production are impaired.</w:t>
      </w:r>
    </w:p>
    <w:p>
      <w:pPr>
        <w:spacing w:after="120"/>
      </w:pPr>
      <w:r>
        <w:t xml:space="preserve">The consequences of 21-hydroxylase deficiency are threefold. First, cortisol deficiency leads to loss of negative feedback on the HPA axis, resulting in dramatically elevated ACTH levels. Second, the elevated ACTH drives excessive stimulation of the adrenal cortex, leading to bilateral adrenal hyperplasia (hence the name of the condition). Third, the enzymatic block causes accumulation of cortisol precursors proximal to the block — particularly 17-hydroxyprogesterone — which are shunted into the androgen synthesis pathway, producing excess androgens.</w:t>
      </w:r>
    </w:p>
    <w:p>
      <w:pPr>
        <w:spacing w:after="120"/>
      </w:pPr>
      <w:r>
        <w:t xml:space="preserve">The clinical severity of CAH depends on the degree of residual 21-hydroxylase enzyme activity, which is determined by the specific mutations in the CYP21A2 gene:</w:t>
      </w:r>
    </w:p>
    <w:p>
      <w:pPr>
        <w:pStyle w:val="ListParagraph"/>
        <w:numPr>
          <w:ilvl w:val="0"/>
          <w:numId w:val="2"/>
        </w:numPr>
        <w:spacing w:after="60"/>
      </w:pPr>
      <w:r>
        <w:rPr>
          <w:sz w:val="22"/>
          <w:szCs w:val="22"/>
        </w:rPr>
        <w:t xml:space="preserve">Classical Salt-Wasting (SW) CAH: Complete or near-complete loss of enzyme activity. Both cortisol and aldosterone are severely deficient. Without treatment, neonates develop life-threatening salt-wasting crisis at 1 to 3 weeks of age. This is the most common form of classical CAH, accounting for approximately 75% of classical cases.</w:t>
      </w:r>
    </w:p>
    <w:p>
      <w:pPr>
        <w:pStyle w:val="ListParagraph"/>
        <w:numPr>
          <w:ilvl w:val="0"/>
          <w:numId w:val="2"/>
        </w:numPr>
        <w:spacing w:after="60"/>
      </w:pPr>
      <w:r>
        <w:rPr>
          <w:sz w:val="22"/>
          <w:szCs w:val="22"/>
        </w:rPr>
        <w:t xml:space="preserve">Classical Simple Virilizing (SV) CAH: Severe but not complete loss of enzyme activity. Cortisol is deficient, but residual aldosterone production is sufficient to prevent overt salt-wasting in most cases (though subtle mineralocorticoid deficiency may be present). Androgen excess causes virilization.</w:t>
      </w:r>
    </w:p>
    <w:p>
      <w:pPr>
        <w:pStyle w:val="ListParagraph"/>
        <w:numPr>
          <w:ilvl w:val="0"/>
          <w:numId w:val="2"/>
        </w:numPr>
        <w:spacing w:after="60"/>
      </w:pPr>
      <w:r>
        <w:rPr>
          <w:sz w:val="22"/>
          <w:szCs w:val="22"/>
        </w:rPr>
        <w:t xml:space="preserve">Non-Classical (NC) CAH: Partial enzyme deficiency with mild cortisol impairment and variable androgen excess. Patients typically do not have salt-wasting and may be asymptomatic or present later in childhood or adulthood with symptoms of androgen excess (premature adrenarche, hirsutism, acne, menstrual irregularity).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00"/>
              <w:left w:type="dxa" w:w="150"/>
              <w:bottom w:type="dxa" w:w="100"/>
              <w:right w:type="dxa" w:w="150"/>
            </w:tcMar>
          </w:tcPr>
          <w:p>
            <w:r>
              <w:rPr>
                <w:b/>
                <w:bCs/>
                <w:sz w:val="22"/>
                <w:szCs w:val="22"/>
              </w:rPr>
              <w:t xml:space="preserve">CRITICAL POINT</w:t>
            </w:r>
          </w:p>
          <w:p>
            <w:pPr>
              <w:spacing w:before="60"/>
            </w:pPr>
            <w:r>
              <w:rPr>
                <w:sz w:val="20"/>
                <w:szCs w:val="20"/>
              </w:rPr>
              <w:t xml:space="preserve">Patients with classical CAH (salt-wasting or simple virilizing) CANNOT mount an adequate cortisol response to physiological stress. During acute illness, their glucocorticoid replacement must be increased (stress dosing) to simulate the normal stress response. Failure to do so can result in adrenal crisis and death.</w:t>
            </w:r>
          </w:p>
        </w:tc>
      </w:tr>
    </w:tbl>
    <w:p>
      <w:pPr>
        <w:pStyle w:val="Heading2"/>
      </w:pPr>
      <w:r>
        <w:t xml:space="preserve">2.3 Why Stress Dosing Is Necessary</w:t>
      </w:r>
    </w:p>
    <w:p>
      <w:pPr>
        <w:spacing w:after="120"/>
      </w:pPr>
      <w:r>
        <w:t xml:space="preserve">The fundamental principle of sick day dosing in CAH is straightforward: because the patient's adrenal glands cannot increase cortisol output during stress, exogenous glucocorticoid doses must be increased to approximate the physiological stress response. The maintenance hydrocortisone dose (typically 10 to 15 milligrams per square meter per day) is designed to replace the normal daily cortisol output. During illness, the target is to approximate stress-level cortisol output of 50 to 75 milligrams per square meter per day.</w:t>
      </w:r>
    </w:p>
    <w:p>
      <w:pPr>
        <w:spacing w:after="120"/>
      </w:pPr>
      <w:r>
        <w:t xml:space="preserve">The 2018 Endocrine Society Clinical Practice Guideline for CAH due to 21-hydroxylase deficiency (Speiser et al.) recommends stress dosing during febrile illness, trauma, and surgery for all patients with classical CAH. The guideline emphasizes that glucocorticoid dose adjustments should be proportional to the severity of the stress and that patients and families should be educated on stress dosing at every clinical encounter.</w:t>
      </w:r>
    </w:p>
    <w:p>
      <w:pPr>
        <w:spacing w:after="120"/>
      </w:pPr>
      <w:r>
        <w:t xml:space="preserve">The international survey by Ali and colleagues (2022), published in Hormone Research in Paediatrics, evaluated management practices across 56 specialist centres from 27 countries. All 56 centres advised glucocorticoid stress dosing in the event of fever. However, the survey revealed significant variation in specific stress dosing regimens: 43 percent of centres recommended tripling the total daily dose and giving it three times daily, while 38 percent recommended doubling or tripling the largest daily dose depending on illness severity.</w:t>
      </w:r>
    </w:p>
    <w:p>
      <w:pPr>
        <w:pStyle w:val="Heading2"/>
      </w:pPr>
      <w:r>
        <w:t xml:space="preserve">2.4 Adrenal Medullary Dysfunction in CAH</w:t>
      </w:r>
    </w:p>
    <w:p>
      <w:pPr>
        <w:spacing w:after="120"/>
      </w:pPr>
      <w:r>
        <w:t xml:space="preserve">An important and often underappreciated aspect of CAH pathophysiology is the impairment of adrenal medullary function. The adrenal medulla, which produces epinephrine (adrenaline), requires cortisol from the adjacent adrenal cortex for normal development and function. In CAH, chronic cortisol deficiency leads to impaired adrenal medullary development and reduced epinephrine synthesis.</w:t>
      </w:r>
    </w:p>
    <w:p>
      <w:pPr>
        <w:spacing w:after="120"/>
      </w:pPr>
      <w:r>
        <w:t xml:space="preserve">The NIH longitudinal study by El-Maouche et al. (2018) found that undetectable epinephrine levels were associated with emergency room visits during childhood and increased illness episodes during adulthood. This epinephrine deficiency compounds the risk during acute illness, as patients with CAH lack both the cortisol stress response and the epinephrine counter-regulatory response to hypoglycemia, potentially explaining the high rate of hypoglycemia-associated adrenal crises in pediatric CAH patients.</w:t>
      </w:r>
    </w:p>
    <w:p>
      <w:pPr>
        <w:pStyle w:val="Heading2"/>
      </w:pPr>
      <w:r>
        <w:t xml:space="preserve">2.5 Epidemiology of Adrenal Crisis in CAH</w:t>
      </w:r>
    </w:p>
    <w:p>
      <w:pPr>
        <w:spacing w:after="120"/>
      </w:pPr>
      <w:r>
        <w:t xml:space="preserve">Adrenal crisis is a medical emergency that, if untreated, can be fatal. Published literature reports varying rates of adrenal crisis in CAH patients, but the risk is real and lifelong. Key epidemiological findings include the following observations. During childhood, illness episodes and stress dosing are more frequent, but emergency room visits and hospitalizations paradoxically occur more often during adulthood, likely reflecting decreased vigilance and adherence to stress dosing as patients transition to self-management. Gastrointestinal infections are the single most dangerous precipitant of adrenal crisis across all age groups, because vomiting prevents oral medication absorption, and diarrhea causes volume depletion and electrolyte losses. Upper respiratory infections are the second most common trigger. Surgical procedures and trauma account for a smaller but significant proportion of adrenal crises, particularly when stress dosing is not administered perioperatively.</w:t>
      </w:r>
    </w:p>
    <w:p>
      <w:r>
        <w:br w:type="page"/>
      </w:r>
    </w:p>
    <w:p>
      <w:pPr>
        <w:pStyle w:val="Heading1"/>
      </w:pPr>
      <w:r>
        <w:t xml:space="preserve">Chapter 3: Clinical Presentation and Assessment</w:t>
      </w:r>
    </w:p>
    <w:p>
      <w:pPr>
        <w:pStyle w:val="Heading2"/>
      </w:pPr>
      <w:r>
        <w:t xml:space="preserve">3.1 Signs and Symptoms of Inadequate Glucocorticoid Coverage</w:t>
      </w:r>
    </w:p>
    <w:p>
      <w:pPr>
        <w:spacing w:after="120"/>
      </w:pPr>
      <w:r>
        <w:t xml:space="preserve">The CAH patient presenting with acute illness may display a spectrum of clinical findings ranging from mild illness with adequate stress dosing to fulminant adrenal crisis. The provider must rapidly assess where the patient falls on this spectrum and intervene accordingly.</w:t>
      </w:r>
    </w:p>
    <w:p>
      <w:pPr>
        <w:pStyle w:val="Heading3"/>
      </w:pPr>
      <w:r>
        <w:t xml:space="preserve">3.1.1 Early Warning Signs (Impending Adrenal Insufficiency)</w:t>
      </w:r>
    </w:p>
    <w:p>
      <w:pPr>
        <w:pStyle w:val="ListParagraph"/>
        <w:numPr>
          <w:ilvl w:val="0"/>
          <w:numId w:val="2"/>
        </w:numPr>
        <w:spacing w:after="60"/>
      </w:pPr>
      <w:r>
        <w:rPr>
          <w:sz w:val="22"/>
          <w:szCs w:val="22"/>
        </w:rPr>
        <w:t xml:space="preserve">Fatigue and lethargy disproportionate to the apparent illness severity</w:t>
      </w:r>
    </w:p>
    <w:p>
      <w:pPr>
        <w:pStyle w:val="ListParagraph"/>
        <w:numPr>
          <w:ilvl w:val="0"/>
          <w:numId w:val="2"/>
        </w:numPr>
        <w:spacing w:after="60"/>
      </w:pPr>
      <w:r>
        <w:rPr>
          <w:sz w:val="22"/>
          <w:szCs w:val="22"/>
        </w:rPr>
        <w:t xml:space="preserve">Nausea, anorexia, or mild abdominal discomfort</w:t>
      </w:r>
    </w:p>
    <w:p>
      <w:pPr>
        <w:pStyle w:val="ListParagraph"/>
        <w:numPr>
          <w:ilvl w:val="0"/>
          <w:numId w:val="2"/>
        </w:numPr>
        <w:spacing w:after="60"/>
      </w:pPr>
      <w:r>
        <w:rPr>
          <w:sz w:val="22"/>
          <w:szCs w:val="22"/>
        </w:rPr>
        <w:t xml:space="preserve">Mild postural dizziness or lightheadedness</w:t>
      </w:r>
    </w:p>
    <w:p>
      <w:pPr>
        <w:pStyle w:val="ListParagraph"/>
        <w:numPr>
          <w:ilvl w:val="0"/>
          <w:numId w:val="2"/>
        </w:numPr>
        <w:spacing w:after="60"/>
      </w:pPr>
      <w:r>
        <w:rPr>
          <w:sz w:val="22"/>
          <w:szCs w:val="22"/>
        </w:rPr>
        <w:t xml:space="preserve">Myalgias, arthralgias</w:t>
      </w:r>
    </w:p>
    <w:p>
      <w:pPr>
        <w:pStyle w:val="ListParagraph"/>
        <w:numPr>
          <w:ilvl w:val="0"/>
          <w:numId w:val="2"/>
        </w:numPr>
        <w:spacing w:after="60"/>
      </w:pPr>
      <w:r>
        <w:rPr>
          <w:sz w:val="22"/>
          <w:szCs w:val="22"/>
        </w:rPr>
        <w:t xml:space="preserve">Low-grade hypotension (may be subtle; compare to patient's baseline)</w:t>
      </w:r>
    </w:p>
    <w:p>
      <w:pPr>
        <w:pStyle w:val="ListParagraph"/>
        <w:numPr>
          <w:ilvl w:val="0"/>
          <w:numId w:val="2"/>
        </w:numPr>
        <w:spacing w:after="60"/>
      </w:pPr>
      <w:r>
        <w:rPr>
          <w:sz w:val="22"/>
          <w:szCs w:val="22"/>
        </w:rPr>
        <w:t xml:space="preserve">Mild hyponatremia on labs (sodium 130–135 mEq/L)</w:t>
      </w:r>
    </w:p>
    <w:p>
      <w:pPr>
        <w:pStyle w:val="Heading3"/>
      </w:pPr>
      <w:r>
        <w:t xml:space="preserve">3.1.2 Adrenal Crisis Presentation</w:t>
      </w:r>
    </w:p>
    <w:p>
      <w:pPr>
        <w:pStyle w:val="ListParagraph"/>
        <w:numPr>
          <w:ilvl w:val="0"/>
          <w:numId w:val="2"/>
        </w:numPr>
        <w:spacing w:after="60"/>
      </w:pPr>
      <w:r>
        <w:rPr>
          <w:sz w:val="22"/>
          <w:szCs w:val="22"/>
        </w:rPr>
        <w:t xml:space="preserve">Hypotension refractory to initial fluid bolus</w:t>
      </w:r>
    </w:p>
    <w:p>
      <w:pPr>
        <w:pStyle w:val="ListParagraph"/>
        <w:numPr>
          <w:ilvl w:val="0"/>
          <w:numId w:val="2"/>
        </w:numPr>
        <w:spacing w:after="60"/>
      </w:pPr>
      <w:r>
        <w:rPr>
          <w:sz w:val="22"/>
          <w:szCs w:val="22"/>
        </w:rPr>
        <w:t xml:space="preserve">Altered mental status: confusion, obtundation, unresponsiveness</w:t>
      </w:r>
    </w:p>
    <w:p>
      <w:pPr>
        <w:pStyle w:val="ListParagraph"/>
        <w:numPr>
          <w:ilvl w:val="0"/>
          <w:numId w:val="2"/>
        </w:numPr>
        <w:spacing w:after="60"/>
      </w:pPr>
      <w:r>
        <w:rPr>
          <w:sz w:val="22"/>
          <w:szCs w:val="22"/>
        </w:rPr>
        <w:t xml:space="preserve">Severe dehydration with poor perfusion (cap refill &gt;3 seconds, mottled extremities, weak pulses)</w:t>
      </w:r>
    </w:p>
    <w:p>
      <w:pPr>
        <w:pStyle w:val="ListParagraph"/>
        <w:numPr>
          <w:ilvl w:val="0"/>
          <w:numId w:val="2"/>
        </w:numPr>
        <w:spacing w:after="60"/>
      </w:pPr>
      <w:r>
        <w:rPr>
          <w:sz w:val="22"/>
          <w:szCs w:val="22"/>
        </w:rPr>
        <w:t xml:space="preserve">Profound weakness or inability to stand/ambulate</w:t>
      </w:r>
    </w:p>
    <w:p>
      <w:pPr>
        <w:pStyle w:val="ListParagraph"/>
        <w:numPr>
          <w:ilvl w:val="0"/>
          <w:numId w:val="2"/>
        </w:numPr>
        <w:spacing w:after="60"/>
      </w:pPr>
      <w:r>
        <w:rPr>
          <w:sz w:val="22"/>
          <w:szCs w:val="22"/>
        </w:rPr>
        <w:t xml:space="preserve">Severe abdominal pain, sometimes mimicking an acute abdomen</w:t>
      </w:r>
    </w:p>
    <w:p>
      <w:pPr>
        <w:pStyle w:val="ListParagraph"/>
        <w:numPr>
          <w:ilvl w:val="0"/>
          <w:numId w:val="2"/>
        </w:numPr>
        <w:spacing w:after="60"/>
      </w:pPr>
      <w:r>
        <w:rPr>
          <w:sz w:val="22"/>
          <w:szCs w:val="22"/>
        </w:rPr>
        <w:t xml:space="preserve">Seizures (particularly in young children, often related to hypoglycemia)</w:t>
      </w:r>
    </w:p>
    <w:p>
      <w:pPr>
        <w:pStyle w:val="ListParagraph"/>
        <w:numPr>
          <w:ilvl w:val="0"/>
          <w:numId w:val="2"/>
        </w:numPr>
        <w:spacing w:after="60"/>
      </w:pPr>
      <w:r>
        <w:rPr>
          <w:sz w:val="22"/>
          <w:szCs w:val="22"/>
        </w:rPr>
        <w:t xml:space="preserve">Cardiovascular collapse and shock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00"/>
              <w:left w:type="dxa" w:w="150"/>
              <w:bottom w:type="dxa" w:w="100"/>
              <w:right w:type="dxa" w:w="150"/>
            </w:tcMar>
          </w:tcPr>
          <w:p>
            <w:r>
              <w:rPr>
                <w:b/>
                <w:bCs/>
                <w:sz w:val="22"/>
                <w:szCs w:val="22"/>
              </w:rPr>
              <w:t xml:space="preserve">CRITICAL POINT</w:t>
            </w:r>
          </w:p>
          <w:p>
            <w:pPr>
              <w:spacing w:before="60"/>
            </w:pPr>
            <w:r>
              <w:rPr>
                <w:sz w:val="20"/>
                <w:szCs w:val="20"/>
              </w:rPr>
              <w:t xml:space="preserve">Adrenal crisis can mimic sepsis, diabetic ketoacidosis, or acute abdomen. In any known CAH patient presenting with hemodynamic instability, altered mental status, or cardiovascular collapse, TREAT FOR ADRENAL CRISIS FIRST with empiric IV/IM hydrocortisone. Do not delay treatment for laboratory confirmation.</w:t>
            </w:r>
          </w:p>
        </w:tc>
      </w:tr>
    </w:tbl>
    <w:p>
      <w:pPr>
        <w:pStyle w:val="Heading2"/>
      </w:pPr>
      <w:r>
        <w:t xml:space="preserve">3.2 Focused Assessment of the Acutely Ill CAH Patient</w:t>
      </w:r>
    </w:p>
    <w:p>
      <w:pPr>
        <w:spacing w:after="120"/>
      </w:pPr>
      <w:r>
        <w:t xml:space="preserve">The initial assessment of an acutely ill CAH patient should include the following focused elements:</w:t>
      </w:r>
    </w:p>
    <w:p>
      <w:pPr>
        <w:pStyle w:val="ListParagraph"/>
        <w:numPr>
          <w:ilvl w:val="0"/>
          <w:numId w:val="2"/>
        </w:numPr>
        <w:spacing w:after="60"/>
      </w:pPr>
      <w:r>
        <w:rPr>
          <w:sz w:val="22"/>
          <w:szCs w:val="22"/>
        </w:rPr>
        <w:t xml:space="preserve">Current medication regimen: exact hydrocortisone dose and frequency, fludrocortisone dose, any other medications</w:t>
      </w:r>
    </w:p>
    <w:p>
      <w:pPr>
        <w:pStyle w:val="ListParagraph"/>
        <w:numPr>
          <w:ilvl w:val="0"/>
          <w:numId w:val="2"/>
        </w:numPr>
        <w:spacing w:after="60"/>
      </w:pPr>
      <w:r>
        <w:rPr>
          <w:sz w:val="22"/>
          <w:szCs w:val="22"/>
        </w:rPr>
        <w:t xml:space="preserve">Last dose taken: time and amount of last hydrocortisone dose, whether any doses were missed or vomited</w:t>
      </w:r>
    </w:p>
    <w:p>
      <w:pPr>
        <w:pStyle w:val="ListParagraph"/>
        <w:numPr>
          <w:ilvl w:val="0"/>
          <w:numId w:val="2"/>
        </w:numPr>
        <w:spacing w:after="60"/>
      </w:pPr>
      <w:r>
        <w:rPr>
          <w:sz w:val="22"/>
          <w:szCs w:val="22"/>
        </w:rPr>
        <w:t xml:space="preserve">Current illness: onset, duration, fever (maximum temperature), vomiting (frequency), diarrhea, oral intake</w:t>
      </w:r>
    </w:p>
    <w:p>
      <w:pPr>
        <w:pStyle w:val="ListParagraph"/>
        <w:numPr>
          <w:ilvl w:val="0"/>
          <w:numId w:val="2"/>
        </w:numPr>
        <w:spacing w:after="60"/>
      </w:pPr>
      <w:r>
        <w:rPr>
          <w:sz w:val="22"/>
          <w:szCs w:val="22"/>
        </w:rPr>
        <w:t xml:space="preserve">Stress dosing already given: whether the family has already increased the dose, whether IM hydrocortisone was administered from the home emergency kit</w:t>
      </w:r>
    </w:p>
    <w:p>
      <w:pPr>
        <w:pStyle w:val="ListParagraph"/>
        <w:numPr>
          <w:ilvl w:val="0"/>
          <w:numId w:val="2"/>
        </w:numPr>
        <w:spacing w:after="60"/>
      </w:pPr>
      <w:r>
        <w:rPr>
          <w:sz w:val="22"/>
          <w:szCs w:val="22"/>
        </w:rPr>
        <w:t xml:space="preserve">Vital signs with particular attention to blood pressure, heart rate, and capillary refill</w:t>
      </w:r>
    </w:p>
    <w:p>
      <w:pPr>
        <w:pStyle w:val="ListParagraph"/>
        <w:numPr>
          <w:ilvl w:val="0"/>
          <w:numId w:val="2"/>
        </w:numPr>
        <w:spacing w:after="60"/>
      </w:pPr>
      <w:r>
        <w:rPr>
          <w:sz w:val="22"/>
          <w:szCs w:val="22"/>
        </w:rPr>
        <w:t xml:space="preserve">Mental status: alert, lethargic, obtunded, unresponsive</w:t>
      </w:r>
    </w:p>
    <w:p>
      <w:pPr>
        <w:pStyle w:val="ListParagraph"/>
        <w:numPr>
          <w:ilvl w:val="0"/>
          <w:numId w:val="2"/>
        </w:numPr>
        <w:spacing w:after="60"/>
      </w:pPr>
      <w:r>
        <w:rPr>
          <w:sz w:val="22"/>
          <w:szCs w:val="22"/>
        </w:rPr>
        <w:t xml:space="preserve">Hydration status: mucous membranes, skin turgor, fontanelle (in infants), urine output</w:t>
      </w:r>
    </w:p>
    <w:p>
      <w:pPr>
        <w:pStyle w:val="ListParagraph"/>
        <w:numPr>
          <w:ilvl w:val="0"/>
          <w:numId w:val="2"/>
        </w:numPr>
        <w:spacing w:after="60"/>
      </w:pPr>
      <w:r>
        <w:rPr>
          <w:sz w:val="22"/>
          <w:szCs w:val="22"/>
        </w:rPr>
        <w:t xml:space="preserve">Blood glucose: obtain immediately at triage (point of care)</w:t>
      </w:r>
    </w:p>
    <w:p>
      <w:pPr>
        <w:pStyle w:val="ListParagraph"/>
        <w:numPr>
          <w:ilvl w:val="0"/>
          <w:numId w:val="2"/>
        </w:numPr>
        <w:spacing w:after="60"/>
      </w:pPr>
      <w:r>
        <w:rPr>
          <w:sz w:val="22"/>
          <w:szCs w:val="22"/>
        </w:rPr>
        <w:t xml:space="preserve">Steroid emergency card or medical alert identification</w:t>
      </w:r>
    </w:p>
    <w:p>
      <w:pPr>
        <w:pStyle w:val="Heading2"/>
      </w:pPr>
      <w:r>
        <w:t xml:space="preserve">3.3 Differential Diagnosis</w:t>
      </w:r>
    </w:p>
    <w:p>
      <w:pPr>
        <w:spacing w:after="120"/>
      </w:pPr>
      <w:r>
        <w:t xml:space="preserve">While the focus of this guide is the known CAH patient, the differential diagnosis of the acutely ill child with features suggestive of adrenal insufficiency includes sepsis, diabetic ketoacidosis, inborn errors of metabolism, toxic ingestion, myocarditis, congenital heart disease, and other causes of primary adrenal insufficiency (autoimmune adrenalitis, adrenal hemorrhage, adrenoleukodystrophy). In the neonate, the differential for a collapsed infant at 1 to 3 weeks of age includes congenital heart disease (particularly ductal-dependent lesions), neonatal sepsis, inborn errors of metabolism, and salt-wasting CAH as a first presentation.</w:t>
      </w:r>
    </w:p>
    <w:p>
      <w:pPr>
        <w:pStyle w:val="Heading2"/>
      </w:pPr>
      <w:r>
        <w:t xml:space="preserve">3.4 Red Flags Requiring Immediate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00"/>
              <w:left w:type="dxa" w:w="150"/>
              <w:bottom w:type="dxa" w:w="100"/>
              <w:right w:type="dxa" w:w="150"/>
            </w:tcMar>
          </w:tcPr>
          <w:p>
            <w:r>
              <w:rPr>
                <w:b/>
                <w:bCs/>
                <w:sz w:val="22"/>
                <w:szCs w:val="22"/>
              </w:rPr>
              <w:t xml:space="preserve">RED FLAGS — Immediate IV/IM Hydrocortisone Required</w:t>
            </w:r>
          </w:p>
          <w:p>
            <w:pPr>
              <w:spacing w:before="60"/>
            </w:pPr>
            <w:r>
              <w:rPr>
                <w:sz w:val="20"/>
                <w:szCs w:val="20"/>
              </w:rPr>
              <w:t xml:space="preserve">Any of the following in a known CAH patient:
• Systolic blood pressure below the 5th percentile for age
• Altered mental status or obtundation
• Blood glucose below 60 mg/dL
• Sodium below 125 mEq/L or potassium above 6.0 mEq/L
• Seizure activity
• Persistent vomiting preventing oral medication
• Capillary refill &gt; 3 seconds with tachycardia</w:t>
            </w:r>
          </w:p>
        </w:tc>
      </w:tr>
    </w:tbl>
    <w:p>
      <w:r>
        <w:br w:type="page"/>
      </w:r>
    </w:p>
    <w:p>
      <w:pPr>
        <w:pStyle w:val="Heading1"/>
      </w:pPr>
      <w:r>
        <w:t xml:space="preserve">Chapter 4: Diagnostic Approach</w:t>
      </w:r>
    </w:p>
    <w:p>
      <w:pPr>
        <w:pStyle w:val="Heading2"/>
      </w:pPr>
      <w:r>
        <w:t xml:space="preserve">4.1 Laboratory Studies</w:t>
      </w:r>
    </w:p>
    <w:p>
      <w:pPr>
        <w:spacing w:after="120"/>
      </w:pPr>
      <w:r>
        <w:t xml:space="preserve">In the acutely ill CAH patient, laboratory studies serve two purposes: assessing the severity of the current decompensation and monitoring the response to treatment. The following studies should be obtained, ideally at the time of initial intravenous access:</w:t>
      </w:r>
    </w:p>
    <w:p>
      <w:pPr>
        <w:pStyle w:val="Heading3"/>
      </w:pPr>
      <w:r>
        <w:t xml:space="preserve">4.1.1 Essential Studies</w:t>
      </w:r>
    </w:p>
    <w:p>
      <w:pPr>
        <w:pStyle w:val="ListParagraph"/>
        <w:numPr>
          <w:ilvl w:val="0"/>
          <w:numId w:val="2"/>
        </w:numPr>
        <w:spacing w:after="60"/>
      </w:pPr>
      <w:r>
        <w:rPr>
          <w:sz w:val="22"/>
          <w:szCs w:val="22"/>
        </w:rPr>
        <w:t xml:space="preserve">Basic Metabolic Panel (BMP): Sodium, potassium, chloride, bicarbonate, BUN, creatinine, glucose. In primary adrenal insufficiency (CAH), expect hyponatremia, hyperkalemia, and metabolic acidosis due to combined glucocorticoid and mineralocorticoid deficiency. Elevated BUN and creatinine suggest prerenal azotemia from dehydration.</w:t>
      </w:r>
    </w:p>
    <w:p>
      <w:pPr>
        <w:pStyle w:val="ListParagraph"/>
        <w:numPr>
          <w:ilvl w:val="0"/>
          <w:numId w:val="2"/>
        </w:numPr>
        <w:spacing w:after="60"/>
      </w:pPr>
      <w:r>
        <w:rPr>
          <w:sz w:val="22"/>
          <w:szCs w:val="22"/>
        </w:rPr>
        <w:t xml:space="preserve">Point-of-Care Glucose: Obtain immediately. Hypoglycemia is common in adrenal crisis, particularly in children ages 1 to 11 years. Target glucose above 60 mg/dL.</w:t>
      </w:r>
    </w:p>
    <w:p>
      <w:pPr>
        <w:pStyle w:val="ListParagraph"/>
        <w:numPr>
          <w:ilvl w:val="0"/>
          <w:numId w:val="2"/>
        </w:numPr>
        <w:spacing w:after="60"/>
      </w:pPr>
      <w:r>
        <w:rPr>
          <w:sz w:val="22"/>
          <w:szCs w:val="22"/>
        </w:rPr>
        <w:t xml:space="preserve">Venous or Arterial Blood Gas: Metabolic acidosis (low bicarbonate, low pH) indicates significant mineralocorticoid deficiency and volume depletion.</w:t>
      </w:r>
    </w:p>
    <w:p>
      <w:pPr>
        <w:pStyle w:val="Heading3"/>
      </w:pPr>
      <w:r>
        <w:t xml:space="preserve">4.1.2 Diagnostic Studies (Draw Before Steroid If Possible)</w:t>
      </w:r>
    </w:p>
    <w:p>
      <w:pPr>
        <w:pStyle w:val="ListParagraph"/>
        <w:numPr>
          <w:ilvl w:val="0"/>
          <w:numId w:val="2"/>
        </w:numPr>
        <w:spacing w:after="60"/>
      </w:pPr>
      <w:r>
        <w:rPr>
          <w:sz w:val="22"/>
          <w:szCs w:val="22"/>
        </w:rPr>
        <w:t xml:space="preserve">Serum Cortisol: A low or undetectable random cortisol level during acute illness confirms inadequate adrenal function. In a stressed individual, cortisol should be markedly elevated; a level below 18 micrograms per deciliter during acute stress is suggestive of adrenal insufficiency. Draw before administering hydrocortisone if possible, but NEVER delay treatment for this specimen.</w:t>
      </w:r>
    </w:p>
    <w:p>
      <w:pPr>
        <w:pStyle w:val="ListParagraph"/>
        <w:numPr>
          <w:ilvl w:val="0"/>
          <w:numId w:val="2"/>
        </w:numPr>
        <w:spacing w:after="60"/>
      </w:pPr>
      <w:r>
        <w:rPr>
          <w:sz w:val="22"/>
          <w:szCs w:val="22"/>
        </w:rPr>
        <w:t xml:space="preserve">Serum ACTH: Markedly elevated in primary adrenal insufficiency (CAH). Helps distinguish primary from secondary/tertiary AI.</w:t>
      </w:r>
    </w:p>
    <w:p>
      <w:pPr>
        <w:pStyle w:val="ListParagraph"/>
        <w:numPr>
          <w:ilvl w:val="0"/>
          <w:numId w:val="2"/>
        </w:numPr>
        <w:spacing w:after="60"/>
      </w:pPr>
      <w:r>
        <w:rPr>
          <w:sz w:val="22"/>
          <w:szCs w:val="22"/>
        </w:rPr>
        <w:t xml:space="preserve">17-Hydroxyprogesterone (17-OHP): Elevated in 21-hydroxylase deficiency. Useful if first presentation or diagnostic confirmation needed. This is the same analyte measured in the newborn screen.</w:t>
      </w:r>
    </w:p>
    <w:p>
      <w:pPr>
        <w:pStyle w:val="Heading3"/>
      </w:pPr>
      <w:r>
        <w:t xml:space="preserve">4.1.3 Additional Studies as Indicated</w:t>
      </w:r>
    </w:p>
    <w:p>
      <w:pPr>
        <w:pStyle w:val="ListParagraph"/>
        <w:numPr>
          <w:ilvl w:val="0"/>
          <w:numId w:val="2"/>
        </w:numPr>
        <w:spacing w:after="60"/>
      </w:pPr>
      <w:r>
        <w:rPr>
          <w:sz w:val="22"/>
          <w:szCs w:val="22"/>
        </w:rPr>
        <w:t xml:space="preserve">CBC with differential: If infection suspected</w:t>
      </w:r>
    </w:p>
    <w:p>
      <w:pPr>
        <w:pStyle w:val="ListParagraph"/>
        <w:numPr>
          <w:ilvl w:val="0"/>
          <w:numId w:val="2"/>
        </w:numPr>
        <w:spacing w:after="60"/>
      </w:pPr>
      <w:r>
        <w:rPr>
          <w:sz w:val="22"/>
          <w:szCs w:val="22"/>
        </w:rPr>
        <w:t xml:space="preserve">Blood culture: If sepsis suspected (before antibiotics)</w:t>
      </w:r>
    </w:p>
    <w:p>
      <w:pPr>
        <w:pStyle w:val="ListParagraph"/>
        <w:numPr>
          <w:ilvl w:val="0"/>
          <w:numId w:val="2"/>
        </w:numPr>
        <w:spacing w:after="60"/>
      </w:pPr>
      <w:r>
        <w:rPr>
          <w:sz w:val="22"/>
          <w:szCs w:val="22"/>
        </w:rPr>
        <w:t xml:space="preserve">Urinalysis and urine culture: If UTI suspected as precipitant</w:t>
      </w:r>
    </w:p>
    <w:p>
      <w:pPr>
        <w:pStyle w:val="ListParagraph"/>
        <w:numPr>
          <w:ilvl w:val="0"/>
          <w:numId w:val="2"/>
        </w:numPr>
        <w:spacing w:after="60"/>
      </w:pPr>
      <w:r>
        <w:rPr>
          <w:sz w:val="22"/>
          <w:szCs w:val="22"/>
        </w:rPr>
        <w:t xml:space="preserve">Chest X-ray: If pneumonia suspected</w:t>
      </w:r>
    </w:p>
    <w:p>
      <w:pPr>
        <w:pStyle w:val="ListParagraph"/>
        <w:numPr>
          <w:ilvl w:val="0"/>
          <w:numId w:val="2"/>
        </w:numPr>
        <w:spacing w:after="60"/>
      </w:pPr>
      <w:r>
        <w:rPr>
          <w:sz w:val="22"/>
          <w:szCs w:val="22"/>
        </w:rPr>
        <w:t xml:space="preserve">ECG: If hyperkalemia present (check for peaked T-waves, prolonged PR, widened QRS)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sz w:val="22"/>
                <w:szCs w:val="22"/>
              </w:rPr>
              <w:t xml:space="preserve">RURAL CONSIDERATION</w:t>
            </w:r>
          </w:p>
          <w:p>
            <w:pPr>
              <w:spacing w:before="60"/>
            </w:pPr>
            <w:r>
              <w:rPr>
                <w:sz w:val="20"/>
                <w:szCs w:val="20"/>
              </w:rPr>
              <w:t xml:space="preserve">Point-of-care BMP and glucose are available in most rural EDs. If send-out lab turnaround for cortisol and ACTH is prolonged, draw and hold the specimens but do not delay treatment. Document the time specimens were drawn relative to glucocorticoid administration. Contact the receiving pediatric center for instructions on specimen handling if transport is anticipated.</w:t>
            </w:r>
          </w:p>
        </w:tc>
      </w:tr>
    </w:tbl>
    <w:p>
      <w:pPr>
        <w:pStyle w:val="Heading2"/>
      </w:pPr>
      <w:r>
        <w:t xml:space="preserve">4.2 Monitoring Parameters</w:t>
      </w:r>
    </w:p>
    <w:p>
      <w:pPr>
        <w:spacing w:after="120"/>
      </w:pPr>
      <w:r>
        <w:t xml:space="preserve">During active treatment of the acutely ill CAH patient, the following monitoring parameters should be tracked: vital signs every 15 minutes during initial resuscitation, transitioning to every 30 to 60 minutes once stable; blood glucose every 1 to 2 hours during active treatment; electrolytes (BMP) every 4 to 6 hours until normalizing; strict intake and output with urine output target of at least 1 mL/kg/hour; continuous cardiac monitoring if hyperkalemia is present; and neurological status checks if altered mental status was present at initial assessment.</w:t>
      </w:r>
    </w:p>
    <w:p>
      <w:r>
        <w:br w:type="page"/>
      </w:r>
    </w:p>
    <w:p>
      <w:pPr>
        <w:pStyle w:val="Heading1"/>
      </w:pPr>
      <w:r>
        <w:t xml:space="preserve">Chapter 5: Management and Treatment</w:t>
      </w:r>
    </w:p>
    <w:p>
      <w:pPr>
        <w:pStyle w:val="Heading2"/>
      </w:pPr>
      <w:r>
        <w:t xml:space="preserve">5.1 Oral Sick Day Dosing for Mild to Moderate Illness</w:t>
      </w:r>
    </w:p>
    <w:p>
      <w:pPr>
        <w:spacing w:after="120"/>
      </w:pPr>
      <w:r>
        <w:t xml:space="preserve">For the CAH patient who is hemodynamically stable and able to tolerate oral medications, sick day dosing with increased oral hydrocortisone is the first-line approach. The goal is to approximate stress-level cortisol output (approximately 30 to 50 milligrams per square meter per day for moderate illness, up to 75 milligrams per square meter per day for severe illness) by increasing the patient's usual hydrocortisone dose.</w:t>
      </w:r>
    </w:p>
    <w:p>
      <w:pPr>
        <w:pStyle w:val="Heading3"/>
      </w:pPr>
      <w:r>
        <w:t xml:space="preserve">5.1.1 Fever-Based Dosing Tiers</w:t>
      </w:r>
    </w:p>
    <w:p>
      <w:pPr>
        <w:spacing w:after="120"/>
      </w:pPr>
      <w:r>
        <w:t xml:space="preserve">Based on the synthesis of current guidelines (Endocrine Society 2018, BSPED 2023, international survey data from Ali et al. 2022, and NIH protocols from El-Maouche et al. 2018), the following tiered approach to oral stress dosing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Illness Severity</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Temperature</w:t>
            </w:r>
          </w:p>
        </w:tc>
        <w:tc>
          <w:tcPr>
            <w:tcW w:type="dxa" w:w="25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Oral HC Dose</w:t>
            </w:r>
          </w:p>
        </w:tc>
        <w:tc>
          <w:tcPr>
            <w:tcW w:type="dxa" w:w="24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b/>
                <w:bCs/>
                <w:color w:val="FFFFFF"/>
                <w:sz w:val="20"/>
                <w:szCs w:val="20"/>
              </w:rPr>
              <w:t xml:space="preserve">Frequency</w:t>
            </w:r>
          </w:p>
        </w:tc>
      </w:tr>
      <w:tr>
        <w:tc>
          <w:tcPr>
            <w:tcW w:type="dxa" w:w="2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sz w:val="20"/>
                <w:szCs w:val="20"/>
              </w:rPr>
              <w:t xml:space="preserve">Mild</w:t>
            </w:r>
          </w:p>
        </w:tc>
        <w:tc>
          <w:tcPr>
            <w:tcW w:type="dxa" w:w="2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sz w:val="20"/>
                <w:szCs w:val="20"/>
              </w:rPr>
              <w:t xml:space="preserve">38.0–38.9°C</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sz w:val="20"/>
                <w:szCs w:val="20"/>
              </w:rPr>
              <w:t xml:space="preserve">Double total daily dose</w:t>
            </w:r>
          </w:p>
        </w:tc>
        <w:tc>
          <w:tcPr>
            <w:tcW w:type="dxa" w:w="24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b w:val="false"/>
                <w:bCs w:val="false"/>
                <w:sz w:val="20"/>
                <w:szCs w:val="20"/>
              </w:rPr>
              <w:t xml:space="preserve">Divide TID or QID</w:t>
            </w:r>
          </w:p>
        </w:tc>
      </w:tr>
      <w:tr>
        <w:tc>
          <w:tcPr>
            <w:tcW w:type="dxa" w:w="2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sz w:val="20"/>
                <w:szCs w:val="20"/>
              </w:rPr>
              <w:t xml:space="preserve">Moderate</w:t>
            </w:r>
          </w:p>
        </w:tc>
        <w:tc>
          <w:tcPr>
            <w:tcW w:type="dxa" w:w="2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sz w:val="20"/>
                <w:szCs w:val="20"/>
              </w:rPr>
              <w:t xml:space="preserve">≥39.0°C</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sz w:val="20"/>
                <w:szCs w:val="20"/>
              </w:rPr>
              <w:t xml:space="preserve">Triple total daily dose</w:t>
            </w:r>
          </w:p>
        </w:tc>
        <w:tc>
          <w:tcPr>
            <w:tcW w:type="dxa" w:w="24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b w:val="false"/>
                <w:bCs w:val="false"/>
                <w:sz w:val="20"/>
                <w:szCs w:val="20"/>
              </w:rPr>
              <w:t xml:space="preserve">Divide TID or QID</w:t>
            </w:r>
          </w:p>
        </w:tc>
      </w:tr>
      <w:tr>
        <w:tc>
          <w:tcPr>
            <w:tcW w:type="dxa" w:w="2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bCs/>
                <w:sz w:val="20"/>
                <w:szCs w:val="20"/>
              </w:rPr>
              <w:t xml:space="preserve">Severe</w:t>
            </w:r>
          </w:p>
        </w:tc>
        <w:tc>
          <w:tcPr>
            <w:tcW w:type="dxa" w:w="2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bCs/>
                <w:sz w:val="20"/>
                <w:szCs w:val="20"/>
              </w:rPr>
              <w:t xml:space="preserve">≥40.0°C</w:t>
            </w:r>
          </w:p>
        </w:tc>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bCs/>
                <w:sz w:val="20"/>
                <w:szCs w:val="20"/>
              </w:rPr>
              <w:t xml:space="preserve">5× daily dose OR IM/IV</w:t>
            </w:r>
          </w:p>
        </w:tc>
        <w:tc>
          <w:tcPr>
            <w:tcW w:type="dxa" w:w="24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b/>
                <w:bCs/>
                <w:sz w:val="20"/>
                <w:szCs w:val="20"/>
              </w:rPr>
              <w:t xml:space="preserve">Q6H (or IM/IV)</w:t>
            </w:r>
          </w:p>
        </w:tc>
      </w:tr>
    </w:tbl>
    <w:p>
      <w:pPr>
        <w:spacing w:after="120"/>
      </w:pPr>
      <w:r>
        <w:t xml:space="preserve"/>
      </w:r>
    </w:p>
    <w:p>
      <w:pPr>
        <w:spacing w:after="120"/>
      </w:pPr>
      <w:r>
        <w:rPr>
          <w:b/>
          <w:bCs/>
        </w:rPr>
        <w:t xml:space="preserve">Alternative Approach (BSPED 2023): </w:t>
      </w:r>
      <w:r>
        <w:t xml:space="preserve">Target a total daily hydrocortisone dose of approximately 30 mg/m²/day given in four equally divided doses (QID) for any sick day episode, regardless of the baseline maintenance dose. This approach has the advantage of simplicity and consistency across patients with different maintenance doses.</w:t>
      </w:r>
    </w:p>
    <w:p>
      <w:pPr>
        <w:pStyle w:val="Heading3"/>
      </w:pPr>
      <w:r>
        <w:t xml:space="preserve">5.1.2 Duration of Stress Dosing</w:t>
      </w:r>
    </w:p>
    <w:p>
      <w:pPr>
        <w:pStyle w:val="ListParagraph"/>
        <w:numPr>
          <w:ilvl w:val="0"/>
          <w:numId w:val="2"/>
        </w:numPr>
        <w:spacing w:after="60"/>
      </w:pPr>
      <w:r>
        <w:rPr>
          <w:sz w:val="22"/>
          <w:szCs w:val="22"/>
        </w:rPr>
        <w:t xml:space="preserve">Continue increased dosing for the duration of the febrile illness</w:t>
      </w:r>
    </w:p>
    <w:p>
      <w:pPr>
        <w:pStyle w:val="ListParagraph"/>
        <w:numPr>
          <w:ilvl w:val="0"/>
          <w:numId w:val="2"/>
        </w:numPr>
        <w:spacing w:after="60"/>
      </w:pPr>
      <w:r>
        <w:rPr>
          <w:sz w:val="22"/>
          <w:szCs w:val="22"/>
        </w:rPr>
        <w:t xml:space="preserve">Once afebrile for 24 hours and clinically improving, reduce to double dose for one additional day</w:t>
      </w:r>
    </w:p>
    <w:p>
      <w:pPr>
        <w:pStyle w:val="ListParagraph"/>
        <w:numPr>
          <w:ilvl w:val="0"/>
          <w:numId w:val="2"/>
        </w:numPr>
        <w:spacing w:after="60"/>
      </w:pPr>
      <w:r>
        <w:rPr>
          <w:sz w:val="22"/>
          <w:szCs w:val="22"/>
        </w:rPr>
        <w:t xml:space="preserve">Return to normal maintenance dose thereafter</w:t>
      </w:r>
    </w:p>
    <w:p>
      <w:pPr>
        <w:pStyle w:val="ListParagraph"/>
        <w:numPr>
          <w:ilvl w:val="0"/>
          <w:numId w:val="2"/>
        </w:numPr>
        <w:spacing w:after="60"/>
      </w:pPr>
      <w:r>
        <w:rPr>
          <w:sz w:val="22"/>
          <w:szCs w:val="22"/>
        </w:rPr>
        <w:t xml:space="preserve">If illness course was prolonged (&gt; 5 days of stress dosing), consider a more gradual taper back to maintenance over 2 to 3 days</w:t>
      </w:r>
    </w:p>
    <w:p>
      <w:pPr>
        <w:pStyle w:val="Heading3"/>
      </w:pPr>
      <w:r>
        <w:t xml:space="preserve">5.1.3 Practical Dosing Examples</w:t>
      </w:r>
    </w:p>
    <w:p>
      <w:pPr>
        <w:spacing w:after="120"/>
      </w:pPr>
      <w:r>
        <w:rPr>
          <w:b/>
          <w:bCs/>
        </w:rPr>
        <w:t xml:space="preserve">Example 1: </w:t>
      </w:r>
      <w:r>
        <w:t xml:space="preserve">A 3-year-old with salt-wasting CAH on hydrocortisone 3 mg three times daily (9 mg/day total, BSA 0.6 m² = 15 mg/m²/day) develops a febrile URI with temperature of 39.2°C.</w:t>
      </w:r>
    </w:p>
    <w:p>
      <w:pPr>
        <w:pStyle w:val="ListParagraph"/>
        <w:numPr>
          <w:ilvl w:val="0"/>
          <w:numId w:val="2"/>
        </w:numPr>
        <w:spacing w:after="60"/>
      </w:pPr>
      <w:r>
        <w:rPr>
          <w:sz w:val="22"/>
          <w:szCs w:val="22"/>
        </w:rPr>
        <w:t xml:space="preserve">Stress dose: Triple total daily dose = 27 mg/day</w:t>
      </w:r>
    </w:p>
    <w:p>
      <w:pPr>
        <w:pStyle w:val="ListParagraph"/>
        <w:numPr>
          <w:ilvl w:val="0"/>
          <w:numId w:val="2"/>
        </w:numPr>
        <w:spacing w:after="60"/>
      </w:pPr>
      <w:r>
        <w:rPr>
          <w:sz w:val="22"/>
          <w:szCs w:val="22"/>
        </w:rPr>
        <w:t xml:space="preserve">Divided TID: 9 mg three times daily (morning, afternoon, evening)</w:t>
      </w:r>
    </w:p>
    <w:p>
      <w:pPr>
        <w:pStyle w:val="ListParagraph"/>
        <w:numPr>
          <w:ilvl w:val="0"/>
          <w:numId w:val="2"/>
        </w:numPr>
        <w:spacing w:after="60"/>
      </w:pPr>
      <w:r>
        <w:rPr>
          <w:sz w:val="22"/>
          <w:szCs w:val="22"/>
        </w:rPr>
        <w:t xml:space="preserve">OR divided QID: 7 mg four times daily (6am, 12pm, 6pm, 12am)</w:t>
      </w:r>
    </w:p>
    <w:p>
      <w:pPr>
        <w:pStyle w:val="ListParagraph"/>
        <w:numPr>
          <w:ilvl w:val="0"/>
          <w:numId w:val="2"/>
        </w:numPr>
        <w:spacing w:after="60"/>
      </w:pPr>
      <w:r>
        <w:rPr>
          <w:sz w:val="22"/>
          <w:szCs w:val="22"/>
        </w:rPr>
        <w:t xml:space="preserve">Target: ~45 mg/m²/day</w:t>
      </w:r>
    </w:p>
    <w:p>
      <w:pPr>
        <w:pStyle w:val="ListParagraph"/>
        <w:numPr>
          <w:ilvl w:val="0"/>
          <w:numId w:val="2"/>
        </w:numPr>
        <w:spacing w:after="60"/>
      </w:pPr>
      <w:r>
        <w:rPr>
          <w:sz w:val="22"/>
          <w:szCs w:val="22"/>
        </w:rPr>
        <w:t xml:space="preserve">Continue fludrocortisone at usual dose</w:t>
      </w:r>
    </w:p>
    <w:p>
      <w:pPr>
        <w:spacing w:after="120"/>
      </w:pPr>
      <w:r>
        <w:rPr>
          <w:b/>
          <w:bCs/>
        </w:rPr>
        <w:t xml:space="preserve">Example 2: </w:t>
      </w:r>
      <w:r>
        <w:t xml:space="preserve">An 8-year-old with simple virilizing CAH on hydrocortisone 5 mg in the morning, 2.5 mg at noon, and 5 mg at bedtime (12.5 mg/day, BSA 1.0 m² = 12.5 mg/m²/day) develops mild gastroenteritis with temperature of 38.5°C and no vomiting.</w:t>
      </w:r>
    </w:p>
    <w:p>
      <w:pPr>
        <w:pStyle w:val="ListParagraph"/>
        <w:numPr>
          <w:ilvl w:val="0"/>
          <w:numId w:val="2"/>
        </w:numPr>
        <w:spacing w:after="60"/>
      </w:pPr>
      <w:r>
        <w:rPr>
          <w:sz w:val="22"/>
          <w:szCs w:val="22"/>
        </w:rPr>
        <w:t xml:space="preserve">Stress dose: Double total daily dose = 25 mg/day</w:t>
      </w:r>
    </w:p>
    <w:p>
      <w:pPr>
        <w:pStyle w:val="ListParagraph"/>
        <w:numPr>
          <w:ilvl w:val="0"/>
          <w:numId w:val="2"/>
        </w:numPr>
        <w:spacing w:after="60"/>
      </w:pPr>
      <w:r>
        <w:rPr>
          <w:sz w:val="22"/>
          <w:szCs w:val="22"/>
        </w:rPr>
        <w:t xml:space="preserve">Divided TID: approximately 8 mg three times daily</w:t>
      </w:r>
    </w:p>
    <w:p>
      <w:pPr>
        <w:pStyle w:val="ListParagraph"/>
        <w:numPr>
          <w:ilvl w:val="0"/>
          <w:numId w:val="2"/>
        </w:numPr>
        <w:spacing w:after="60"/>
      </w:pPr>
      <w:r>
        <w:rPr>
          <w:sz w:val="22"/>
          <w:szCs w:val="22"/>
        </w:rPr>
        <w:t xml:space="preserve">Ensure adequate oral hydration with electrolyte solution</w:t>
      </w:r>
    </w:p>
    <w:p>
      <w:pPr>
        <w:pStyle w:val="ListParagraph"/>
        <w:numPr>
          <w:ilvl w:val="0"/>
          <w:numId w:val="2"/>
        </w:numPr>
        <w:spacing w:after="60"/>
      </w:pPr>
      <w:r>
        <w:rPr>
          <w:sz w:val="22"/>
          <w:szCs w:val="22"/>
        </w:rPr>
        <w:t xml:space="preserve">Monitor closely for vomiting; if vomiting develops, escalate to IM dosing</w:t>
      </w:r>
    </w:p>
    <w:p>
      <w:pPr>
        <w:pStyle w:val="Heading2"/>
      </w:pPr>
      <w:r>
        <w:t xml:space="preserve">5.2 IM Hydrocortisone: When Oral Is Not Tolerated</w:t>
      </w:r>
    </w:p>
    <w:p>
      <w:pPr>
        <w:spacing w:after="120"/>
      </w:pPr>
      <w:r>
        <w:t xml:space="preserve">Intramuscular hydrocortisone sodium succinate (Solu-Cortef) is the critical bridge between failed oral dosing and hospital-based IV therapy. It should be administered in the following situations: persistent vomiting (the most common indication, reported by 61 percent of specialist centres in the Ali et al. 2022 survey); inability to take oral medications for any reason; clinical deterioration despite oral stress dosing; altered mental status or significant lethargy; or any concern for impending adrenal crisis.</w:t>
      </w:r>
    </w:p>
    <w:p>
      <w:pPr>
        <w:pStyle w:val="Heading3"/>
      </w:pPr>
      <w:r>
        <w:t xml:space="preserve">Table 5.1: Emergency IM Hydrocortisone Dosing by 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1400"/>
        <w:gridCol w:w="13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IM Dose</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Repeat</w:t>
            </w:r>
          </w:p>
        </w:tc>
        <w:tc>
          <w:tcPr>
            <w:tcW w:type="dxa" w:w="1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1 year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25 mg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Vastus lateralis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Vastus lateralis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6–12 years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50–100 mg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Deltoid or VL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12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IM/IV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Deltoid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Generic</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 mg/kg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IM/IV</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Max 100 mg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00"/>
              <w:left w:type="dxa" w:w="150"/>
              <w:bottom w:type="dxa" w:w="100"/>
              <w:right w:type="dxa" w:w="150"/>
            </w:tcMar>
          </w:tcPr>
          <w:p>
            <w:r>
              <w:rPr>
                <w:b/>
                <w:bCs/>
                <w:sz w:val="22"/>
                <w:szCs w:val="22"/>
              </w:rPr>
              <w:t xml:space="preserve">CRITICAL POINT</w:t>
            </w:r>
          </w:p>
          <w:p>
            <w:pPr>
              <w:spacing w:before="60"/>
            </w:pPr>
            <w:r>
              <w:rPr>
                <w:sz w:val="20"/>
                <w:szCs w:val="20"/>
              </w:rPr>
              <w:t xml:space="preserve">Every family of a child with classical CAH should have an emergency hydrocortisone injection kit at home, at school, and during travel. The kit should contain a vial of hydrocortisone sodium succinate (Solu-Cortef) with diluent, syringes, and written instructions. Families should be trained on reconstitution and injection technique, with education reinforced at every clinical visit.</w:t>
            </w:r>
          </w:p>
        </w:tc>
      </w:tr>
    </w:tbl>
    <w:p>
      <w:pPr>
        <w:pStyle w:val="Heading2"/>
      </w:pPr>
      <w:r>
        <w:t xml:space="preserve">5.3 Adrenal Crisis: Emergency Management Protocol</w:t>
      </w:r>
    </w:p>
    <w:p>
      <w:pPr>
        <w:spacing w:after="120"/>
      </w:pPr>
      <w:r>
        <w:t xml:space="preserve">Adrenal crisis is a medical emergency requiring immediate intervention. The following step-by-step protocol should be initiated without delay in any CAH patient presenting with hemodynamic instability, altered mental status, or clinical features of adrenal crisis:</w:t>
      </w:r>
    </w:p>
    <w:p>
      <w:pPr>
        <w:pStyle w:val="Heading3"/>
      </w:pPr>
      <w:r>
        <w:t xml:space="preserve">Step 1: ABCs and Immediate Resuscitation</w:t>
      </w:r>
    </w:p>
    <w:p>
      <w:pPr>
        <w:pStyle w:val="ListParagraph"/>
        <w:numPr>
          <w:ilvl w:val="0"/>
          <w:numId w:val="2"/>
        </w:numPr>
        <w:spacing w:after="60"/>
      </w:pPr>
      <w:r>
        <w:rPr>
          <w:sz w:val="22"/>
          <w:szCs w:val="22"/>
        </w:rPr>
        <w:t xml:space="preserve">Secure airway, administer 100% oxygen, attach continuous cardiac monitor and pulse oximetry</w:t>
      </w:r>
    </w:p>
    <w:p>
      <w:pPr>
        <w:pStyle w:val="ListParagraph"/>
        <w:numPr>
          <w:ilvl w:val="0"/>
          <w:numId w:val="2"/>
        </w:numPr>
        <w:spacing w:after="60"/>
      </w:pPr>
      <w:r>
        <w:rPr>
          <w:sz w:val="22"/>
          <w:szCs w:val="22"/>
        </w:rPr>
        <w:t xml:space="preserve">Establish two large-bore IV lines</w:t>
      </w:r>
    </w:p>
    <w:p>
      <w:pPr>
        <w:pStyle w:val="ListParagraph"/>
        <w:numPr>
          <w:ilvl w:val="0"/>
          <w:numId w:val="2"/>
        </w:numPr>
        <w:spacing w:after="60"/>
      </w:pPr>
      <w:r>
        <w:rPr>
          <w:sz w:val="22"/>
          <w:szCs w:val="22"/>
        </w:rPr>
        <w:t xml:space="preserve">Obtain STAT labs: BMP, glucose, cortisol, ACTH, VBG, 17-OHP, CBC, blood culture</w:t>
      </w:r>
    </w:p>
    <w:p>
      <w:pPr>
        <w:pStyle w:val="Heading3"/>
      </w:pPr>
      <w:r>
        <w:t xml:space="preserve">Step 2: Hydrocortisone Bolus</w:t>
      </w:r>
    </w:p>
    <w:p>
      <w:pPr>
        <w:pStyle w:val="ListParagraph"/>
        <w:numPr>
          <w:ilvl w:val="0"/>
          <w:numId w:val="2"/>
        </w:numPr>
        <w:spacing w:after="60"/>
      </w:pPr>
      <w:r>
        <w:rPr>
          <w:sz w:val="22"/>
          <w:szCs w:val="22"/>
        </w:rPr>
        <w:t xml:space="preserve">Administer hydrocortisone sodium succinate 2 mg/kg IV (maximum 100 mg) as an immediate bolus</w:t>
      </w:r>
    </w:p>
    <w:p>
      <w:pPr>
        <w:pStyle w:val="ListParagraph"/>
        <w:numPr>
          <w:ilvl w:val="0"/>
          <w:numId w:val="2"/>
        </w:numPr>
        <w:spacing w:after="60"/>
      </w:pPr>
      <w:r>
        <w:rPr>
          <w:sz w:val="22"/>
          <w:szCs w:val="22"/>
        </w:rPr>
        <w:t xml:space="preserve">If IV access is delayed, give IM into the vastus lateralis or deltoid immediately — do NOT wait for IV</w:t>
      </w:r>
    </w:p>
    <w:p>
      <w:pPr>
        <w:pStyle w:val="ListParagraph"/>
        <w:numPr>
          <w:ilvl w:val="0"/>
          <w:numId w:val="2"/>
        </w:numPr>
        <w:spacing w:after="60"/>
      </w:pPr>
      <w:r>
        <w:rPr>
          <w:sz w:val="22"/>
          <w:szCs w:val="22"/>
        </w:rPr>
        <w:t xml:space="preserve">This is the single most important intervention; do not delay for any reason</w:t>
      </w:r>
    </w:p>
    <w:p>
      <w:pPr>
        <w:pStyle w:val="Heading3"/>
      </w:pPr>
      <w:r>
        <w:t xml:space="preserve">Step 3: Fluid Resuscitation</w:t>
      </w:r>
    </w:p>
    <w:p>
      <w:pPr>
        <w:pStyle w:val="ListParagraph"/>
        <w:numPr>
          <w:ilvl w:val="0"/>
          <w:numId w:val="2"/>
        </w:numPr>
        <w:spacing w:after="60"/>
      </w:pPr>
      <w:r>
        <w:rPr>
          <w:sz w:val="22"/>
          <w:szCs w:val="22"/>
        </w:rPr>
        <w:t xml:space="preserve">Normal saline (0.9% NaCl) 20 mL/kg bolus over 15 to 20 minutes</w:t>
      </w:r>
    </w:p>
    <w:p>
      <w:pPr>
        <w:pStyle w:val="ListParagraph"/>
        <w:numPr>
          <w:ilvl w:val="0"/>
          <w:numId w:val="2"/>
        </w:numPr>
        <w:spacing w:after="60"/>
      </w:pPr>
      <w:r>
        <w:rPr>
          <w:sz w:val="22"/>
          <w:szCs w:val="22"/>
        </w:rPr>
        <w:t xml:space="preserve">Reassess hemodynamic status after each bolus</w:t>
      </w:r>
    </w:p>
    <w:p>
      <w:pPr>
        <w:pStyle w:val="ListParagraph"/>
        <w:numPr>
          <w:ilvl w:val="0"/>
          <w:numId w:val="2"/>
        </w:numPr>
        <w:spacing w:after="60"/>
      </w:pPr>
      <w:r>
        <w:rPr>
          <w:sz w:val="22"/>
          <w:szCs w:val="22"/>
        </w:rPr>
        <w:t xml:space="preserve">May repeat up to 60 mL/kg in the first hour if shock persists</w:t>
      </w:r>
    </w:p>
    <w:p>
      <w:pPr>
        <w:pStyle w:val="ListParagraph"/>
        <w:numPr>
          <w:ilvl w:val="0"/>
          <w:numId w:val="2"/>
        </w:numPr>
        <w:spacing w:after="60"/>
      </w:pPr>
      <w:r>
        <w:rPr>
          <w:sz w:val="22"/>
          <w:szCs w:val="22"/>
        </w:rPr>
        <w:t xml:space="preserve">Begin D5NS at 1.5 to 2 times maintenance rate once initial boluses complete</w:t>
      </w:r>
    </w:p>
    <w:p>
      <w:pPr>
        <w:pStyle w:val="Heading3"/>
      </w:pPr>
      <w:r>
        <w:t xml:space="preserve">Step 4: Treat Hypoglycemia</w:t>
      </w:r>
    </w:p>
    <w:p>
      <w:pPr>
        <w:pStyle w:val="ListParagraph"/>
        <w:numPr>
          <w:ilvl w:val="0"/>
          <w:numId w:val="2"/>
        </w:numPr>
        <w:spacing w:after="60"/>
      </w:pPr>
      <w:r>
        <w:rPr>
          <w:sz w:val="22"/>
          <w:szCs w:val="22"/>
        </w:rPr>
        <w:t xml:space="preserve">If glucose &lt; 60 mg/dL: D10W 5 to 10 mL/kg IV (neonates and infants) or D25W 2 to 4 mL/kg IV (children &gt; 2 years)</w:t>
      </w:r>
    </w:p>
    <w:p>
      <w:pPr>
        <w:pStyle w:val="ListParagraph"/>
        <w:numPr>
          <w:ilvl w:val="0"/>
          <w:numId w:val="2"/>
        </w:numPr>
        <w:spacing w:after="60"/>
      </w:pPr>
      <w:r>
        <w:rPr>
          <w:sz w:val="22"/>
          <w:szCs w:val="22"/>
        </w:rPr>
        <w:t xml:space="preserve">Recheck glucose in 15 to 30 minutes</w:t>
      </w:r>
    </w:p>
    <w:p>
      <w:pPr>
        <w:pStyle w:val="ListParagraph"/>
        <w:numPr>
          <w:ilvl w:val="0"/>
          <w:numId w:val="2"/>
        </w:numPr>
        <w:spacing w:after="60"/>
      </w:pPr>
      <w:r>
        <w:rPr>
          <w:sz w:val="22"/>
          <w:szCs w:val="22"/>
        </w:rPr>
        <w:t xml:space="preserve">Maintain dextrose-containing maintenance fluids (D5NS or D10NS)</w:t>
      </w:r>
    </w:p>
    <w:p>
      <w:pPr>
        <w:pStyle w:val="Heading3"/>
      </w:pPr>
      <w:r>
        <w:t xml:space="preserve">Step 5: Ongoing Hydrocortisone</w:t>
      </w:r>
    </w:p>
    <w:p>
      <w:pPr>
        <w:pStyle w:val="ListParagraph"/>
        <w:numPr>
          <w:ilvl w:val="0"/>
          <w:numId w:val="2"/>
        </w:numPr>
        <w:spacing w:after="60"/>
      </w:pPr>
      <w:r>
        <w:rPr>
          <w:sz w:val="22"/>
          <w:szCs w:val="22"/>
        </w:rPr>
        <w:t xml:space="preserve">After the initial bolus, administer 50 to 100 mg/m²/day of hydrocortisone IV, divided every 6 hours</w:t>
      </w:r>
    </w:p>
    <w:p>
      <w:pPr>
        <w:pStyle w:val="ListParagraph"/>
        <w:numPr>
          <w:ilvl w:val="0"/>
          <w:numId w:val="2"/>
        </w:numPr>
        <w:spacing w:after="60"/>
      </w:pPr>
      <w:r>
        <w:rPr>
          <w:sz w:val="22"/>
          <w:szCs w:val="22"/>
        </w:rPr>
        <w:t xml:space="preserve">Alternative: continuous IV infusion at 2 to 4 mg/m²/hour</w:t>
      </w:r>
    </w:p>
    <w:p>
      <w:pPr>
        <w:pStyle w:val="ListParagraph"/>
        <w:numPr>
          <w:ilvl w:val="0"/>
          <w:numId w:val="2"/>
        </w:numPr>
        <w:spacing w:after="60"/>
      </w:pPr>
      <w:r>
        <w:rPr>
          <w:sz w:val="22"/>
          <w:szCs w:val="22"/>
        </w:rPr>
        <w:t xml:space="preserve">At these stress doses, hydrocortisone provides adequate mineralocorticoid activity; fludrocortisone can be held until the patient is tolerating oral medications</w:t>
      </w:r>
    </w:p>
    <w:p>
      <w:pPr>
        <w:pStyle w:val="Heading3"/>
      </w:pPr>
      <w:r>
        <w:t xml:space="preserve">Step 6: Treat Hyperkalemia If Present</w:t>
      </w:r>
    </w:p>
    <w:p>
      <w:pPr>
        <w:pStyle w:val="ListParagraph"/>
        <w:numPr>
          <w:ilvl w:val="0"/>
          <w:numId w:val="2"/>
        </w:numPr>
        <w:spacing w:after="60"/>
      </w:pPr>
      <w:r>
        <w:rPr>
          <w:sz w:val="22"/>
          <w:szCs w:val="22"/>
        </w:rPr>
        <w:t xml:space="preserve">Obtain 12-lead ECG if potassium &gt; 6.0 mEq/L</w:t>
      </w:r>
    </w:p>
    <w:p>
      <w:pPr>
        <w:pStyle w:val="ListParagraph"/>
        <w:numPr>
          <w:ilvl w:val="0"/>
          <w:numId w:val="2"/>
        </w:numPr>
        <w:spacing w:after="60"/>
      </w:pPr>
      <w:r>
        <w:rPr>
          <w:sz w:val="22"/>
          <w:szCs w:val="22"/>
        </w:rPr>
        <w:t xml:space="preserve">Hyperkalemia in CAH usually resolves with hydrocortisone and fluid resuscitation</w:t>
      </w:r>
    </w:p>
    <w:p>
      <w:pPr>
        <w:pStyle w:val="ListParagraph"/>
        <w:numPr>
          <w:ilvl w:val="0"/>
          <w:numId w:val="2"/>
        </w:numPr>
        <w:spacing w:after="60"/>
      </w:pPr>
      <w:r>
        <w:rPr>
          <w:sz w:val="22"/>
          <w:szCs w:val="22"/>
        </w:rPr>
        <w:t xml:space="preserve">If ECG changes present (peaked T-waves, prolonged PR, widened QRS): calcium gluconate 100 mg/kg IV over 5 minutes for cardiac membrane stabilization</w:t>
      </w:r>
    </w:p>
    <w:p>
      <w:pPr>
        <w:pStyle w:val="ListParagraph"/>
        <w:numPr>
          <w:ilvl w:val="0"/>
          <w:numId w:val="2"/>
        </w:numPr>
        <w:spacing w:after="60"/>
      </w:pPr>
      <w:r>
        <w:rPr>
          <w:sz w:val="22"/>
          <w:szCs w:val="22"/>
        </w:rPr>
        <w:t xml:space="preserve">Insulin with glucose infusion is rarely needed but should be available</w:t>
      </w:r>
    </w:p>
    <w:p>
      <w:pPr>
        <w:pStyle w:val="Heading3"/>
      </w:pPr>
      <w:r>
        <w:t xml:space="preserve">Step 7: Endocrine Consultation and Disposition</w:t>
      </w:r>
    </w:p>
    <w:p>
      <w:pPr>
        <w:pStyle w:val="ListParagraph"/>
        <w:numPr>
          <w:ilvl w:val="0"/>
          <w:numId w:val="2"/>
        </w:numPr>
        <w:spacing w:after="60"/>
      </w:pPr>
      <w:r>
        <w:rPr>
          <w:sz w:val="22"/>
          <w:szCs w:val="22"/>
        </w:rPr>
        <w:t xml:space="preserve">Contact pediatric endocrinology (telemedicine if in-person not available)</w:t>
      </w:r>
    </w:p>
    <w:p>
      <w:pPr>
        <w:pStyle w:val="ListParagraph"/>
        <w:numPr>
          <w:ilvl w:val="0"/>
          <w:numId w:val="2"/>
        </w:numPr>
        <w:spacing w:after="60"/>
      </w:pPr>
      <w:r>
        <w:rPr>
          <w:sz w:val="22"/>
          <w:szCs w:val="22"/>
        </w:rPr>
        <w:t xml:space="preserve">Activate neonatal/pediatric transport team if the patient requires PICU-level care</w:t>
      </w:r>
    </w:p>
    <w:p>
      <w:pPr>
        <w:pStyle w:val="ListParagraph"/>
        <w:numPr>
          <w:ilvl w:val="0"/>
          <w:numId w:val="2"/>
        </w:numPr>
        <w:spacing w:after="60"/>
      </w:pPr>
      <w:r>
        <w:rPr>
          <w:sz w:val="22"/>
          <w:szCs w:val="22"/>
        </w:rPr>
        <w:t xml:space="preserve">All patients with adrenal crisis should be admitted; most require ICU-level monitoring initially</w:t>
      </w:r>
    </w:p>
    <w:p>
      <w:pPr>
        <w:pStyle w:val="Heading2"/>
      </w:pPr>
      <w:r>
        <w:t xml:space="preserve">5.4 Weaning From Stress Doses</w:t>
      </w:r>
    </w:p>
    <w:p>
      <w:pPr>
        <w:spacing w:after="120"/>
      </w:pPr>
      <w:r>
        <w:t xml:space="preserve">Once the precipitating illness has resolved and the patient is clinically stable, hydrocortisone should be tapered back to maintenance. The general approach is to reduce IV hydrocortisone by 50 percent per day as clinical condition permits. When the patient is tolerating oral intake, transition to triple-dose oral hydrocortisone, then reduce to double dose for one day, then return to the maintenance regimen. For prolonged illness (more than 5 days of stress dosing), a more gradual taper over 2 to 3 days may help prevent rebound symptoms. Continue fludrocortisone at the usual dose once the patient is taking oral medications.</w:t>
      </w:r>
    </w:p>
    <w:p>
      <w:r>
        <w:br w:type="page"/>
      </w:r>
    </w:p>
    <w:p>
      <w:pPr>
        <w:pStyle w:val="Heading1"/>
      </w:pPr>
      <w:r>
        <w:t xml:space="preserve">Chapter 6: Special Populations and Considerations</w:t>
      </w:r>
    </w:p>
    <w:p>
      <w:pPr>
        <w:pStyle w:val="Heading2"/>
      </w:pPr>
      <w:r>
        <w:t xml:space="preserve">6.1 Neonatal Salt-Wasting Crisis as First Presentation</w:t>
      </w:r>
    </w:p>
    <w:p>
      <w:pPr>
        <w:spacing w:after="120"/>
      </w:pPr>
      <w:r>
        <w:t xml:space="preserve">The most urgent and time-critical presentation of CAH is the neonatal salt-wasting crisis, which typically occurs at 1 to 3 weeks of age. Female infants with classical CAH are usually identified at birth due to ambiguous genitalia, allowing early treatment initiation before the salt-wasting crisis develops. Male infants, however, have normal-appearing external genitalia and may not be identified until the newborn screening result returns — or until they present in crisis.</w:t>
      </w:r>
    </w:p>
    <w:p>
      <w:pPr>
        <w:spacing w:after="120"/>
      </w:pPr>
      <w:r>
        <w:t xml:space="preserve">The presentation includes poor feeding, failure to thrive, vomiting, progressive dehydration, and ultimately cardiovascular collapse and shock. Laboratory findings reveal severe hyponatremia (often below 120 mEq/L), life-threatening hyperkalemia (often above 7 mEq/L), metabolic acidosis, and hypoglycemia. Emergency management follows the adrenal crisis protocol: hydrocortisone 25 mg IV/IM in the neonate, aggressive normal saline resuscitation, dextrose for hypoglycemia, and urgent transport to a center with pediatric endocrinology.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sz w:val="22"/>
                <w:szCs w:val="22"/>
              </w:rPr>
              <w:t xml:space="preserve">RURAL CONSIDERATION</w:t>
            </w:r>
          </w:p>
          <w:p>
            <w:pPr>
              <w:spacing w:before="60"/>
            </w:pPr>
            <w:r>
              <w:rPr>
                <w:sz w:val="20"/>
                <w:szCs w:val="20"/>
              </w:rPr>
              <w:t xml:space="preserve">In rural settings, the newborn screen result may take several days to return. A male neonate presenting at 1 to 3 weeks with vomiting, dehydration, and electrolyte abnormalities (hyponatremia and hyperkalemia) should prompt immediate consideration of salt-wasting CAH. Do not wait for the newborn screen result. Draw a 17-OHP level and initiate treatment empirically.</w:t>
            </w:r>
          </w:p>
        </w:tc>
      </w:tr>
    </w:tbl>
    <w:p>
      <w:pPr>
        <w:pStyle w:val="Heading2"/>
      </w:pPr>
      <w:r>
        <w:t xml:space="preserve">6.2 Non-Classical CAH and Stress Dosing</w:t>
      </w:r>
    </w:p>
    <w:p>
      <w:pPr>
        <w:spacing w:after="120"/>
      </w:pPr>
      <w:r>
        <w:t xml:space="preserve">Non-classical CAH (NCCAH) presents a more nuanced clinical picture regarding the need for stress dosing. The 2018 Endocrine Society guideline states that stress dosing for major surgery, trauma, or childbirth in NCCAH patients should be reserved for those with a demonstrated suboptimal cortisol response (less than 14 to 18 micrograms per deciliter) on cosyntropin stimulation testing, or those with iatrogenic adrenal suppression from glucocorticoid therapy. Adrenal crisis has not been reported in untreated NCCAH patients.</w:t>
      </w:r>
    </w:p>
    <w:p>
      <w:pPr>
        <w:spacing w:after="120"/>
      </w:pPr>
      <w:r>
        <w:t xml:space="preserve">However, a study by Chesover and colleagues (2019) at The Hospital for Sick Children in Toronto found that glucocorticoid insufficiency was present in 55 percent of NCCAH patients evaluated. This suggests that a larger proportion of NCCAH patients may benefit from stress dosing than previously appreciated, at least during major physiological stressors. For NCCAH patients who are currently receiving daily glucocorticoid therapy, the standard sick day rules apply because of the risk of iatrogenic HPA axis suppression.</w:t>
      </w:r>
    </w:p>
    <w:p>
      <w:pPr>
        <w:pStyle w:val="Heading2"/>
      </w:pPr>
      <w:r>
        <w:t xml:space="preserve">6.3 Perioperative Stress Dosing</w:t>
      </w:r>
    </w:p>
    <w:p>
      <w:pPr>
        <w:spacing w:after="120"/>
      </w:pPr>
      <w:r>
        <w:t xml:space="preserve">All patients with classical CAH undergoing surgical procedures require perioperative glucocorticoid coverage. The recommended approach varies by the magnitude of the surgical stress:</w:t>
      </w:r>
    </w:p>
    <w:p>
      <w:pPr>
        <w:pStyle w:val="ListParagraph"/>
        <w:numPr>
          <w:ilvl w:val="0"/>
          <w:numId w:val="2"/>
        </w:numPr>
        <w:spacing w:after="60"/>
      </w:pPr>
      <w:r>
        <w:rPr>
          <w:sz w:val="22"/>
          <w:szCs w:val="22"/>
        </w:rPr>
        <w:t xml:space="preserve">Minor procedures (dental extraction, minor skin procedure under local anesthesia): Double the oral hydrocortisone dose on the morning of the procedure. No IV supplementation is usually needed if the patient tolerates oral medications.</w:t>
      </w:r>
    </w:p>
    <w:p>
      <w:pPr>
        <w:pStyle w:val="ListParagraph"/>
        <w:numPr>
          <w:ilvl w:val="0"/>
          <w:numId w:val="2"/>
        </w:numPr>
        <w:spacing w:after="60"/>
      </w:pPr>
      <w:r>
        <w:rPr>
          <w:sz w:val="22"/>
          <w:szCs w:val="22"/>
        </w:rPr>
        <w:t xml:space="preserve">Moderate surgery (under general anesthesia, &lt; 1 hour duration): Hydrocortisone 50 mg/m² IV at induction, followed by 50 mg/m²/day IV divided every 6 hours for 24 to 48 hours postoperatively.</w:t>
      </w:r>
    </w:p>
    <w:p>
      <w:pPr>
        <w:pStyle w:val="ListParagraph"/>
        <w:numPr>
          <w:ilvl w:val="0"/>
          <w:numId w:val="2"/>
        </w:numPr>
        <w:spacing w:after="60"/>
      </w:pPr>
      <w:r>
        <w:rPr>
          <w:sz w:val="22"/>
          <w:szCs w:val="22"/>
        </w:rPr>
        <w:t xml:space="preserve">Major surgery (cardiac surgery, major abdominal surgery, prolonged general anesthesia): Hydrocortisone 50 to 100 mg/m² IV at induction, then 50 to 100 mg/m²/day as continuous infusion or divided every 6 hours intraoperatively and for 48 to 72 hours postoperatively. Taper by reducing the dose by 50 percent each day to maintenance.</w:t>
      </w:r>
    </w:p>
    <w:p>
      <w:pPr>
        <w:spacing w:after="120"/>
      </w:pPr>
      <w:r>
        <w:t xml:space="preserve">Fludrocortisone may be withheld on the day of surgery and while the patient is receiving high-dose IV hydrocortisone, as stress-dose hydrocortisone provides adequate mineralocorticoid activity.</w:t>
      </w:r>
    </w:p>
    <w:p>
      <w:pPr>
        <w:pStyle w:val="Heading2"/>
      </w:pPr>
      <w:r>
        <w:t xml:space="preserve">6.4 Vaccination and Stress Dosing</w:t>
      </w:r>
    </w:p>
    <w:p>
      <w:pPr>
        <w:spacing w:after="120"/>
      </w:pPr>
      <w:r>
        <w:t xml:space="preserve">The international survey by Ali et al. (2022) found that only 30 percent of specialist centres recommended stress dosing after routine vaccination. The majority of experts do not recommend prophylactic dose increases for vaccination alone. Instead, families should be counseled to monitor temperature for 48 hours after vaccination and apply the standard fever-based sick day rules if the child develops a febrile response. The emergency hydrocortisone kit should be readily available.</w:t>
      </w:r>
    </w:p>
    <w:p>
      <w:pPr>
        <w:pStyle w:val="Heading2"/>
      </w:pPr>
      <w:r>
        <w:t xml:space="preserve">6.5 COVID-19 and Other Viral Infections</w:t>
      </w:r>
    </w:p>
    <w:p>
      <w:pPr>
        <w:spacing w:after="120"/>
      </w:pPr>
      <w:r>
        <w:t xml:space="preserve">The NIH study by Javaid and colleagues (2024) evaluated COVID-19 outcomes in 168 CAH patient visits and found that CAH patients with close follow-up did not appear to be at increased risk of acquiring COVID-19 or having a more severe course compared to the general U.S. population. Stress dosing was used in 30 of 54 COVID-19 cases, and 7 received parenteral hydrocortisone. The authors concluded that established age-appropriate guidelines for stress dosing during infectious illnesses should be used for CAH patients with COVID-19 and that COVID-19-specific guidelines are not needed.</w:t>
      </w:r>
    </w:p>
    <w:p>
      <w:r>
        <w:br w:type="page"/>
      </w:r>
    </w:p>
    <w:p>
      <w:pPr>
        <w:pStyle w:val="Heading1"/>
      </w:pPr>
      <w:r>
        <w:t xml:space="preserve">Chapter 7: Transport and Escalation</w:t>
      </w:r>
    </w:p>
    <w:p>
      <w:pPr>
        <w:pStyle w:val="Heading2"/>
      </w:pPr>
      <w:r>
        <w:t xml:space="preserve">7.1 Criteria for Neonatal/Pediatric Transport Team Activation</w:t>
      </w:r>
    </w:p>
    <w:p>
      <w:pPr>
        <w:spacing w:after="120"/>
      </w:pPr>
      <w:r>
        <w:t xml:space="preserve">The following criteria should prompt activation of the neonatal or pediatric transport team for a CAH patient in a rural or community emergency department:</w:t>
      </w:r>
    </w:p>
    <w:p>
      <w:pPr>
        <w:pStyle w:val="ListParagraph"/>
        <w:numPr>
          <w:ilvl w:val="0"/>
          <w:numId w:val="2"/>
        </w:numPr>
        <w:spacing w:after="60"/>
      </w:pPr>
      <w:r>
        <w:rPr>
          <w:sz w:val="22"/>
          <w:szCs w:val="22"/>
        </w:rPr>
        <w:t xml:space="preserve">Adrenal crisis with hemodynamic instability requiring ongoing IV resuscitation</w:t>
      </w:r>
    </w:p>
    <w:p>
      <w:pPr>
        <w:pStyle w:val="ListParagraph"/>
        <w:numPr>
          <w:ilvl w:val="0"/>
          <w:numId w:val="2"/>
        </w:numPr>
        <w:spacing w:after="60"/>
      </w:pPr>
      <w:r>
        <w:rPr>
          <w:sz w:val="22"/>
          <w:szCs w:val="22"/>
        </w:rPr>
        <w:t xml:space="preserve">Altered mental status or seizures</w:t>
      </w:r>
    </w:p>
    <w:p>
      <w:pPr>
        <w:pStyle w:val="ListParagraph"/>
        <w:numPr>
          <w:ilvl w:val="0"/>
          <w:numId w:val="2"/>
        </w:numPr>
        <w:spacing w:after="60"/>
      </w:pPr>
      <w:r>
        <w:rPr>
          <w:sz w:val="22"/>
          <w:szCs w:val="22"/>
        </w:rPr>
        <w:t xml:space="preserve">Need for continuous IV hydrocortisone infusion</w:t>
      </w:r>
    </w:p>
    <w:p>
      <w:pPr>
        <w:pStyle w:val="ListParagraph"/>
        <w:numPr>
          <w:ilvl w:val="0"/>
          <w:numId w:val="2"/>
        </w:numPr>
        <w:spacing w:after="60"/>
      </w:pPr>
      <w:r>
        <w:rPr>
          <w:sz w:val="22"/>
          <w:szCs w:val="22"/>
        </w:rPr>
        <w:t xml:space="preserve">Persistent electrolyte derangements (Na &lt; 125, K &gt; 6.5) despite initial treatment</w:t>
      </w:r>
    </w:p>
    <w:p>
      <w:pPr>
        <w:pStyle w:val="ListParagraph"/>
        <w:numPr>
          <w:ilvl w:val="0"/>
          <w:numId w:val="2"/>
        </w:numPr>
        <w:spacing w:after="60"/>
      </w:pPr>
      <w:r>
        <w:rPr>
          <w:sz w:val="22"/>
          <w:szCs w:val="22"/>
        </w:rPr>
        <w:t xml:space="preserve">Suspected new diagnosis of CAH (neonatal salt-wasting crisis)</w:t>
      </w:r>
    </w:p>
    <w:p>
      <w:pPr>
        <w:pStyle w:val="ListParagraph"/>
        <w:numPr>
          <w:ilvl w:val="0"/>
          <w:numId w:val="2"/>
        </w:numPr>
        <w:spacing w:after="60"/>
      </w:pPr>
      <w:r>
        <w:rPr>
          <w:sz w:val="22"/>
          <w:szCs w:val="22"/>
        </w:rPr>
        <w:t xml:space="preserve">Any patient requiring ICU-level monitoring not available at the facility</w:t>
      </w:r>
    </w:p>
    <w:p>
      <w:pPr>
        <w:pStyle w:val="ListParagraph"/>
        <w:numPr>
          <w:ilvl w:val="0"/>
          <w:numId w:val="2"/>
        </w:numPr>
        <w:spacing w:after="60"/>
      </w:pPr>
      <w:r>
        <w:rPr>
          <w:sz w:val="22"/>
          <w:szCs w:val="22"/>
        </w:rPr>
        <w:t xml:space="preserve">Failure to improve within 1 to 2 hours of initiating crisis management</w:t>
      </w:r>
    </w:p>
    <w:p>
      <w:pPr>
        <w:pStyle w:val="Heading2"/>
      </w:pPr>
      <w:r>
        <w:t xml:space="preserve">7.2 Stabilization Prior to Transport</w:t>
      </w:r>
    </w:p>
    <w:p>
      <w:pPr>
        <w:spacing w:after="120"/>
      </w:pPr>
      <w:r>
        <w:t xml:space="preserve">While awaiting the transport team, the referring facility should continue resuscitation and monitoring. Key stabilization priorities include the following: continue IV hydrocortisone per crisis protocol (bolus every 6 hours until transport); maintain IV fluids with dextrose (D5NS or D10NS); monitor and document glucose every 1 to 2 hours; continue cardiac monitoring if hyperkalemia was present; prepare a complete handoff including all medication times, doses, fluid volumes, lab results, and vital sign trends.</w:t>
      </w:r>
    </w:p>
    <w:p>
      <w:pPr>
        <w:pStyle w:val="Heading2"/>
      </w:pPr>
      <w:r>
        <w:t xml:space="preserve">7.3 SBAR Communication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b/>
                <w:bCs/>
                <w:sz w:val="22"/>
                <w:szCs w:val="22"/>
              </w:rPr>
              <w:t xml:space="preserve">SBAR FOR CAH TRANSPORT CALL</w:t>
            </w:r>
          </w:p>
          <w:p>
            <w:pPr>
              <w:spacing w:before="60"/>
            </w:pPr>
            <w:r>
              <w:rPr>
                <w:sz w:val="20"/>
                <w:szCs w:val="20"/>
              </w:rPr>
              <w:t xml:space="preserve">S (Situation): I have a [age, sex] patient with known [SW/SV] CAH presenting with [symptoms] and features consistent with [impending AI / adrenal crisis].
B (Background): Home medications: HC [dose/freq], FC [dose]. Last HC dose at [time]. Precipitating illness: [fever/GI/etc.] for [duration]. [Any stress dosing already given at home].
A (Assessment): Current VS: [HR, BP, RR, T, SpO2]. Mental status: [alert/lethargic/obtunded]. Labs: Na [val], K [val], glucose [val], VBG [pH, bicarb]. Given: HC [dose] [route] at [time]. NS [volume] given. Current fluids: [type and rate].
R (Request): Requesting [PICU/NICU] transport for [reason]. Endocrine team aware: [yes/no]. Anticipated needs: [continuous HC infusion / ongoing fluid resuscitation / etc.].</w:t>
            </w:r>
          </w:p>
        </w:tc>
      </w:tr>
    </w:tbl>
    <w:p>
      <w:r>
        <w:br w:type="page"/>
      </w:r>
    </w:p>
    <w:p>
      <w:pPr>
        <w:pStyle w:val="Heading1"/>
      </w:pPr>
      <w:r>
        <w:t xml:space="preserve">Chapter 8: Quality and Safety</w:t>
      </w:r>
    </w:p>
    <w:p>
      <w:pPr>
        <w:pStyle w:val="Heading2"/>
      </w:pPr>
      <w:r>
        <w:t xml:space="preserve">8.1 Common Errors and How to Prevent Them</w:t>
      </w:r>
    </w:p>
    <w:p>
      <w:pPr>
        <w:pStyle w:val="ListParagraph"/>
        <w:numPr>
          <w:ilvl w:val="0"/>
          <w:numId w:val="2"/>
        </w:numPr>
        <w:spacing w:after="60"/>
      </w:pPr>
      <w:r>
        <w:rPr>
          <w:sz w:val="22"/>
          <w:szCs w:val="22"/>
        </w:rPr>
        <w:t xml:space="preserve">Failing to stress dose: The most dangerous error. Every known CAH patient with acute illness requires increased glucocorticoid dosing, without exception.</w:t>
      </w:r>
    </w:p>
    <w:p>
      <w:pPr>
        <w:pStyle w:val="ListParagraph"/>
        <w:numPr>
          <w:ilvl w:val="0"/>
          <w:numId w:val="2"/>
        </w:numPr>
        <w:spacing w:after="60"/>
      </w:pPr>
      <w:r>
        <w:rPr>
          <w:sz w:val="22"/>
          <w:szCs w:val="22"/>
        </w:rPr>
        <w:t xml:space="preserve">Delaying IM/IV hydrocortisone for IV access: IM injection is effective and should be given immediately if the patient is in crisis and IV access is not yet established.</w:t>
      </w:r>
    </w:p>
    <w:p>
      <w:pPr>
        <w:pStyle w:val="ListParagraph"/>
        <w:numPr>
          <w:ilvl w:val="0"/>
          <w:numId w:val="2"/>
        </w:numPr>
        <w:spacing w:after="60"/>
      </w:pPr>
      <w:r>
        <w:rPr>
          <w:sz w:val="22"/>
          <w:szCs w:val="22"/>
        </w:rPr>
        <w:t xml:space="preserve">Using dexamethasone as first-line stress dosing: Dexamethasone has no mineralocorticoid activity and a delayed onset. Hydrocortisone is always preferred for acute stress dosing in CAH.</w:t>
      </w:r>
    </w:p>
    <w:p>
      <w:pPr>
        <w:pStyle w:val="ListParagraph"/>
        <w:numPr>
          <w:ilvl w:val="0"/>
          <w:numId w:val="2"/>
        </w:numPr>
        <w:spacing w:after="60"/>
      </w:pPr>
      <w:r>
        <w:rPr>
          <w:sz w:val="22"/>
          <w:szCs w:val="22"/>
        </w:rPr>
        <w:t xml:space="preserve">Forgetting to check (and treat) glucose: Hypoglycemia is a common and underappreciated component of adrenal crisis, especially in children under 12. Check glucose immediately and at regular intervals.</w:t>
      </w:r>
    </w:p>
    <w:p>
      <w:pPr>
        <w:pStyle w:val="ListParagraph"/>
        <w:numPr>
          <w:ilvl w:val="0"/>
          <w:numId w:val="2"/>
        </w:numPr>
        <w:spacing w:after="60"/>
      </w:pPr>
      <w:r>
        <w:rPr>
          <w:sz w:val="22"/>
          <w:szCs w:val="22"/>
        </w:rPr>
        <w:t xml:space="preserve">Omitting fludrocortisone: While stress-dose IV hydrocortisone provides mineralocorticoid coverage acutely, fludrocortisone must be resumed once the patient is tolerating oral medications.</w:t>
      </w:r>
    </w:p>
    <w:p>
      <w:pPr>
        <w:pStyle w:val="ListParagraph"/>
        <w:numPr>
          <w:ilvl w:val="0"/>
          <w:numId w:val="2"/>
        </w:numPr>
        <w:spacing w:after="60"/>
      </w:pPr>
      <w:r>
        <w:rPr>
          <w:sz w:val="22"/>
          <w:szCs w:val="22"/>
        </w:rPr>
        <w:t xml:space="preserve">Premature discontinuation of stress dosing: Stress doses should be continued for the full duration of the illness, not just until the first sign of improvement.</w:t>
      </w:r>
    </w:p>
    <w:p>
      <w:pPr>
        <w:pStyle w:val="Heading2"/>
      </w:pPr>
      <w:r>
        <w:t xml:space="preserve">8.2 Family Education Best Practices</w:t>
      </w:r>
    </w:p>
    <w:p>
      <w:pPr>
        <w:spacing w:after="120"/>
      </w:pPr>
      <w:r>
        <w:t xml:space="preserve">Education is the cornerstone of adrenal crisis prevention. The NIH longitudinal study by El-Maouche et al. (2018) provided repeated glucocorticoid stress dosing teaching at every clinical visit, delivered by a nurse, with written instructions. Despite this intensive education, adrenal crises still occurred, underscoring the need for reinforcement. Key elements of family education include: written sick day dosing instructions in the family's primary language; hands-on training with emergency hydrocortisone injection (including reconstitution); a steroid emergency card carried at all times; medical alert bracelet or necklace; school health plan with emergency instructions and emergency hydrocortisone available; and reinforcement of education at every clinical encounter, at least annually.</w:t>
      </w:r>
    </w:p>
    <w:p>
      <w:pPr>
        <w:pStyle w:val="Heading2"/>
      </w:pPr>
      <w:r>
        <w:t xml:space="preserve">8.3 Documentation Best Practices</w:t>
      </w:r>
    </w:p>
    <w:p>
      <w:pPr>
        <w:spacing w:after="120"/>
      </w:pPr>
      <w:r>
        <w:t xml:space="preserve">Clear documentation of the following elements is essential during any acute encounter with a CAH patient: baseline medication regimen (hydrocortisone dose and frequency, fludrocortisone dose); time and dose of last home hydrocortisone administration; all stress doses administered (oral, IM, or IV) with exact times; total IV fluid volume administered; all laboratory results with timestamps; endocrine consult documentation; disposition and follow-up plan; and updated sick day instructions provided to the family at discharge.</w:t>
      </w:r>
    </w:p>
    <w:p>
      <w:r>
        <w:br w:type="page"/>
      </w:r>
    </w:p>
    <w:p>
      <w:pPr>
        <w:pStyle w:val="Heading1"/>
      </w:pPr>
      <w:r>
        <w:t xml:space="preserve">Chapter 9: Case Studies</w:t>
      </w:r>
    </w:p>
    <w:p>
      <w:pPr>
        <w:pStyle w:val="Heading2"/>
      </w:pPr>
      <w:r>
        <w:t xml:space="preserve">Case 1: Straightforward Sick Day Management</w:t>
      </w:r>
    </w:p>
    <w:p>
      <w:pPr>
        <w:spacing w:after="120"/>
      </w:pPr>
      <w:r>
        <w:rPr>
          <w:i/>
          <w:iCs/>
        </w:rPr>
        <w:t xml:space="preserve">A 4-year-old girl with salt-wasting CAH on hydrocortisone 4 mg TID (12 mg/day) and fludrocortisone 0.1 mg daily presents to her pediatrician with a 2-day history of cough, rhinorrhea, and fever to 38.6°C. She is eating and drinking well. Vital signs are stable. She appears well-hydrated and playful.</w:t>
      </w:r>
    </w:p>
    <w:p>
      <w:pPr>
        <w:spacing w:after="120"/>
      </w:pPr>
      <w:r>
        <w:rPr>
          <w:b/>
          <w:bCs/>
        </w:rPr>
        <w:t xml:space="preserve">Management: </w:t>
      </w:r>
      <w:r>
        <w:t xml:space="preserve">This is a mild illness. The family should double the total daily hydrocortisone dose from 12 mg/day to 24 mg/day, given as 8 mg three times daily. Fludrocortisone continues unchanged. The family should monitor temperature and return to the ED if fever exceeds 39°C, vomiting develops, or the child becomes significantly lethargic. Return to normal dosing 24 hours after the fever resolves.</w:t>
      </w:r>
    </w:p>
    <w:p>
      <w:pPr>
        <w:pStyle w:val="Heading2"/>
      </w:pPr>
      <w:r>
        <w:t xml:space="preserve">Case 2: Vomiting Child Requiring IM Hydrocortisone</w:t>
      </w:r>
    </w:p>
    <w:p>
      <w:pPr>
        <w:spacing w:after="120"/>
      </w:pPr>
      <w:r>
        <w:rPr>
          <w:i/>
          <w:iCs/>
        </w:rPr>
        <w:t xml:space="preserve">A 6-year-old boy with simple virilizing CAH on hydrocortisone 5 mg morning, 2.5 mg afternoon, 5 mg evening (12.5 mg/day) presents to a rural ED after 6 hours of vomiting and diarrhea. His mother reports she gave a double dose of hydrocortisone 4 hours ago but he vomited it within 20 minutes. Temperature is 39.4°C. Heart rate is 130. BP is 85/55 (low for age). He is lethargic but arousable.</w:t>
      </w:r>
    </w:p>
    <w:p>
      <w:pPr>
        <w:spacing w:after="120"/>
      </w:pPr>
      <w:r>
        <w:rPr>
          <w:b/>
          <w:bCs/>
        </w:rPr>
        <w:t xml:space="preserve">Management: </w:t>
      </w:r>
      <w:r>
        <w:t xml:space="preserve">This child is moderately ill with failure of oral stress dosing due to vomiting. Give hydrocortisone 50 mg IM immediately (he is in the 1–5 year dose range, but at 6 years and approximately 20 kg, 50 mg is appropriate; some would use 50–100 mg). Establish IV access and obtain BMP, glucose, VBG. Start NS 20 mL/kg bolus. Check and treat hypoglycemia. After IM HC, reassess in 30 to 60 minutes. If improving, admit for observation with IV HC 50 mg/m²/day divided q6h until tolerating PO. If not improving, treat as adrenal crisis with repeat HC bolus and aggressive fluid resuscitation.</w:t>
      </w:r>
    </w:p>
    <w:p>
      <w:pPr>
        <w:pStyle w:val="Heading2"/>
      </w:pPr>
      <w:r>
        <w:t xml:space="preserve">Case 3: Neonatal Salt-Wasting Crisis</w:t>
      </w:r>
    </w:p>
    <w:p>
      <w:pPr>
        <w:spacing w:after="120"/>
      </w:pPr>
      <w:r>
        <w:rPr>
          <w:i/>
          <w:iCs/>
        </w:rPr>
        <w:t xml:space="preserve">A 12-day-old male infant is brought to a rural ED by his parents for poor feeding and 'not acting right' for 2 days. He was born at term at a birthing center. Newborn screen was sent but results are not yet available. On examination, he is pale, mottled, limp, and tachycardic (HR 190). BP is unobtainable. Fontanelle is sunken. He does not cry to stimulation.</w:t>
      </w:r>
    </w:p>
    <w:p>
      <w:pPr>
        <w:spacing w:after="120"/>
      </w:pPr>
      <w:r>
        <w:rPr>
          <w:b/>
          <w:bCs/>
        </w:rPr>
        <w:t xml:space="preserve">Management: </w:t>
      </w:r>
      <w:r>
        <w:t xml:space="preserve">This is a collapsed neonate and a salt-wasting crisis until proven otherwise. Draw STAT BMP, glucose, cortisol, ACTH, 17-OHP, CBC, blood culture. Anticipate findings: Na very low (&lt; 120 mEq/L), K very high (&gt; 7 mEq/L), glucose low, metabolic acidosis. Give hydrocortisone 25 mg IV/IM STAT (neonatal dose). NS 20 mL/kg bolus, repeat as needed. D10W 2 mL/kg for hypoglycemia. Start D10NS at maintenance. Get ECG for hyperkalemia. Contact pediatric endocrinology and activate neonatal transport STAT. This infant needs NICU care. Even if the diagnosis is uncertain, empiric hydrocortisone is safe and potentially life-saving.</w:t>
      </w:r>
    </w:p>
    <w:p>
      <w:pPr>
        <w:pStyle w:val="Heading2"/>
      </w:pPr>
      <w:r>
        <w:t xml:space="preserve">Case 4: Perioperative Stress Dosing</w:t>
      </w:r>
    </w:p>
    <w:p>
      <w:pPr>
        <w:spacing w:after="120"/>
      </w:pPr>
      <w:r>
        <w:rPr>
          <w:i/>
          <w:iCs/>
        </w:rPr>
        <w:t xml:space="preserve">A 10-year-old girl with salt-wasting CAH on hydrocortisone 7.5 mg TID (22.5 mg/day, BSA 1.2 m²) is scheduled for appendectomy under general anesthesia. Surgery is expected to last approximately 45 minutes.</w:t>
      </w:r>
    </w:p>
    <w:p>
      <w:pPr>
        <w:spacing w:after="120"/>
      </w:pPr>
      <w:r>
        <w:rPr>
          <w:b/>
          <w:bCs/>
        </w:rPr>
        <w:t xml:space="preserve">Management: </w:t>
      </w:r>
      <w:r>
        <w:t xml:space="preserve">This is moderate surgery. Administer HC 60 mg IV (50 mg/m²) at induction of anesthesia. Postoperatively, give HC 60 mg/day IV divided q6h (15 mg q6h) for 24 hours. On postop day 2, reduce to 30 mg/day (half the stress dose). On postop day 3, if tolerating PO and recovering well, transition to triple dose oral HC (approximately 67 mg/day divided TID), then return to maintenance by postop day 4 to 5. Resume fludrocortisone when tolerating oral intake.</w:t>
      </w:r>
    </w:p>
    <w:p>
      <w:pPr>
        <w:pStyle w:val="Heading2"/>
      </w:pPr>
      <w:r>
        <w:t xml:space="preserve">Case 5: COVID-19 Infection in a CAH Adolescent</w:t>
      </w:r>
    </w:p>
    <w:p>
      <w:pPr>
        <w:spacing w:after="120"/>
      </w:pPr>
      <w:r>
        <w:rPr>
          <w:i/>
          <w:iCs/>
        </w:rPr>
        <w:t xml:space="preserve">A 15-year-old with salt-wasting CAH on hydrocortisone 10 mg morning, 5 mg afternoon, 10 mg evening (25 mg/day) and fludrocortisone 0.1 mg daily tests positive for COVID-19. He has a fever of 38.8°C, sore throat, mild cough, and mild body aches. He is eating and drinking normally.</w:t>
      </w:r>
    </w:p>
    <w:p>
      <w:pPr>
        <w:spacing w:after="120"/>
      </w:pPr>
      <w:r>
        <w:rPr>
          <w:b/>
          <w:bCs/>
        </w:rPr>
        <w:t xml:space="preserve">Management: </w:t>
      </w:r>
      <w:r>
        <w:t xml:space="preserve">Per Javaid et al. (2024) and Arlt et al. (2020), standard age-appropriate sick day rules apply; COVID-19-specific guidelines are not necessary. This is a mild febrile illness: double the HC dose to 50 mg/day divided TID or QID. Continue fludrocortisone. Monitor for worsening symptoms, particularly GI symptoms (which were common during the delta and omicron waves). If fever exceeds 39°C, escalate to triple dose. If vomiting develops and oral meds cannot be retained, give IM hydrocortisone 100 mg and seek emergency care.</w:t>
      </w:r>
    </w:p>
    <w:p>
      <w:r>
        <w:br w:type="page"/>
      </w:r>
    </w:p>
    <w:p>
      <w:pPr>
        <w:pStyle w:val="Heading1"/>
      </w:pPr>
      <w:r>
        <w:t xml:space="preserve">Chapter 10: Summary and Key Takeaways</w:t>
      </w:r>
    </w:p>
    <w:p>
      <w:pPr>
        <w:pStyle w:val="Heading2"/>
      </w:pPr>
      <w:r>
        <w:t xml:space="preserve">10.1 The Five Essential Rules of CAH Sick Day Management</w:t>
      </w:r>
    </w:p>
    <w:p>
      <w:pPr>
        <w:spacing w:after="120"/>
      </w:pPr>
      <w:r>
        <w:rPr>
          <w:b/>
          <w:bCs/>
        </w:rPr>
        <w:t xml:space="preserve">1. </w:t>
      </w:r>
      <w:r>
        <w:rPr>
          <w:b/>
          <w:bCs/>
        </w:rPr>
        <w:t xml:space="preserve">NEVER withhold glucocorticoids. </w:t>
      </w:r>
      <w:r>
        <w:t xml:space="preserve">A known CAH patient with acute illness must receive increased hydrocortisone. The consequences of undertreating far exceed the consequences of overtreating for a brief period.</w:t>
      </w:r>
    </w:p>
    <w:p>
      <w:pPr>
        <w:spacing w:after="120"/>
      </w:pPr>
      <w:r>
        <w:rPr>
          <w:b/>
          <w:bCs/>
        </w:rPr>
        <w:t xml:space="preserve">2. </w:t>
      </w:r>
      <w:r>
        <w:rPr>
          <w:b/>
          <w:bCs/>
        </w:rPr>
        <w:t xml:space="preserve">Dose proportionally to stress severity. </w:t>
      </w:r>
      <w:r>
        <w:t xml:space="preserve">Mild illness: double the dose. Moderate illness: triple the dose. Severe illness or crisis: go to IM/IV stress dosing (50–100 mg/m²/day).</w:t>
      </w:r>
    </w:p>
    <w:p>
      <w:pPr>
        <w:spacing w:after="120"/>
      </w:pPr>
      <w:r>
        <w:rPr>
          <w:b/>
          <w:bCs/>
        </w:rPr>
        <w:t xml:space="preserve">3. </w:t>
      </w:r>
      <w:r>
        <w:rPr>
          <w:b/>
          <w:bCs/>
        </w:rPr>
        <w:t xml:space="preserve">Give IM hydrocortisone if the patient is vomiting. </w:t>
      </w:r>
      <w:r>
        <w:t xml:space="preserve">Oral medications are useless if they cannot be retained. Vomiting in a CAH patient is a red flag requiring IM hydrocortisone and medical evaluation.</w:t>
      </w:r>
    </w:p>
    <w:p>
      <w:pPr>
        <w:spacing w:after="120"/>
      </w:pPr>
      <w:r>
        <w:rPr>
          <w:b/>
          <w:bCs/>
        </w:rPr>
        <w:t xml:space="preserve">4. </w:t>
      </w:r>
      <w:r>
        <w:rPr>
          <w:b/>
          <w:bCs/>
        </w:rPr>
        <w:t xml:space="preserve">Check glucose and treat hypoglycemia. </w:t>
      </w:r>
      <w:r>
        <w:t xml:space="preserve">Hypoglycemia is common and dangerous in adrenal crisis, especially in children. Check glucose at triage and every 1–2 hours during active treatment.</w:t>
      </w:r>
    </w:p>
    <w:p>
      <w:pPr>
        <w:spacing w:after="120"/>
      </w:pPr>
      <w:r>
        <w:rPr>
          <w:b/>
          <w:bCs/>
        </w:rPr>
        <w:t xml:space="preserve">5. </w:t>
      </w:r>
      <w:r>
        <w:rPr>
          <w:b/>
          <w:bCs/>
        </w:rPr>
        <w:t xml:space="preserve">Do not delay treatment for labs. </w:t>
      </w:r>
      <w:r>
        <w:t xml:space="preserve">In suspected adrenal crisis, give hydrocortisone and fluids immediately. Draw labs simultaneously or after initial treatment. The diagnosis is clinical; the treatment is empiric.</w:t>
      </w:r>
    </w:p>
    <w:p>
      <w:pPr>
        <w:pStyle w:val="Heading2"/>
      </w:pPr>
      <w:r>
        <w:t xml:space="preserve">10.2 Quick Reference: Emergency IM Hydrocortisone Doses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1400"/>
        <w:gridCol w:w="1360"/>
      </w:tblGrid>
      <w:tr>
        <w:tc>
          <w:tcPr>
            <w:tcW w:type="dxa" w:w="28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Age</w:t>
            </w:r>
          </w:p>
        </w:tc>
        <w:tc>
          <w:tcPr>
            <w:tcW w:type="dxa" w:w="22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IM Dose</w:t>
            </w:r>
          </w:p>
        </w:tc>
        <w:tc>
          <w:tcPr>
            <w:tcW w:type="dxa" w:w="16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Repeat</w:t>
            </w:r>
          </w:p>
        </w:tc>
        <w:tc>
          <w:tcPr>
            <w:tcW w:type="dxa" w:w="1360"/>
            <w:tcBorders>
              <w:top w:val="single" w:color="CCCCCC" w:sz="1"/>
              <w:left w:val="single" w:color="CCCCCC" w:sz="1"/>
              <w:bottom w:val="single" w:color="CCCCCC" w:sz="1"/>
              <w:right w:val="single" w:color="CCCCCC"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Max</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&lt; 1 year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25 mg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25 mg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mg</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6–12 years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50–100 mg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IM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100 mg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12 years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IM/IV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Q6H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mg</w:t>
            </w:r>
          </w:p>
        </w:tc>
      </w:tr>
    </w:tbl>
    <w:p>
      <w:r>
        <w:br w:type="page"/>
      </w:r>
    </w:p>
    <w:p>
      <w:pPr>
        <w:pStyle w:val="Heading1"/>
      </w:pPr>
      <w:r>
        <w:t xml:space="preserve">References</w:t>
      </w:r>
    </w:p>
    <w:p>
      <w:pPr>
        <w:spacing w:after="120"/>
      </w:pPr>
      <w:r>
        <w:t xml:space="preserve">1. Speiser PW, Arlt W, Auchus RJ, et al. Congenital Adrenal Hyperplasia Due to Steroid 21-Hydroxylase Deficiency: An Endocrine Society Clinical Practice Guideline. J Clin Endocrinol Metab. 2018;103(11):4043-4088. doi:10.1210/jc.2018-01865. PMID:30272171.</w:t>
      </w:r>
    </w:p>
    <w:p>
      <w:pPr>
        <w:spacing w:after="120"/>
      </w:pPr>
      <w:r>
        <w:t xml:space="preserve">2. El-Maouche D, Hargreaves CJ, Sinaii N, Mallappa A, Veeraraghavan P, Merke DP. Longitudinal Assessment of Illnesses, Stress Dosing, and Illness Sequelae in Patients With Congenital Adrenal Hyperplasia. J Clin Endocrinol Metab. 2018;103(6):2336-2345. doi:10.1210/jc.2018-00208. PMID:29584889.</w:t>
      </w:r>
    </w:p>
    <w:p>
      <w:pPr>
        <w:spacing w:after="120"/>
      </w:pPr>
      <w:r>
        <w:t xml:space="preserve">3. Ali SR, Bryce J, Krone NP, Claahsen-van der Grinten HL, Ahmed SF. Management of Acute Adrenal Insufficiency-Related Adverse Events in Children with Congenital Adrenal Hyperplasia: Results of an International Survey of Specialist Centres. Horm Res Paediatr. 2022;95(4):363-373. doi:10.1159/000525075. PMID:35569445.</w:t>
      </w:r>
    </w:p>
    <w:p>
      <w:pPr>
        <w:spacing w:after="120"/>
      </w:pPr>
      <w:r>
        <w:t xml:space="preserve">4. Arlt W, Baldeweg SE, Pearce SHS, Simpson HL. Endocrinology in the Time of COVID-19: Management of Adrenal Insufficiency. Eur J Endocrinol. 2020;183(1):G25-G32. doi:10.1530/EJE-20-0361. PMID:32379699.</w:t>
      </w:r>
    </w:p>
    <w:p>
      <w:pPr>
        <w:spacing w:after="120"/>
      </w:pPr>
      <w:r>
        <w:t xml:space="preserve">5. Javaid R, Sinaii N, Kollender S, Desai J, Moon A, Merke DP. Course of COVID-19 infection in patients with congenital adrenal hyperplasia. Front Endocrinol. 2024;15:1348130. doi:10.3389/fendo.2024.1348130. PMID:38405151.</w:t>
      </w:r>
    </w:p>
    <w:p>
      <w:pPr>
        <w:spacing w:after="120"/>
      </w:pPr>
      <w:r>
        <w:t xml:space="preserve">6. Bornstein SR, Allolio B, Arlt W, et al. Diagnosis and Treatment of Primary Adrenal Insufficiency: An Endocrine Society Clinical Practice Guideline. J Clin Endocrinol Metab. 2016;101(2):364-389. doi:10.1210/jc.2015-1710. PMID:26760044.</w:t>
      </w:r>
    </w:p>
    <w:p>
      <w:pPr>
        <w:spacing w:after="120"/>
      </w:pPr>
      <w:r>
        <w:t xml:space="preserve">7. Mushtaq T, et al. Emergency and perioperative management of adrenal insufficiency in children and young people: British Society for Paediatric Endocrinology and Diabetes consensus guidance. Arch Dis Child. 2023;108(11):e2. PMC:10646833.</w:t>
      </w:r>
    </w:p>
    <w:p>
      <w:pPr>
        <w:spacing w:after="120"/>
      </w:pPr>
      <w:r>
        <w:t xml:space="preserve">8. Chesover AD, Millar H, Sepiashvili L, Adeli K, Palmert MR, Hamilton J. Screening for Nonclassic Congenital Adrenal Hyperplasia in the Era of Liquid Chromatography-Tandem Mass Spectrometry. J Endocr Soc. 2019;4(2):bvz030. doi:10.1210/jendso/bvz030. PMID:32110745.</w:t>
      </w:r>
    </w:p>
    <w:p>
      <w:pPr>
        <w:spacing w:after="120"/>
      </w:pPr>
      <w:r>
        <w:t xml:space="preserve">9. Pilz S, Krebs M, Bonfig W, et al. Emergency card, emergency medication, and information leaflet for the prevention and treatment of adrenal crisis: an Austrian consensus document. J Klin Endokrinol Stoffwechs. 2022;15(1):5-27. doi:10.1007/s41969-022-00155-2. PMID:35251520.</w:t>
      </w:r>
    </w:p>
    <w:p>
      <w:pPr>
        <w:spacing w:after="120"/>
      </w:pPr>
      <w:r>
        <w:t xml:space="preserve">10. Lalitha S, Hemchand KP, Bharath R, Lakshmi V, Nandhini G, Balamourougane P. Audit of management of children and adolescents with congenital adrenal hyperplasia as per recent Endocrine Society guidelines. Pediatr Endocrinol Diabetes Metab. 2023;29(1):10-15. doi:10.5114/pedm.2022.122547. PMID:36734395.</w:t>
      </w:r>
    </w:p>
    <w:p>
      <w:pPr>
        <w:spacing w:after="120"/>
      </w:pPr>
      <w:r>
        <w:t xml:space="preserve">11. Makaya T, Gilbert J, Ryan F, Watts W. Adrenal insufficiency, steroid sick day rules and the paediatric endocrine nurse. Nurs Child Young People. 2018;30(2):26-31. doi:10.7748/ncyp.2018.e1022. PMID:29512963.</w:t>
      </w:r>
    </w:p>
    <w:p>
      <w:pPr>
        <w:spacing w:after="120"/>
      </w:pPr>
      <w:r>
        <w:t xml:space="preserve">12. CARES Foundation. Dosing for Congenital Adrenal Hyperplasia. https://caresfoundation.org/treatment-dosing/. Accessed April 2026.</w:t>
      </w:r>
    </w:p>
    <w:p>
      <w:pPr>
        <w:spacing w:after="120"/>
      </w:pPr>
      <w:r>
        <w:t xml:space="preserve">13. Pediatric Endocrine Society. Congenital Adrenal Hyperplasia: A Guide for Families. https://pedsendo.org/patient-resource/congenital-adrenal-hyperplasia/. Accessed April 2026.</w:t>
      </w:r>
    </w:p>
    <w:p>
      <w:pPr>
        <w:spacing w:after="120"/>
      </w:pPr>
      <w:r>
        <w:t xml:space="preserve">14. Endocrine Society. Congenital Adrenal Hyperplasia Guideline Resources. https://www.endocrine.org/clinical-practice-guidelines/congenital-adrenal-hyperplasia-guideline-resources. Accessed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Pediatric Emergency CDS Project | For Educational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CAH Acute Illness &amp; Sick Day Dosing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563EB"/>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E3A5F"/>
      <w:sz w:val="26"/>
      <w:szCs w:val="26"/>
    </w:rPr>
  </w:style>
  <w:style w:type="paragraph" w:styleId="Heading4">
    <w:name w:val="Heading 4"/>
    <w:basedOn w:val="Normal"/>
    <w:next w:val="Normal"/>
    <w:qFormat/>
    <w:pPr>
      <w:spacing w:after="100" w:before="160"/>
      <w:outlineLvl w:val="3"/>
    </w:pPr>
    <w:rPr>
      <w:rFonts w:ascii="Arial" w:cs="Arial" w:eastAsia="Arial" w:hAnsi="Arial"/>
      <w:b/>
      <w:bCs/>
      <w:color w:val="495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2026-04-03T10:26:51.487Z</dcterms:created>
  <dcterms:modified xsi:type="dcterms:W3CDTF">2026-04-03T10:26:51.488Z</dcterms:modified>
</cp:coreProperties>
</file>

<file path=docProps/custom.xml><?xml version="1.0" encoding="utf-8"?>
<Properties xmlns="http://schemas.openxmlformats.org/officeDocument/2006/custom-properties" xmlns:vt="http://schemas.openxmlformats.org/officeDocument/2006/docPropsVTypes"/>
</file>