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56"/>
          <w:szCs w:val="56"/>
        </w:rPr>
        <w:t xml:space="preserve">SEPTIC SHOCK IN NEONATES AND PEDIATRICS</w:t>
      </w:r>
    </w:p>
    <w:p>
      <w:pPr>
        <w:spacing w:after="200" w:before="200"/>
        <w:jc w:val="center"/>
      </w:pPr>
      <w:r>
        <w:rPr>
          <w:rFonts w:ascii="Arial" w:cs="Arial" w:eastAsia="Arial" w:hAnsi="Arial"/>
          <w:color w:val="2E75B6"/>
          <w:sz w:val="28"/>
          <w:szCs w:val="28"/>
        </w:rPr>
        <w:t xml:space="preserve">Gram-Negative vs. Gram-Positive Organisms, Acid-Base Interpretation,</w:t>
      </w:r>
    </w:p>
    <w:p>
      <w:pPr>
        <w:spacing w:after="200" w:before="100"/>
        <w:jc w:val="center"/>
      </w:pPr>
      <w:r>
        <w:rPr>
          <w:rFonts w:ascii="Arial" w:cs="Arial" w:eastAsia="Arial" w:hAnsi="Arial"/>
          <w:color w:val="2E75B6"/>
          <w:sz w:val="28"/>
          <w:szCs w:val="28"/>
        </w:rPr>
        <w:t xml:space="preserve">Lactic Acid, Anion Gap, Base Deficit, and Evidence-Based Management</w:t>
      </w:r>
    </w:p>
    <w:p>
      <w:pPr>
        <w:spacing w:after="200" w:before="300"/>
        <w:jc w:val="center"/>
      </w:pPr>
      <w:r>
        <w:rPr>
          <w:rFonts w:ascii="Arial" w:cs="Arial" w:eastAsia="Arial" w:hAnsi="Arial"/>
          <w:b/>
          <w:bCs/>
          <w:color w:val="333333"/>
          <w:sz w:val="24"/>
          <w:szCs w:val="24"/>
        </w:rPr>
        <w:t xml:space="preserve">A Comprehensive Guide for Rural Nursery Providers</w:t>
      </w:r>
    </w:p>
    <w:p>
      <w:pPr>
        <w:spacing w:after="100" w:before="100"/>
        <w:jc w:val="center"/>
      </w:pPr>
      <w:r>
        <w:rPr>
          <w:rFonts w:ascii="Arial" w:cs="Arial" w:eastAsia="Arial" w:hAnsi="Arial"/>
          <w:color w:val="444444"/>
          <w:sz w:val="22"/>
          <w:szCs w:val="22"/>
        </w:rPr>
        <w:t xml:space="preserve">Level I and Level II/II+ Nursery Education Series</w:t>
      </w:r>
    </w:p>
    <w:p>
      <w:pPr>
        <w:spacing w:after="100" w:before="100"/>
        <w:jc w:val="center"/>
      </w:pPr>
      <w:r>
        <w:rPr>
          <w:rFonts w:ascii="Arial" w:cs="Arial" w:eastAsia="Arial" w:hAnsi="Arial"/>
          <w:color w:val="444444"/>
          <w:sz w:val="22"/>
          <w:szCs w:val="22"/>
        </w:rPr>
        <w:t xml:space="preserve">For the Pediatric Emergency Medicine CDS Project</w:t>
      </w:r>
    </w:p>
    <w:p>
      <w:pPr>
        <w:spacing w:after="100" w:before="400"/>
        <w:jc w:val="center"/>
      </w:pPr>
      <w:r>
        <w:rPr>
          <w:rFonts w:ascii="Arial" w:cs="Arial" w:eastAsia="Arial" w:hAnsi="Arial"/>
          <w:color w:val="666666"/>
          <w:sz w:val="20"/>
          <w:szCs w:val="20"/>
        </w:rPr>
        <w:t xml:space="preserve">Date: March 2026</w:t>
      </w:r>
    </w:p>
    <w:p>
      <w:pPr>
        <w:spacing w:after="60" w:before="60"/>
        <w:jc w:val="center"/>
      </w:pPr>
      <w:r>
        <w:rPr>
          <w:rFonts w:ascii="Arial" w:cs="Arial" w:eastAsia="Arial" w:hAnsi="Arial"/>
          <w:color w:val="888888"/>
          <w:sz w:val="18"/>
          <w:szCs w:val="18"/>
        </w:rPr>
        <w:t xml:space="preserve">Sources: AAP, ACCM, Surviving Sepsis Campaign Pediatric Guidelines, PALS 2020</w:t>
      </w:r>
    </w:p>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rFonts w:ascii="Arial" w:cs="Arial" w:eastAsia="Arial" w:hAnsi="Arial"/>
          <w:b/>
          <w:bCs/>
        </w:rPr>
        <w:t xml:space="preserve">Chapter 1: Introduction and Scope</w:t>
      </w:r>
    </w:p>
    <w:p>
      <w:pPr>
        <w:pStyle w:val="Heading2"/>
      </w:pPr>
      <w:r>
        <w:rPr>
          <w:rFonts w:ascii="Arial" w:cs="Arial" w:eastAsia="Arial" w:hAnsi="Arial"/>
          <w:b/>
          <w:bCs/>
        </w:rPr>
        <w:t xml:space="preserve">1.1 Why This Topic Matters in the Rural Nursery Setting</w:t>
      </w:r>
    </w:p>
    <w:p>
      <w:pPr>
        <w:spacing w:after="100"/>
      </w:pPr>
      <w:r>
        <w:rPr>
          <w:rFonts w:ascii="Arial" w:cs="Arial" w:eastAsia="Arial" w:hAnsi="Arial"/>
          <w:b w:val="false"/>
          <w:bCs w:val="false"/>
          <w:sz w:val="22"/>
          <w:szCs w:val="22"/>
        </w:rPr>
        <w:t xml:space="preserve">Septic shock remains one of the most immediately life-threatening conditions encountered in any clinical setting where neonates and young children are cared for. In rural Level I and Level II nurseries, this challenge is compounded by geographic isolation, limited subspecialty support, delayed transport, and variable equipment. The provider who first recognizes and begins resuscitating a septic neonate or child in a rural emergency department or community hospital nursery may have thirty minutes or more before a transport team can arrive — in some remote settings, well over an hour. What happens in that window determines whether the patient lives or dies.</w:t>
      </w:r>
    </w:p>
    <w:p>
      <w:pPr>
        <w:spacing w:after="100"/>
      </w:pPr>
      <w:r>
        <w:rPr>
          <w:rFonts w:ascii="Arial" w:cs="Arial" w:eastAsia="Arial" w:hAnsi="Arial"/>
          <w:b w:val="false"/>
          <w:bCs w:val="false"/>
          <w:sz w:val="22"/>
          <w:szCs w:val="22"/>
        </w:rPr>
        <w:t xml:space="preserve">Septic shock in neonates is not simply a smaller version of adult septic shock. The pathophysiology, predominant organisms, hemodynamic patterns, and resuscitation strategies differ substantially across the age spectrum from the premature neonate at 28 weeks gestation to the school-age child. Understanding these differences — and the specific way lactic acidosis, base deficit, and anion gap behave in each — is essential for every provider who touches this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RURAL CONSIDERATION</w:t>
            </w:r>
          </w:p>
        </w:tc>
        <w:tc>
          <w:tcPr>
            <w:tcW w:type="dxa" w:w="8160"/>
            <w:tcBorders>
              <w:top w:val="single" w:color="2E75B6" w:sz="3"/>
              <w:left w:val="single" w:color="2E75B6" w:sz="3"/>
              <w:bottom w:val="single" w:color="2E75B6" w:sz="3"/>
              <w:right w:val="single" w:color="2E75B6" w:sz="3"/>
            </w:tcBorders>
            <w:shd w:fill="DDEEFF" w:val="clear"/>
            <w:tcMar>
              <w:top w:type="dxa" w:w="100"/>
              <w:left w:type="dxa" w:w="140"/>
              <w:bottom w:type="dxa" w:w="100"/>
              <w:right w:type="dxa" w:w="120"/>
            </w:tcMar>
          </w:tcPr>
          <w:p>
            <w:r>
              <w:rPr>
                <w:rFonts w:ascii="Arial" w:cs="Arial" w:eastAsia="Arial" w:hAnsi="Arial"/>
                <w:sz w:val="22"/>
                <w:szCs w:val="22"/>
              </w:rPr>
              <w:t xml:space="preserve">In rural Critical Access Hospitals and Level II nurseries, the provider at the bedside is often not a neonatologist or pediatric intensivist. These guidelines are written for family physicians, general pediatricians, neonatal nurse practitioners, and experienced RNs who must initiate and sustain resuscitation until higher-level care is available.</w:t>
            </w:r>
          </w:p>
        </w:tc>
      </w:tr>
    </w:tbl>
    <w:p>
      <w:pPr>
        <w:spacing w:after="80"/>
      </w:pPr>
      <w:r>
        <w:t xml:space="preserve"/>
      </w:r>
    </w:p>
    <w:p>
      <w:pPr>
        <w:pStyle w:val="Heading2"/>
      </w:pPr>
      <w:r>
        <w:rPr>
          <w:rFonts w:ascii="Arial" w:cs="Arial" w:eastAsia="Arial" w:hAnsi="Arial"/>
          <w:b/>
          <w:bCs/>
        </w:rPr>
        <w:t xml:space="preserve">1.2 Scope of Practice Considerations</w:t>
      </w:r>
    </w:p>
    <w:p>
      <w:pPr>
        <w:spacing w:after="100"/>
      </w:pPr>
      <w:r>
        <w:rPr>
          <w:rFonts w:ascii="Arial" w:cs="Arial" w:eastAsia="Arial" w:hAnsi="Arial"/>
          <w:b w:val="false"/>
          <w:bCs w:val="false"/>
          <w:sz w:val="22"/>
          <w:szCs w:val="22"/>
        </w:rPr>
        <w:t xml:space="preserve">This guide applies across the spectrum of neonatal and pediatric care settings:</w:t>
      </w:r>
    </w:p>
    <w:p>
      <w:pPr>
        <w:pStyle w:val="ListParagraph"/>
        <w:numPr>
          <w:ilvl w:val="0"/>
          <w:numId w:val="2"/>
        </w:numPr>
        <w:spacing w:after="60"/>
      </w:pPr>
      <w:r>
        <w:rPr>
          <w:rFonts w:ascii="Arial" w:cs="Arial" w:eastAsia="Arial" w:hAnsi="Arial"/>
          <w:sz w:val="22"/>
          <w:szCs w:val="22"/>
        </w:rPr>
        <w:t xml:space="preserve">Level I Nursery (Well Newborn): Limited resources; stabilize and transport; emphasis on early recognition and immediate transfer activation.</w:t>
      </w:r>
    </w:p>
    <w:p>
      <w:pPr>
        <w:pStyle w:val="ListParagraph"/>
        <w:numPr>
          <w:ilvl w:val="0"/>
          <w:numId w:val="2"/>
        </w:numPr>
        <w:spacing w:after="60"/>
      </w:pPr>
      <w:r>
        <w:rPr>
          <w:rFonts w:ascii="Arial" w:cs="Arial" w:eastAsia="Arial" w:hAnsi="Arial"/>
          <w:sz w:val="22"/>
          <w:szCs w:val="22"/>
        </w:rPr>
        <w:t xml:space="preserve">Level II Nursery (Special Care): Can manage some sick neonates; dopamine and crystalloid resuscitation; 24-hour respiratory support; limited hemodynamic monitoring.</w:t>
      </w:r>
    </w:p>
    <w:p>
      <w:pPr>
        <w:pStyle w:val="ListParagraph"/>
        <w:numPr>
          <w:ilvl w:val="0"/>
          <w:numId w:val="2"/>
        </w:numPr>
        <w:spacing w:after="60"/>
      </w:pPr>
      <w:r>
        <w:rPr>
          <w:rFonts w:ascii="Arial" w:cs="Arial" w:eastAsia="Arial" w:hAnsi="Arial"/>
          <w:sz w:val="22"/>
          <w:szCs w:val="22"/>
        </w:rPr>
        <w:t xml:space="preserve">Level II+ Nursery: Extended capabilities including non-invasive ventilation, limited inotrope management; some centers have point-of-care ultrasound.</w:t>
      </w:r>
    </w:p>
    <w:p>
      <w:pPr>
        <w:pStyle w:val="ListParagraph"/>
        <w:numPr>
          <w:ilvl w:val="0"/>
          <w:numId w:val="2"/>
        </w:numPr>
        <w:spacing w:after="60"/>
      </w:pPr>
      <w:r>
        <w:rPr>
          <w:rFonts w:ascii="Arial" w:cs="Arial" w:eastAsia="Arial" w:hAnsi="Arial"/>
          <w:sz w:val="22"/>
          <w:szCs w:val="22"/>
        </w:rPr>
        <w:t xml:space="preserve">Rural Emergency Department: Pediatric emergencies from neonates to adolescents; must know age-appropriate parameters, vasopressor options, and antibiotic choices.</w:t>
      </w:r>
    </w:p>
    <w:p>
      <w:pPr>
        <w:spacing w:after="80"/>
      </w:pPr>
      <w:r>
        <w:t xml:space="preserve"/>
      </w:r>
    </w:p>
    <w:p>
      <w:pPr>
        <w:pStyle w:val="Heading2"/>
      </w:pPr>
      <w:r>
        <w:rPr>
          <w:rFonts w:ascii="Arial" w:cs="Arial" w:eastAsia="Arial" w:hAnsi="Arial"/>
          <w:b/>
          <w:bCs/>
        </w:rPr>
        <w:t xml:space="preserve">1.3 How to Use This Guide</w:t>
      </w:r>
    </w:p>
    <w:p>
      <w:pPr>
        <w:spacing w:after="100"/>
      </w:pPr>
      <w:r>
        <w:rPr>
          <w:rFonts w:ascii="Arial" w:cs="Arial" w:eastAsia="Arial" w:hAnsi="Arial"/>
          <w:b w:val="false"/>
          <w:bCs w:val="false"/>
          <w:sz w:val="22"/>
          <w:szCs w:val="22"/>
        </w:rPr>
        <w:t xml:space="preserve">This textbook is organized to follow the clinical course: from pathophysiology and organism-specific differences, through laboratory interpretation, to step-by-step resuscitation algorithms. Providers are encouraged to read the foundational chapters first and then use the management algorithms for point-of-care reference. A companion quick-reference cheat sheet is available for laminated point-of-care use.</w:t>
      </w:r>
    </w:p>
    <w:p>
      <w:r>
        <w:br w:type="page"/>
      </w:r>
    </w:p>
    <w:p>
      <w:pPr>
        <w:pStyle w:val="Heading1"/>
      </w:pPr>
      <w:r>
        <w:rPr>
          <w:rFonts w:ascii="Arial" w:cs="Arial" w:eastAsia="Arial" w:hAnsi="Arial"/>
          <w:b/>
          <w:bCs/>
        </w:rPr>
        <w:t xml:space="preserve">Chapter 2: Foundational Knowledge — Pathophysiology of Septic Shock</w:t>
      </w:r>
    </w:p>
    <w:p>
      <w:pPr>
        <w:pStyle w:val="Heading2"/>
      </w:pPr>
      <w:r>
        <w:rPr>
          <w:rFonts w:ascii="Arial" w:cs="Arial" w:eastAsia="Arial" w:hAnsi="Arial"/>
          <w:b/>
          <w:bCs/>
        </w:rPr>
        <w:t xml:space="preserve">2.1 Definitions — The Sepsis Spectrum</w:t>
      </w:r>
    </w:p>
    <w:p>
      <w:pPr>
        <w:spacing w:after="100"/>
      </w:pPr>
      <w:r>
        <w:rPr>
          <w:rFonts w:ascii="Arial" w:cs="Arial" w:eastAsia="Arial" w:hAnsi="Arial"/>
          <w:b w:val="false"/>
          <w:bCs w:val="false"/>
          <w:sz w:val="22"/>
          <w:szCs w:val="22"/>
        </w:rPr>
        <w:t xml:space="preserve">Terminology in pediatric and neonatal sepsis has evolved significantly. The following definitions apply to this guide: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Infection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Microbial invasion of normally sterile tissue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May be local; no systemic response required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Sepsis (Pediatric)</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Life-threatening organ dysfunction caused by dysregulated host response to infection (Phoenix Criteria 2024; JAMA 331:665)</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Organ dysfunction is the hallmark; SIRS not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Sepsis (Neonatal)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Systemic infection with bacteremia in infant &lt;28 days; clinical SIRS criteria plus positive culture or high clinical suspicion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Subtle presentation; culture-negative sepsis is common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Septic Shock</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Sepsis + cardiovascular dysfunction requiring vasopressor therapy AND elevated lactate &gt;2 mmol/L despite fluid resuscitation (Sepsis-3 adult definition; modified for peds)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In children, hypotension is often LATE; clinical signs precede BP drop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Early-Onset Sepsis (EOS)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Sepsis presenting &lt;72 hours of life (some define &lt;7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Vertical transmission; GBS, E. coli predominate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Late-Onset Sepsis (LOS)</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Sepsis presenting &gt;=72 hours of life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Nosocomial + community; Staph, Klebsiella common in NICU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In children and especially neonates, hypotension is a LATE sign of septic shock. By the time a neonate becomes hypotensive, they have already lost compensatory reserve. Treat signs of poor perfusion — prolonged capillary refill, mottling, altered mental status, tachycardia, metabolic acidosis — BEFORE hypotension develops.</w:t>
            </w:r>
          </w:p>
        </w:tc>
      </w:tr>
    </w:tbl>
    <w:p>
      <w:pPr>
        <w:spacing w:after="80"/>
      </w:pPr>
      <w:r>
        <w:t xml:space="preserve"/>
      </w:r>
    </w:p>
    <w:p>
      <w:pPr>
        <w:pStyle w:val="Heading2"/>
      </w:pPr>
      <w:r>
        <w:rPr>
          <w:rFonts w:ascii="Arial" w:cs="Arial" w:eastAsia="Arial" w:hAnsi="Arial"/>
          <w:b/>
          <w:bCs/>
        </w:rPr>
        <w:t xml:space="preserve">2.2 The Inflammatory Cascade — Why Septic Shock Happens</w:t>
      </w:r>
    </w:p>
    <w:p>
      <w:pPr>
        <w:spacing w:after="100"/>
      </w:pPr>
      <w:r>
        <w:rPr>
          <w:rFonts w:ascii="Arial" w:cs="Arial" w:eastAsia="Arial" w:hAnsi="Arial"/>
          <w:b w:val="false"/>
          <w:bCs w:val="false"/>
          <w:sz w:val="22"/>
          <w:szCs w:val="22"/>
        </w:rPr>
        <w:t xml:space="preserve">Understanding the cascade that leads from bacteremia to septic shock allows providers to predict clinical trajectory and understand why certain lab values behave the way they do.</w:t>
      </w:r>
    </w:p>
    <w:p>
      <w:pPr>
        <w:pStyle w:val="Heading3"/>
      </w:pPr>
      <w:r>
        <w:rPr>
          <w:rFonts w:ascii="Arial" w:cs="Arial" w:eastAsia="Arial" w:hAnsi="Arial"/>
          <w:b/>
          <w:bCs/>
        </w:rPr>
        <w:t xml:space="preserve">2.2.1 Pathogen Recognition and PAMP/DAMP Triggering</w:t>
      </w:r>
    </w:p>
    <w:p>
      <w:pPr>
        <w:spacing w:after="100"/>
      </w:pPr>
      <w:r>
        <w:rPr>
          <w:rFonts w:ascii="Arial" w:cs="Arial" w:eastAsia="Arial" w:hAnsi="Arial"/>
          <w:b w:val="false"/>
          <w:bCs w:val="false"/>
          <w:sz w:val="22"/>
          <w:szCs w:val="22"/>
        </w:rPr>
        <w:t xml:space="preserve">When bacteria enter the bloodstream, their structural components — called Pathogen-Associated Molecular Patterns (PAMPs) — are recognized by host immune receptors. The most important PAMP in septic shock is:</w:t>
      </w:r>
    </w:p>
    <w:p>
      <w:pPr>
        <w:pStyle w:val="ListParagraph"/>
        <w:numPr>
          <w:ilvl w:val="0"/>
          <w:numId w:val="2"/>
        </w:numPr>
        <w:spacing w:after="60"/>
      </w:pPr>
      <w:r>
        <w:rPr>
          <w:rFonts w:ascii="Arial" w:cs="Arial" w:eastAsia="Arial" w:hAnsi="Arial"/>
          <w:sz w:val="22"/>
          <w:szCs w:val="22"/>
        </w:rPr>
        <w:t xml:space="preserve">Lipopolysaccharide (LPS) / Endotoxin: The outer membrane component of GRAM-NEGATIVE bacteria. LPS is one of the most potent inflammatory triggers known in biology. It binds Toll-Like Receptor 4 (TLR-4) on macrophages, monocytes, and endothelial cells.</w:t>
      </w:r>
    </w:p>
    <w:p>
      <w:pPr>
        <w:pStyle w:val="ListParagraph"/>
        <w:numPr>
          <w:ilvl w:val="0"/>
          <w:numId w:val="2"/>
        </w:numPr>
        <w:spacing w:after="60"/>
      </w:pPr>
      <w:r>
        <w:rPr>
          <w:rFonts w:ascii="Arial" w:cs="Arial" w:eastAsia="Arial" w:hAnsi="Arial"/>
          <w:sz w:val="22"/>
          <w:szCs w:val="22"/>
        </w:rPr>
        <w:t xml:space="preserve">Lipoteichoic Acid (LTA) and Peptidoglycan: Cell wall components of GRAM-POSITIVE bacteria. These bind TLR-2. The inflammatory response is generally less explosive than LPS-mediated shock, but gram-positive sepsis (especially toxic shock syndrome and GBS) can produce equally severe hemodynamic collapse.</w:t>
      </w:r>
    </w:p>
    <w:p>
      <w:pPr>
        <w:spacing w:after="100"/>
      </w:pPr>
      <w:r>
        <w:rPr>
          <w:rFonts w:ascii="Arial" w:cs="Arial" w:eastAsia="Arial" w:hAnsi="Arial"/>
          <w:b w:val="false"/>
          <w:bCs w:val="false"/>
          <w:sz w:val="22"/>
          <w:szCs w:val="22"/>
        </w:rPr>
        <w:t xml:space="preserve">This receptor binding triggers nuclear factor-kappa B (NF-kB) activation, leading to a massive cytokine release: TNF-alpha, IL-1, IL-6, IL-8, and many others. The result is the systemic inflammatory response syndrome (SIRS).</w:t>
      </w:r>
    </w:p>
    <w:p>
      <w:pPr>
        <w:pStyle w:val="Heading3"/>
      </w:pPr>
      <w:r>
        <w:rPr>
          <w:rFonts w:ascii="Arial" w:cs="Arial" w:eastAsia="Arial" w:hAnsi="Arial"/>
          <w:b/>
          <w:bCs/>
        </w:rPr>
        <w:t xml:space="preserve">2.2.2 The Hemodynamic Phases of Septic Shock</w:t>
      </w:r>
    </w:p>
    <w:p>
      <w:pPr>
        <w:spacing w:after="100"/>
      </w:pPr>
      <w:r>
        <w:rPr>
          <w:rFonts w:ascii="Arial" w:cs="Arial" w:eastAsia="Arial" w:hAnsi="Arial"/>
          <w:b w:val="false"/>
          <w:bCs w:val="false"/>
          <w:sz w:val="22"/>
          <w:szCs w:val="22"/>
        </w:rPr>
        <w:t xml:space="preserve">Septic shock classically progresses through two hemodynamic phases, though neonates often present in cold shock from the outset: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Hemodynamic Pattern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Signs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Dominant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Warm (Distributive) Shock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High cardiac output, low SVR, relative hypovolemia from venodilation</w:t>
            </w:r>
          </w:p>
        </w:tc>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Flash capillary refill, bounding pulses, fever, warm/pink extremities, wide pulse pressure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Older children, term neonates early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Cold (Cardiogenic/Vasoconstrictive) Shock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Low cardiac output, high SVR, myocardial depression</w:t>
            </w:r>
          </w:p>
        </w:tc>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Prolonged capillary refill &gt;3 sec, mottling, cold extremities, narrow pulse pressure, weak pulses, gray/ashen color</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Neonates (most common!), late-stage pediatric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Mixed Shock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Elements of both patterns; hemodynamic phenotype shifts with therapy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Variable; often seen during resuscitation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Any age; especially septic preterms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Neonates — especially preterm infants — more commonly present with COLD SHOCK (low cardiac output, high SVR, myocardial depression) than warm shock. This has direct implications for vasopressor choice: inotropes (dopamine, dobutamine) are often needed rather than pure vasopressors.</w:t>
            </w:r>
          </w:p>
        </w:tc>
      </w:tr>
    </w:tbl>
    <w:p>
      <w:pPr>
        <w:spacing w:after="80"/>
      </w:pPr>
      <w:r>
        <w:t xml:space="preserve"/>
      </w:r>
    </w:p>
    <w:p>
      <w:pPr>
        <w:pStyle w:val="Heading2"/>
      </w:pPr>
      <w:r>
        <w:rPr>
          <w:rFonts w:ascii="Arial" w:cs="Arial" w:eastAsia="Arial" w:hAnsi="Arial"/>
          <w:b/>
          <w:bCs/>
        </w:rPr>
        <w:t xml:space="preserve">2.3 Gram-Negative vs. Gram-Positive Septic Shock: Critical Differences</w:t>
      </w:r>
    </w:p>
    <w:p>
      <w:pPr>
        <w:spacing w:after="100"/>
      </w:pPr>
      <w:r>
        <w:rPr>
          <w:rFonts w:ascii="Arial" w:cs="Arial" w:eastAsia="Arial" w:hAnsi="Arial"/>
          <w:b w:val="false"/>
          <w:bCs w:val="false"/>
          <w:sz w:val="22"/>
          <w:szCs w:val="22"/>
        </w:rPr>
        <w:t xml:space="preserve">The distinction between gram-negative and gram-positive organisms in neonatal and pediatric septic shock is clinically important because it affects the speed of deterioration, the hemodynamic pattern, the coagulopathy risk, and empiric antibiotic selection.</w:t>
      </w:r>
    </w:p>
    <w:p>
      <w:pPr>
        <w:pStyle w:val="Heading3"/>
      </w:pPr>
      <w:r>
        <w:rPr>
          <w:rFonts w:ascii="Arial" w:cs="Arial" w:eastAsia="Arial" w:hAnsi="Arial"/>
          <w:b/>
          <w:bCs/>
        </w:rPr>
        <w:t xml:space="preserve">2.3.1 Gram-Negative Septic Shock</w:t>
      </w:r>
    </w:p>
    <w:p>
      <w:pPr>
        <w:pStyle w:val="Heading4"/>
      </w:pPr>
      <w:r>
        <w:rPr>
          <w:rFonts w:ascii="Arial" w:cs="Arial" w:eastAsia="Arial" w:hAnsi="Arial"/>
          <w:b/>
          <w:bCs/>
        </w:rPr>
        <w:t xml:space="preserve">Common Organisms</w:t>
      </w:r>
    </w:p>
    <w:p>
      <w:pPr>
        <w:pStyle w:val="ListParagraph"/>
        <w:numPr>
          <w:ilvl w:val="0"/>
          <w:numId w:val="2"/>
        </w:numPr>
        <w:spacing w:after="60"/>
      </w:pPr>
      <w:r>
        <w:rPr>
          <w:rFonts w:ascii="Arial" w:cs="Arial" w:eastAsia="Arial" w:hAnsi="Arial"/>
          <w:sz w:val="22"/>
          <w:szCs w:val="22"/>
        </w:rPr>
        <w:t xml:space="preserve">Neonatal EOS: Escherichia coli (most common gram-negative cause; associated with GBS co-infection)</w:t>
      </w:r>
    </w:p>
    <w:p>
      <w:pPr>
        <w:pStyle w:val="ListParagraph"/>
        <w:numPr>
          <w:ilvl w:val="0"/>
          <w:numId w:val="2"/>
        </w:numPr>
        <w:spacing w:after="60"/>
      </w:pPr>
      <w:r>
        <w:rPr>
          <w:rFonts w:ascii="Arial" w:cs="Arial" w:eastAsia="Arial" w:hAnsi="Arial"/>
          <w:sz w:val="22"/>
          <w:szCs w:val="22"/>
        </w:rPr>
        <w:t xml:space="preserve">Neonatal LOS: Klebsiella pneumoniae, Pseudomonas aeruginosa (especially in NICU/hospitalized infants), Enterobacter species</w:t>
      </w:r>
    </w:p>
    <w:p>
      <w:pPr>
        <w:pStyle w:val="ListParagraph"/>
        <w:numPr>
          <w:ilvl w:val="0"/>
          <w:numId w:val="2"/>
        </w:numPr>
        <w:spacing w:after="60"/>
      </w:pPr>
      <w:r>
        <w:rPr>
          <w:rFonts w:ascii="Arial" w:cs="Arial" w:eastAsia="Arial" w:hAnsi="Arial"/>
          <w:sz w:val="22"/>
          <w:szCs w:val="22"/>
        </w:rPr>
        <w:t xml:space="preserve">Pediatric: E. coli (urinary source), Neisseria meningitidis (meningococcemia — classic gram-negative septic shock), Pseudomonas (immunocompromised)</w:t>
      </w:r>
    </w:p>
    <w:p>
      <w:pPr>
        <w:pStyle w:val="ListParagraph"/>
        <w:numPr>
          <w:ilvl w:val="0"/>
          <w:numId w:val="2"/>
        </w:numPr>
        <w:spacing w:after="60"/>
      </w:pPr>
      <w:r>
        <w:rPr>
          <w:rFonts w:ascii="Arial" w:cs="Arial" w:eastAsia="Arial" w:hAnsi="Arial"/>
          <w:sz w:val="22"/>
          <w:szCs w:val="22"/>
        </w:rPr>
        <w:t xml:space="preserve">NEC-associated: Multiple enteric gram-negatives (polymicrobial); E. coli, Klebsiella, Enterobacter</w:t>
      </w:r>
    </w:p>
    <w:p>
      <w:pPr>
        <w:pStyle w:val="Heading4"/>
      </w:pPr>
      <w:r>
        <w:rPr>
          <w:rFonts w:ascii="Arial" w:cs="Arial" w:eastAsia="Arial" w:hAnsi="Arial"/>
          <w:b/>
          <w:bCs/>
        </w:rPr>
        <w:t xml:space="preserve">Pathophysiology of Gram-Negative Shock</w:t>
      </w:r>
    </w:p>
    <w:p>
      <w:pPr>
        <w:spacing w:after="100"/>
      </w:pPr>
      <w:r>
        <w:rPr>
          <w:rFonts w:ascii="Arial" w:cs="Arial" w:eastAsia="Arial" w:hAnsi="Arial"/>
          <w:b w:val="false"/>
          <w:bCs w:val="false"/>
          <w:sz w:val="22"/>
          <w:szCs w:val="22"/>
        </w:rPr>
        <w:t xml:space="preserve">Gram-negative organisms release LPS (endotoxin) during bacterial lysis — including when killed by antibiotics. This endotoxin surge triggers:</w:t>
      </w:r>
    </w:p>
    <w:p>
      <w:pPr>
        <w:pStyle w:val="ListParagraph"/>
        <w:numPr>
          <w:ilvl w:val="0"/>
          <w:numId w:val="2"/>
        </w:numPr>
        <w:spacing w:after="60"/>
      </w:pPr>
      <w:r>
        <w:rPr>
          <w:rFonts w:ascii="Arial" w:cs="Arial" w:eastAsia="Arial" w:hAnsi="Arial"/>
          <w:sz w:val="22"/>
          <w:szCs w:val="22"/>
        </w:rPr>
        <w:t xml:space="preserve">Massive TNF-alpha and IL-1 release within minutes of bacteremia</w:t>
      </w:r>
    </w:p>
    <w:p>
      <w:pPr>
        <w:pStyle w:val="ListParagraph"/>
        <w:numPr>
          <w:ilvl w:val="0"/>
          <w:numId w:val="2"/>
        </w:numPr>
        <w:spacing w:after="60"/>
      </w:pPr>
      <w:r>
        <w:rPr>
          <w:rFonts w:ascii="Arial" w:cs="Arial" w:eastAsia="Arial" w:hAnsi="Arial"/>
          <w:sz w:val="22"/>
          <w:szCs w:val="22"/>
        </w:rPr>
        <w:t xml:space="preserve">Nitric oxide (NO) synthase activation → profound vasodilation → distributive shock</w:t>
      </w:r>
    </w:p>
    <w:p>
      <w:pPr>
        <w:pStyle w:val="ListParagraph"/>
        <w:numPr>
          <w:ilvl w:val="0"/>
          <w:numId w:val="2"/>
        </w:numPr>
        <w:spacing w:after="60"/>
      </w:pPr>
      <w:r>
        <w:rPr>
          <w:rFonts w:ascii="Arial" w:cs="Arial" w:eastAsia="Arial" w:hAnsi="Arial"/>
          <w:sz w:val="22"/>
          <w:szCs w:val="22"/>
        </w:rPr>
        <w:t xml:space="preserve">Complement activation → membrane attack complex → endothelial injury</w:t>
      </w:r>
    </w:p>
    <w:p>
      <w:pPr>
        <w:pStyle w:val="ListParagraph"/>
        <w:numPr>
          <w:ilvl w:val="0"/>
          <w:numId w:val="2"/>
        </w:numPr>
        <w:spacing w:after="60"/>
      </w:pPr>
      <w:r>
        <w:rPr>
          <w:rFonts w:ascii="Arial" w:cs="Arial" w:eastAsia="Arial" w:hAnsi="Arial"/>
          <w:sz w:val="22"/>
          <w:szCs w:val="22"/>
        </w:rPr>
        <w:t xml:space="preserve">Disseminated Intravascular Coagulation (DIC) → consumptive coagulopathy</w:t>
      </w:r>
    </w:p>
    <w:p>
      <w:pPr>
        <w:pStyle w:val="ListParagraph"/>
        <w:numPr>
          <w:ilvl w:val="0"/>
          <w:numId w:val="2"/>
        </w:numPr>
        <w:spacing w:after="60"/>
      </w:pPr>
      <w:r>
        <w:rPr>
          <w:rFonts w:ascii="Arial" w:cs="Arial" w:eastAsia="Arial" w:hAnsi="Arial"/>
          <w:sz w:val="22"/>
          <w:szCs w:val="22"/>
        </w:rPr>
        <w:t xml:space="preserve">Capillary leak syndrome → third spacing → relative hypovolemia</w:t>
      </w:r>
    </w:p>
    <w:p>
      <w:pPr>
        <w:spacing w:after="100"/>
      </w:pPr>
      <w:r>
        <w:rPr>
          <w:rFonts w:ascii="Arial" w:cs="Arial" w:eastAsia="Arial" w:hAnsi="Arial"/>
          <w:b w:val="false"/>
          <w:bCs w:val="false"/>
          <w:sz w:val="22"/>
          <w:szCs w:val="22"/>
        </w:rPr>
        <w:t xml:space="preserve">The result is the classic warm, hyperdynamic septic shock — though neonates may not display this pattern due to limited cardiac reserve.</w:t>
      </w:r>
    </w:p>
    <w:p>
      <w:pPr>
        <w:pStyle w:val="Heading4"/>
      </w:pPr>
      <w:r>
        <w:rPr>
          <w:rFonts w:ascii="Arial" w:cs="Arial" w:eastAsia="Arial" w:hAnsi="Arial"/>
          <w:b/>
          <w:bCs/>
        </w:rPr>
        <w:t xml:space="preserve">Characteristic Laboratory Findings in Gram-Negative Septic Shock</w:t>
      </w:r>
    </w:p>
    <w:p>
      <w:pPr>
        <w:pStyle w:val="ListParagraph"/>
        <w:numPr>
          <w:ilvl w:val="0"/>
          <w:numId w:val="2"/>
        </w:numPr>
        <w:spacing w:after="60"/>
      </w:pPr>
      <w:r>
        <w:rPr>
          <w:rFonts w:ascii="Arial" w:cs="Arial" w:eastAsia="Arial" w:hAnsi="Arial"/>
          <w:sz w:val="22"/>
          <w:szCs w:val="22"/>
        </w:rPr>
        <w:t xml:space="preserve">Lactic acid: Markedly elevated (often &gt;4 mmol/L in severe cases)</w:t>
      </w:r>
    </w:p>
    <w:p>
      <w:pPr>
        <w:pStyle w:val="ListParagraph"/>
        <w:numPr>
          <w:ilvl w:val="0"/>
          <w:numId w:val="2"/>
        </w:numPr>
        <w:spacing w:after="60"/>
      </w:pPr>
      <w:r>
        <w:rPr>
          <w:rFonts w:ascii="Arial" w:cs="Arial" w:eastAsia="Arial" w:hAnsi="Arial"/>
          <w:sz w:val="22"/>
          <w:szCs w:val="22"/>
        </w:rPr>
        <w:t xml:space="preserve">Base deficit: Severely negative (BD &lt; -10 mEq/L indicates critical tissue hypoperfusion)</w:t>
      </w:r>
    </w:p>
    <w:p>
      <w:pPr>
        <w:pStyle w:val="ListParagraph"/>
        <w:numPr>
          <w:ilvl w:val="0"/>
          <w:numId w:val="2"/>
        </w:numPr>
        <w:spacing w:after="60"/>
      </w:pPr>
      <w:r>
        <w:rPr>
          <w:rFonts w:ascii="Arial" w:cs="Arial" w:eastAsia="Arial" w:hAnsi="Arial"/>
          <w:sz w:val="22"/>
          <w:szCs w:val="22"/>
        </w:rPr>
        <w:t xml:space="preserve">Anion gap: Elevated due to lactic acidosis (AG = Na - [Cl + HCO3]; normal 8-12 mEq/L; elevated in lactic acidosis)</w:t>
      </w:r>
    </w:p>
    <w:p>
      <w:pPr>
        <w:pStyle w:val="ListParagraph"/>
        <w:numPr>
          <w:ilvl w:val="0"/>
          <w:numId w:val="2"/>
        </w:numPr>
        <w:spacing w:after="60"/>
      </w:pPr>
      <w:r>
        <w:rPr>
          <w:rFonts w:ascii="Arial" w:cs="Arial" w:eastAsia="Arial" w:hAnsi="Arial"/>
          <w:sz w:val="22"/>
          <w:szCs w:val="22"/>
        </w:rPr>
        <w:t xml:space="preserve">WBC: May be severely elevated OR severely depressed (left shift, toxic granulation — leukopenia with I:T ratio &gt;0.2 is a poor prognostic sign in neonates)</w:t>
      </w:r>
    </w:p>
    <w:p>
      <w:pPr>
        <w:pStyle w:val="ListParagraph"/>
        <w:numPr>
          <w:ilvl w:val="0"/>
          <w:numId w:val="2"/>
        </w:numPr>
        <w:spacing w:after="60"/>
      </w:pPr>
      <w:r>
        <w:rPr>
          <w:rFonts w:ascii="Arial" w:cs="Arial" w:eastAsia="Arial" w:hAnsi="Arial"/>
          <w:sz w:val="22"/>
          <w:szCs w:val="22"/>
        </w:rPr>
        <w:t xml:space="preserve">Platelets: Often dramatically low due to DIC (platelet consumption)</w:t>
      </w:r>
    </w:p>
    <w:p>
      <w:pPr>
        <w:pStyle w:val="ListParagraph"/>
        <w:numPr>
          <w:ilvl w:val="0"/>
          <w:numId w:val="2"/>
        </w:numPr>
        <w:spacing w:after="60"/>
      </w:pPr>
      <w:r>
        <w:rPr>
          <w:rFonts w:ascii="Arial" w:cs="Arial" w:eastAsia="Arial" w:hAnsi="Arial"/>
          <w:sz w:val="22"/>
          <w:szCs w:val="22"/>
        </w:rPr>
        <w:t xml:space="preserve">PT/PTT: Prolonged due to coagulation factor consumption in DIC</w:t>
      </w:r>
    </w:p>
    <w:p>
      <w:pPr>
        <w:pStyle w:val="ListParagraph"/>
        <w:numPr>
          <w:ilvl w:val="0"/>
          <w:numId w:val="2"/>
        </w:numPr>
        <w:spacing w:after="60"/>
      </w:pPr>
      <w:r>
        <w:rPr>
          <w:rFonts w:ascii="Arial" w:cs="Arial" w:eastAsia="Arial" w:hAnsi="Arial"/>
          <w:sz w:val="22"/>
          <w:szCs w:val="22"/>
        </w:rPr>
        <w:t xml:space="preserve">Fibrinogen: Low, D-dimer: High — classic DIC pattern</w:t>
      </w:r>
    </w:p>
    <w:p>
      <w:pPr>
        <w:pStyle w:val="ListParagraph"/>
        <w:numPr>
          <w:ilvl w:val="0"/>
          <w:numId w:val="2"/>
        </w:numPr>
        <w:spacing w:after="60"/>
      </w:pPr>
      <w:r>
        <w:rPr>
          <w:rFonts w:ascii="Arial" w:cs="Arial" w:eastAsia="Arial" w:hAnsi="Arial"/>
          <w:sz w:val="22"/>
          <w:szCs w:val="22"/>
        </w:rPr>
        <w:t xml:space="preserve">Procalcitonin: Very high (often &gt;10 ng/mL in gram-negative bacteremia)</w:t>
      </w:r>
    </w:p>
    <w:p>
      <w:pPr>
        <w:pStyle w:val="ListParagraph"/>
        <w:numPr>
          <w:ilvl w:val="0"/>
          <w:numId w:val="2"/>
        </w:numPr>
        <w:spacing w:after="60"/>
      </w:pPr>
      <w:r>
        <w:rPr>
          <w:rFonts w:ascii="Arial" w:cs="Arial" w:eastAsia="Arial" w:hAnsi="Arial"/>
          <w:sz w:val="22"/>
          <w:szCs w:val="22"/>
        </w:rPr>
        <w:t xml:space="preserve">CRP: Rises over 12-24 hours; not useful for acute management but helpful for trend</w:t>
      </w:r>
    </w:p>
    <w:p>
      <w:pPr>
        <w:spacing w:after="80"/>
      </w:pPr>
      <w:r>
        <w:t xml:space="preserve"/>
      </w:r>
    </w:p>
    <w:p>
      <w:pPr>
        <w:pStyle w:val="Heading3"/>
      </w:pPr>
      <w:r>
        <w:rPr>
          <w:rFonts w:ascii="Arial" w:cs="Arial" w:eastAsia="Arial" w:hAnsi="Arial"/>
          <w:b/>
          <w:bCs/>
        </w:rPr>
        <w:t xml:space="preserve">2.3.2 Gram-Positive Septic Shock</w:t>
      </w:r>
    </w:p>
    <w:p>
      <w:pPr>
        <w:pStyle w:val="Heading4"/>
      </w:pPr>
      <w:r>
        <w:rPr>
          <w:rFonts w:ascii="Arial" w:cs="Arial" w:eastAsia="Arial" w:hAnsi="Arial"/>
          <w:b/>
          <w:bCs/>
        </w:rPr>
        <w:t xml:space="preserve">Common Organisms</w:t>
      </w:r>
    </w:p>
    <w:p>
      <w:pPr>
        <w:pStyle w:val="ListParagraph"/>
        <w:numPr>
          <w:ilvl w:val="0"/>
          <w:numId w:val="2"/>
        </w:numPr>
        <w:spacing w:after="60"/>
      </w:pPr>
      <w:r>
        <w:rPr>
          <w:rFonts w:ascii="Arial" w:cs="Arial" w:eastAsia="Arial" w:hAnsi="Arial"/>
          <w:sz w:val="22"/>
          <w:szCs w:val="22"/>
        </w:rPr>
        <w:t xml:space="preserve">Neonatal EOS: Group B Streptococcus (GBS/S. agalactiae) — most common overall cause of neonatal EOS in the USA; accounts for fulminant early-onset disease</w:t>
      </w:r>
    </w:p>
    <w:p>
      <w:pPr>
        <w:pStyle w:val="ListParagraph"/>
        <w:numPr>
          <w:ilvl w:val="0"/>
          <w:numId w:val="2"/>
        </w:numPr>
        <w:spacing w:after="60"/>
      </w:pPr>
      <w:r>
        <w:rPr>
          <w:rFonts w:ascii="Arial" w:cs="Arial" w:eastAsia="Arial" w:hAnsi="Arial"/>
          <w:sz w:val="22"/>
          <w:szCs w:val="22"/>
        </w:rPr>
        <w:t xml:space="preserve">Neonatal LOS: Coagulase-negative Staphylococci (CoNS — S. epidermidis most common); Staphylococcus aureus (MSSA and MRSA); Enterococcus species</w:t>
      </w:r>
    </w:p>
    <w:p>
      <w:pPr>
        <w:pStyle w:val="ListParagraph"/>
        <w:numPr>
          <w:ilvl w:val="0"/>
          <w:numId w:val="2"/>
        </w:numPr>
        <w:spacing w:after="60"/>
      </w:pPr>
      <w:r>
        <w:rPr>
          <w:rFonts w:ascii="Arial" w:cs="Arial" w:eastAsia="Arial" w:hAnsi="Arial"/>
          <w:sz w:val="22"/>
          <w:szCs w:val="22"/>
        </w:rPr>
        <w:t xml:space="preserve">Pediatric: Staphylococcus aureus (including MRSA — toxic shock syndrome); Streptococcus pneumoniae; Group A Streptococcus (necrotizing fasciitis, toxic shock)</w:t>
      </w:r>
    </w:p>
    <w:p>
      <w:pPr>
        <w:pStyle w:val="Heading4"/>
      </w:pPr>
      <w:r>
        <w:rPr>
          <w:rFonts w:ascii="Arial" w:cs="Arial" w:eastAsia="Arial" w:hAnsi="Arial"/>
          <w:b/>
          <w:bCs/>
        </w:rPr>
        <w:t xml:space="preserve">Pathophysiology of Gram-Positive Shock</w:t>
      </w:r>
    </w:p>
    <w:p>
      <w:pPr>
        <w:spacing w:after="100"/>
      </w:pPr>
      <w:r>
        <w:rPr>
          <w:rFonts w:ascii="Arial" w:cs="Arial" w:eastAsia="Arial" w:hAnsi="Arial"/>
          <w:b w:val="false"/>
          <w:bCs w:val="false"/>
          <w:sz w:val="22"/>
          <w:szCs w:val="22"/>
        </w:rPr>
        <w:t xml:space="preserve">Gram-positive organisms trigger shock through different mechanisms:</w:t>
      </w:r>
    </w:p>
    <w:p>
      <w:pPr>
        <w:pStyle w:val="ListParagraph"/>
        <w:numPr>
          <w:ilvl w:val="0"/>
          <w:numId w:val="2"/>
        </w:numPr>
        <w:spacing w:after="60"/>
      </w:pPr>
      <w:r>
        <w:rPr>
          <w:rFonts w:ascii="Arial" w:cs="Arial" w:eastAsia="Arial" w:hAnsi="Arial"/>
          <w:sz w:val="22"/>
          <w:szCs w:val="22"/>
        </w:rPr>
        <w:t xml:space="preserve">Cell wall components (LTA, peptidoglycan) via TLR-2 activation</w:t>
      </w:r>
    </w:p>
    <w:p>
      <w:pPr>
        <w:pStyle w:val="ListParagraph"/>
        <w:numPr>
          <w:ilvl w:val="0"/>
          <w:numId w:val="2"/>
        </w:numPr>
        <w:spacing w:after="60"/>
      </w:pPr>
      <w:r>
        <w:rPr>
          <w:rFonts w:ascii="Arial" w:cs="Arial" w:eastAsia="Arial" w:hAnsi="Arial"/>
          <w:sz w:val="22"/>
          <w:szCs w:val="22"/>
        </w:rPr>
        <w:t xml:space="preserve">Superantigen toxins (S. aureus toxic shock toxin-1 [TSST-1], streptococcal pyrogenic exotoxins): Bypass normal antigen presentation; directly activate 5-30% of all T-cells → cytokine storm</w:t>
      </w:r>
    </w:p>
    <w:p>
      <w:pPr>
        <w:pStyle w:val="ListParagraph"/>
        <w:numPr>
          <w:ilvl w:val="0"/>
          <w:numId w:val="2"/>
        </w:numPr>
        <w:spacing w:after="60"/>
      </w:pPr>
      <w:r>
        <w:rPr>
          <w:rFonts w:ascii="Arial" w:cs="Arial" w:eastAsia="Arial" w:hAnsi="Arial"/>
          <w:sz w:val="22"/>
          <w:szCs w:val="22"/>
        </w:rPr>
        <w:t xml:space="preserve">Alpha-toxin (S. aureus): Direct membrane disruption; myocardial depression; lung injury</w:t>
      </w:r>
    </w:p>
    <w:p>
      <w:pPr>
        <w:spacing w:after="100"/>
      </w:pPr>
      <w:r>
        <w:rPr>
          <w:rFonts w:ascii="Arial" w:cs="Arial" w:eastAsia="Arial" w:hAnsi="Arial"/>
          <w:b w:val="false"/>
          <w:bCs w:val="false"/>
          <w:sz w:val="22"/>
          <w:szCs w:val="22"/>
        </w:rPr>
        <w:t xml:space="preserve">Gram-positive shock tends to be somewhat less explosive in its initial presentation than LPS-driven gram-negative shock (except for superantigen-mediated toxic shock), but it produces significant myocardial depression (particularly S. aureus), which is relevant in neonates already prone to cardiac dysfunction.</w:t>
      </w:r>
    </w:p>
    <w:p>
      <w:pPr>
        <w:pStyle w:val="Heading4"/>
      </w:pPr>
      <w:r>
        <w:rPr>
          <w:rFonts w:ascii="Arial" w:cs="Arial" w:eastAsia="Arial" w:hAnsi="Arial"/>
          <w:b/>
          <w:bCs/>
        </w:rPr>
        <w:t xml:space="preserve">Characteristic Laboratory Findings in Gram-Positive Septic Shock</w:t>
      </w:r>
    </w:p>
    <w:p>
      <w:pPr>
        <w:pStyle w:val="ListParagraph"/>
        <w:numPr>
          <w:ilvl w:val="0"/>
          <w:numId w:val="2"/>
        </w:numPr>
        <w:spacing w:after="60"/>
      </w:pPr>
      <w:r>
        <w:rPr>
          <w:rFonts w:ascii="Arial" w:cs="Arial" w:eastAsia="Arial" w:hAnsi="Arial"/>
          <w:sz w:val="22"/>
          <w:szCs w:val="22"/>
        </w:rPr>
        <w:t xml:space="preserve">Lactic acid: Elevated, but often less dramatically than gram-negative (unless toxic shock syndrome with vascular collapse)</w:t>
      </w:r>
    </w:p>
    <w:p>
      <w:pPr>
        <w:pStyle w:val="ListParagraph"/>
        <w:numPr>
          <w:ilvl w:val="0"/>
          <w:numId w:val="2"/>
        </w:numPr>
        <w:spacing w:after="60"/>
      </w:pPr>
      <w:r>
        <w:rPr>
          <w:rFonts w:ascii="Arial" w:cs="Arial" w:eastAsia="Arial" w:hAnsi="Arial"/>
          <w:sz w:val="22"/>
          <w:szCs w:val="22"/>
        </w:rPr>
        <w:t xml:space="preserve">Base deficit: Negative; severity correlates with degree of hypoperfusion</w:t>
      </w:r>
    </w:p>
    <w:p>
      <w:pPr>
        <w:pStyle w:val="ListParagraph"/>
        <w:numPr>
          <w:ilvl w:val="0"/>
          <w:numId w:val="2"/>
        </w:numPr>
        <w:spacing w:after="60"/>
      </w:pPr>
      <w:r>
        <w:rPr>
          <w:rFonts w:ascii="Arial" w:cs="Arial" w:eastAsia="Arial" w:hAnsi="Arial"/>
          <w:sz w:val="22"/>
          <w:szCs w:val="22"/>
        </w:rPr>
        <w:t xml:space="preserve">Anion gap: Elevated with significant lactic acidosis</w:t>
      </w:r>
    </w:p>
    <w:p>
      <w:pPr>
        <w:pStyle w:val="ListParagraph"/>
        <w:numPr>
          <w:ilvl w:val="0"/>
          <w:numId w:val="2"/>
        </w:numPr>
        <w:spacing w:after="60"/>
      </w:pPr>
      <w:r>
        <w:rPr>
          <w:rFonts w:ascii="Arial" w:cs="Arial" w:eastAsia="Arial" w:hAnsi="Arial"/>
          <w:sz w:val="22"/>
          <w:szCs w:val="22"/>
        </w:rPr>
        <w:t xml:space="preserve">WBC: Usually elevated with left shift (but may be normal in CoNS sepsis)</w:t>
      </w:r>
    </w:p>
    <w:p>
      <w:pPr>
        <w:pStyle w:val="ListParagraph"/>
        <w:numPr>
          <w:ilvl w:val="0"/>
          <w:numId w:val="2"/>
        </w:numPr>
        <w:spacing w:after="60"/>
      </w:pPr>
      <w:r>
        <w:rPr>
          <w:rFonts w:ascii="Arial" w:cs="Arial" w:eastAsia="Arial" w:hAnsi="Arial"/>
          <w:sz w:val="22"/>
          <w:szCs w:val="22"/>
        </w:rPr>
        <w:t xml:space="preserve">Platelets: May be thrombocytopenic (less severe DIC than gram-negative in general)</w:t>
      </w:r>
    </w:p>
    <w:p>
      <w:pPr>
        <w:pStyle w:val="ListParagraph"/>
        <w:numPr>
          <w:ilvl w:val="0"/>
          <w:numId w:val="2"/>
        </w:numPr>
        <w:spacing w:after="60"/>
      </w:pPr>
      <w:r>
        <w:rPr>
          <w:rFonts w:ascii="Arial" w:cs="Arial" w:eastAsia="Arial" w:hAnsi="Arial"/>
          <w:sz w:val="22"/>
          <w:szCs w:val="22"/>
        </w:rPr>
        <w:t xml:space="preserve">Procalcitonin: Elevated but sometimes lower than gram-negative peak</w:t>
      </w:r>
    </w:p>
    <w:p>
      <w:pPr>
        <w:pStyle w:val="ListParagraph"/>
        <w:numPr>
          <w:ilvl w:val="0"/>
          <w:numId w:val="2"/>
        </w:numPr>
        <w:spacing w:after="60"/>
      </w:pPr>
      <w:r>
        <w:rPr>
          <w:rFonts w:ascii="Arial" w:cs="Arial" w:eastAsia="Arial" w:hAnsi="Arial"/>
          <w:sz w:val="22"/>
          <w:szCs w:val="22"/>
        </w:rPr>
        <w:t xml:space="preserve">In toxic shock: Skin findings (diffuse erythroderma, desquamation), organ dysfunction out of proportion to bacteremia severity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Gram-Negative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Gram-Positive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Primary organisms (EOS)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 coli, Klebsiella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GBS (S. agalactiae), Listeria</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Primary organisms (LOS)</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Klebsiella, Pseudomonas, Enterobacter</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CoNS, S. aureus, Enterococcus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Inflammatory trigger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LPS/Endotoxin (TLR-4)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LTA/Peptidoglycan (TLR-2), Superantigens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DIC severity</w:t>
            </w:r>
          </w:p>
        </w:tc>
        <w:tc>
          <w:tcPr>
            <w:tcW w:type="dxa" w:w="32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Often severe — classic consumptive coagulopathy</w:t>
            </w:r>
          </w:p>
        </w:tc>
        <w:tc>
          <w:tcPr>
            <w:tcW w:type="dxa" w:w="32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Variable — less than GN in general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Nitric oxide cascade</w:t>
            </w:r>
          </w:p>
        </w:tc>
        <w:tc>
          <w:tcPr>
            <w:tcW w:type="dxa" w:w="32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Profound — major driver of vasodilation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Moderate — less prominent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Hemodynamic pattern</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Warm/distributive shock more common</w:t>
            </w:r>
          </w:p>
        </w:tc>
        <w:tc>
          <w:tcPr>
            <w:tcW w:type="dxa" w:w="32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Myocardial depression more prominent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Mortality (neonatal)</w:t>
            </w:r>
          </w:p>
        </w:tc>
        <w:tc>
          <w:tcPr>
            <w:tcW w:type="dxa" w:w="32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~70% of fatal neonatal NSS cases (Gago 2022)</w:t>
            </w:r>
          </w:p>
        </w:tc>
        <w:tc>
          <w:tcPr>
            <w:tcW w:type="dxa" w:w="32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~30% of fatal cases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Antibiotic empiric Rx</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Must cover with aminoglycoside + amp/gent or broad-spectrum</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Ampicillin covers EOS GBS; add anti-MRSA if LOS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Lactate elevation</w:t>
            </w:r>
          </w:p>
        </w:tc>
        <w:tc>
          <w:tcPr>
            <w:tcW w:type="dxa" w:w="32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Often high (&gt;4 mmol/L severe)</w:t>
            </w:r>
          </w:p>
        </w:tc>
        <w:tc>
          <w:tcPr>
            <w:tcW w:type="dxa" w:w="32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Variable; moderate-high</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Procalcitonin</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Very high &gt;10 ng/mL common</w:t>
            </w:r>
          </w:p>
        </w:tc>
        <w:tc>
          <w:tcPr>
            <w:tcW w:type="dxa" w:w="3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High but variable</w:t>
            </w:r>
          </w:p>
        </w:tc>
      </w:tr>
    </w:tbl>
    <w:p>
      <w:pPr>
        <w:spacing w:after="80"/>
      </w:pPr>
      <w:r>
        <w:t xml:space="preserve"/>
      </w:r>
    </w:p>
    <w:p>
      <w:r>
        <w:br w:type="page"/>
      </w:r>
    </w:p>
    <w:p>
      <w:pPr>
        <w:pStyle w:val="Heading1"/>
      </w:pPr>
      <w:r>
        <w:rPr>
          <w:rFonts w:ascii="Arial" w:cs="Arial" w:eastAsia="Arial" w:hAnsi="Arial"/>
          <w:b/>
          <w:bCs/>
        </w:rPr>
        <w:t xml:space="preserve">Chapter 3: Laboratory Interpretation — Acid-Base, Lactic Acid, Anion Gap, and Base Deficit</w:t>
      </w:r>
    </w:p>
    <w:p>
      <w:pPr>
        <w:pStyle w:val="Heading2"/>
      </w:pPr>
      <w:r>
        <w:rPr>
          <w:rFonts w:ascii="Arial" w:cs="Arial" w:eastAsia="Arial" w:hAnsi="Arial"/>
          <w:b/>
          <w:bCs/>
        </w:rPr>
        <w:t xml:space="preserve">3.1 The Metabolic Derangements of Septic Shock</w:t>
      </w:r>
    </w:p>
    <w:p>
      <w:pPr>
        <w:spacing w:after="100"/>
      </w:pPr>
      <w:r>
        <w:rPr>
          <w:rFonts w:ascii="Arial" w:cs="Arial" w:eastAsia="Arial" w:hAnsi="Arial"/>
          <w:b w:val="false"/>
          <w:bCs w:val="false"/>
          <w:sz w:val="22"/>
          <w:szCs w:val="22"/>
        </w:rPr>
        <w:t xml:space="preserve">Septic shock causes a predictable cascade of metabolic derangements that are directly measurable on point-of-care blood gas analyzers — one of the most important tools available in rural nurseries. Understanding how to read a blood gas in the context of septic shock is a core clinical skill for any provider managing these patients.</w:t>
      </w:r>
    </w:p>
    <w:p>
      <w:pPr>
        <w:pStyle w:val="Heading3"/>
      </w:pPr>
      <w:r>
        <w:rPr>
          <w:rFonts w:ascii="Arial" w:cs="Arial" w:eastAsia="Arial" w:hAnsi="Arial"/>
          <w:b/>
          <w:bCs/>
        </w:rPr>
        <w:t xml:space="preserve">3.1.1 Why Septic Shock Causes Metabolic Acidosis</w:t>
      </w:r>
    </w:p>
    <w:p>
      <w:pPr>
        <w:spacing w:after="100"/>
      </w:pPr>
      <w:r>
        <w:rPr>
          <w:rFonts w:ascii="Arial" w:cs="Arial" w:eastAsia="Arial" w:hAnsi="Arial"/>
          <w:b w:val="false"/>
          <w:bCs w:val="false"/>
          <w:sz w:val="22"/>
          <w:szCs w:val="22"/>
        </w:rPr>
        <w:t xml:space="preserve">The fundamental problem in septic shock is inadequate oxygen delivery (DO2) to tissues relative to oxygen demand (VO2). When oxygen delivery fails:</w:t>
      </w:r>
    </w:p>
    <w:p>
      <w:pPr>
        <w:pStyle w:val="ListParagraph"/>
        <w:numPr>
          <w:ilvl w:val="0"/>
          <w:numId w:val="3"/>
        </w:numPr>
        <w:spacing w:after="60"/>
      </w:pPr>
      <w:r>
        <w:rPr>
          <w:rFonts w:ascii="Arial" w:cs="Arial" w:eastAsia="Arial" w:hAnsi="Arial"/>
          <w:sz w:val="22"/>
          <w:szCs w:val="22"/>
        </w:rPr>
        <w:t xml:space="preserve">Cells switch from aerobic to anaerobic metabolism.</w:t>
      </w:r>
    </w:p>
    <w:p>
      <w:pPr>
        <w:pStyle w:val="ListParagraph"/>
        <w:numPr>
          <w:ilvl w:val="0"/>
          <w:numId w:val="3"/>
        </w:numPr>
        <w:spacing w:after="60"/>
      </w:pPr>
      <w:r>
        <w:rPr>
          <w:rFonts w:ascii="Arial" w:cs="Arial" w:eastAsia="Arial" w:hAnsi="Arial"/>
          <w:sz w:val="22"/>
          <w:szCs w:val="22"/>
        </w:rPr>
        <w:t xml:space="preserve">Pyruvate (the endpoint of glycolysis) cannot enter the Krebs cycle efficiently.</w:t>
      </w:r>
    </w:p>
    <w:p>
      <w:pPr>
        <w:pStyle w:val="ListParagraph"/>
        <w:numPr>
          <w:ilvl w:val="0"/>
          <w:numId w:val="3"/>
        </w:numPr>
        <w:spacing w:after="60"/>
      </w:pPr>
      <w:r>
        <w:rPr>
          <w:rFonts w:ascii="Arial" w:cs="Arial" w:eastAsia="Arial" w:hAnsi="Arial"/>
          <w:sz w:val="22"/>
          <w:szCs w:val="22"/>
        </w:rPr>
        <w:t xml:space="preserve">Pyruvate is instead reduced to LACTATE by lactate dehydrogenase (LDH).</w:t>
      </w:r>
    </w:p>
    <w:p>
      <w:pPr>
        <w:pStyle w:val="ListParagraph"/>
        <w:numPr>
          <w:ilvl w:val="0"/>
          <w:numId w:val="3"/>
        </w:numPr>
        <w:spacing w:after="60"/>
      </w:pPr>
      <w:r>
        <w:rPr>
          <w:rFonts w:ascii="Arial" w:cs="Arial" w:eastAsia="Arial" w:hAnsi="Arial"/>
          <w:sz w:val="22"/>
          <w:szCs w:val="22"/>
        </w:rPr>
        <w:t xml:space="preserve">Lactate accumulates in the bloodstream — producing lactic acidemia.</w:t>
      </w:r>
    </w:p>
    <w:p>
      <w:pPr>
        <w:pStyle w:val="ListParagraph"/>
        <w:numPr>
          <w:ilvl w:val="0"/>
          <w:numId w:val="3"/>
        </w:numPr>
        <w:spacing w:after="60"/>
      </w:pPr>
      <w:r>
        <w:rPr>
          <w:rFonts w:ascii="Arial" w:cs="Arial" w:eastAsia="Arial" w:hAnsi="Arial"/>
          <w:sz w:val="22"/>
          <w:szCs w:val="22"/>
        </w:rPr>
        <w:t xml:space="preserve">Hydrogen ion (H+) generation exceeds buffering capacity — producing metabolic acidosis.</w:t>
      </w:r>
    </w:p>
    <w:p>
      <w:pPr>
        <w:pStyle w:val="ListParagraph"/>
        <w:numPr>
          <w:ilvl w:val="0"/>
          <w:numId w:val="3"/>
        </w:numPr>
        <w:spacing w:after="60"/>
      </w:pPr>
      <w:r>
        <w:rPr>
          <w:rFonts w:ascii="Arial" w:cs="Arial" w:eastAsia="Arial" w:hAnsi="Arial"/>
          <w:sz w:val="22"/>
          <w:szCs w:val="22"/>
        </w:rPr>
        <w:t xml:space="preserve">Bicarbonate (HCO3-) is consumed buffering the excess H+ — base deficit worsens.</w:t>
      </w:r>
    </w:p>
    <w:p>
      <w:pPr>
        <w:spacing w:after="80"/>
      </w:pPr>
      <w:r>
        <w:t xml:space="preserve"/>
      </w:r>
    </w:p>
    <w:p>
      <w:pPr>
        <w:spacing w:after="100"/>
      </w:pPr>
      <w:r>
        <w:rPr>
          <w:rFonts w:ascii="Arial" w:cs="Arial" w:eastAsia="Arial" w:hAnsi="Arial"/>
          <w:b w:val="false"/>
          <w:bCs w:val="false"/>
          <w:sz w:val="22"/>
          <w:szCs w:val="22"/>
        </w:rPr>
        <w:t xml:space="preserve">Additionally, in gram-negative shock, endotoxin directly inhibits mitochondrial function (cytopathic hypoxia) — meaning cells may fail to utilize oxygen even when it is available. This produces hyperlactatemia even in the absence of frank tissue hypoperfusion.</w:t>
      </w:r>
    </w:p>
    <w:p>
      <w:pPr>
        <w:pStyle w:val="Heading2"/>
      </w:pPr>
      <w:r>
        <w:rPr>
          <w:rFonts w:ascii="Arial" w:cs="Arial" w:eastAsia="Arial" w:hAnsi="Arial"/>
          <w:b/>
          <w:bCs/>
        </w:rPr>
        <w:t xml:space="preserve">3.2 Lactic Acid — The Primary Marker of Tissue Hypoperfusion</w:t>
      </w:r>
    </w:p>
    <w:p>
      <w:pPr>
        <w:pStyle w:val="Heading3"/>
      </w:pPr>
      <w:r>
        <w:rPr>
          <w:rFonts w:ascii="Arial" w:cs="Arial" w:eastAsia="Arial" w:hAnsi="Arial"/>
          <w:b/>
          <w:bCs/>
        </w:rPr>
        <w:t xml:space="preserve">3.2.1 Normal Values and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Lactate Level</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Interpretation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&lt;2.0 mmol/L</w:t>
            </w:r>
          </w:p>
        </w:tc>
        <w:tc>
          <w:tcPr>
            <w:tcW w:type="dxa" w:w="4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Normal — adequate tissue perfusion</w:t>
            </w:r>
          </w:p>
        </w:tc>
        <w:tc>
          <w:tcPr>
            <w:tcW w:type="dxa" w:w="31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Reassuring if clinical picture stable</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2.0-4.0 mmol/L</w:t>
            </w:r>
          </w:p>
        </w:tc>
        <w:tc>
          <w:tcPr>
            <w:tcW w:type="dxa" w:w="4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Elevated — tissue hypoperfusion likely; septic shock possible</w:t>
            </w:r>
          </w:p>
        </w:tc>
        <w:tc>
          <w:tcPr>
            <w:tcW w:type="dxa" w:w="31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Initiate/optimize resuscitation; repeat in 2 hours</w:t>
            </w:r>
          </w:p>
        </w:tc>
      </w:tr>
      <w:tr>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&gt;4.0 mmol/L</w:t>
            </w:r>
          </w:p>
        </w:tc>
        <w:tc>
          <w:tcPr>
            <w:tcW w:type="dxa" w:w="4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Critically elevated — severe tissue hypoperfusion; high mortality risk; meets septic shock criteria even without hypotension</w:t>
            </w:r>
          </w:p>
        </w:tc>
        <w:tc>
          <w:tcPr>
            <w:tcW w:type="dxa" w:w="3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Aggressive resuscitation; immediate transport activation; vasopressors likely needed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Neonatal: Note</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Neonates normally have slightly higher lactate in first hours of life (transition); a lactate of 2-4 mmol/L in the first few hours may be physiologic; trend matters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Serial measurements every 1-2 hours are more valuable than single values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A lactate &gt;2.25 mmol/L has a sensitivity of 82.6% and specificity of 79.8% for diagnosing pediatric septic shock (ROC analysis, n=484 children). A lactate &gt;4 mmol/L carries a 22-fold higher mortality risk vs. lactate &lt;1 mmol/L in children with sepsis. Target lactate clearance &gt;10-20% per 2-hour resuscitation interval.</w:t>
            </w:r>
          </w:p>
        </w:tc>
      </w:tr>
    </w:tbl>
    <w:p>
      <w:pPr>
        <w:spacing w:after="80"/>
      </w:pPr>
      <w:r>
        <w:t xml:space="preserve"/>
      </w:r>
    </w:p>
    <w:p>
      <w:pPr>
        <w:pStyle w:val="Heading3"/>
      </w:pPr>
      <w:r>
        <w:rPr>
          <w:rFonts w:ascii="Arial" w:cs="Arial" w:eastAsia="Arial" w:hAnsi="Arial"/>
          <w:b/>
          <w:bCs/>
        </w:rPr>
        <w:t xml:space="preserve">3.2.2 Lactate Clearance as a Resuscitation Target</w:t>
      </w:r>
    </w:p>
    <w:p>
      <w:pPr>
        <w:spacing w:after="100"/>
      </w:pPr>
      <w:r>
        <w:rPr>
          <w:rFonts w:ascii="Arial" w:cs="Arial" w:eastAsia="Arial" w:hAnsi="Arial"/>
          <w:b w:val="false"/>
          <w:bCs w:val="false"/>
          <w:sz w:val="22"/>
          <w:szCs w:val="22"/>
        </w:rPr>
        <w:t xml:space="preserve">Serial lactate measurements during resuscitation provide one of the most powerful guides to effectiveness. Lactate clearance is defined as:</w:t>
      </w:r>
    </w:p>
    <w:p>
      <w:pPr>
        <w:spacing w:after="100"/>
      </w:pPr>
      <w:r>
        <w:rPr>
          <w:rFonts w:ascii="Arial" w:cs="Arial" w:eastAsia="Arial" w:hAnsi="Arial"/>
          <w:b w:val="false"/>
          <w:bCs w:val="false"/>
          <w:sz w:val="22"/>
          <w:szCs w:val="22"/>
        </w:rPr>
        <w:t xml:space="preserve">Lactate Clearance (%) = [(Initial Lactate - Current Lactate) / Initial Lactate] x 100</w:t>
      </w:r>
    </w:p>
    <w:p>
      <w:pPr>
        <w:spacing w:after="100"/>
      </w:pPr>
      <w:r>
        <w:rPr>
          <w:rFonts w:ascii="Arial" w:cs="Arial" w:eastAsia="Arial" w:hAnsi="Arial"/>
          <w:b w:val="false"/>
          <w:bCs w:val="false"/>
          <w:sz w:val="22"/>
          <w:szCs w:val="22"/>
        </w:rPr>
        <w:t xml:space="preserve">A clearance of &gt;10-20% over 2 hours indicates adequate resuscitation. Failure to clear lactate despite fluid resuscitation indicates either:</w:t>
      </w:r>
    </w:p>
    <w:p>
      <w:pPr>
        <w:pStyle w:val="ListParagraph"/>
        <w:numPr>
          <w:ilvl w:val="0"/>
          <w:numId w:val="2"/>
        </w:numPr>
        <w:spacing w:after="60"/>
      </w:pPr>
      <w:r>
        <w:rPr>
          <w:rFonts w:ascii="Arial" w:cs="Arial" w:eastAsia="Arial" w:hAnsi="Arial"/>
          <w:sz w:val="22"/>
          <w:szCs w:val="22"/>
        </w:rPr>
        <w:t xml:space="preserve">Inadequate volume replacement (need more fluid)</w:t>
      </w:r>
    </w:p>
    <w:p>
      <w:pPr>
        <w:pStyle w:val="ListParagraph"/>
        <w:numPr>
          <w:ilvl w:val="0"/>
          <w:numId w:val="2"/>
        </w:numPr>
        <w:spacing w:after="60"/>
      </w:pPr>
      <w:r>
        <w:rPr>
          <w:rFonts w:ascii="Arial" w:cs="Arial" w:eastAsia="Arial" w:hAnsi="Arial"/>
          <w:sz w:val="22"/>
          <w:szCs w:val="22"/>
        </w:rPr>
        <w:t xml:space="preserve">Fluid-refractory shock requiring vasopressor initiation</w:t>
      </w:r>
    </w:p>
    <w:p>
      <w:pPr>
        <w:pStyle w:val="ListParagraph"/>
        <w:numPr>
          <w:ilvl w:val="0"/>
          <w:numId w:val="2"/>
        </w:numPr>
        <w:spacing w:after="60"/>
      </w:pPr>
      <w:r>
        <w:rPr>
          <w:rFonts w:ascii="Arial" w:cs="Arial" w:eastAsia="Arial" w:hAnsi="Arial"/>
          <w:sz w:val="22"/>
          <w:szCs w:val="22"/>
        </w:rPr>
        <w:t xml:space="preserve">Persistent source of infection not controlled (need surgery/drainage)</w:t>
      </w:r>
    </w:p>
    <w:p>
      <w:pPr>
        <w:pStyle w:val="ListParagraph"/>
        <w:numPr>
          <w:ilvl w:val="0"/>
          <w:numId w:val="2"/>
        </w:numPr>
        <w:spacing w:after="60"/>
      </w:pPr>
      <w:r>
        <w:rPr>
          <w:rFonts w:ascii="Arial" w:cs="Arial" w:eastAsia="Arial" w:hAnsi="Arial"/>
          <w:sz w:val="22"/>
          <w:szCs w:val="22"/>
        </w:rPr>
        <w:t xml:space="preserve">Mitochondrial dysfunction from endotoxin (cytopathic hypoxia — refractory)</w:t>
      </w:r>
    </w:p>
    <w:p>
      <w:pPr>
        <w:pStyle w:val="ListParagraph"/>
        <w:numPr>
          <w:ilvl w:val="0"/>
          <w:numId w:val="2"/>
        </w:numPr>
        <w:spacing w:after="60"/>
      </w:pPr>
      <w:r>
        <w:rPr>
          <w:rFonts w:ascii="Arial" w:cs="Arial" w:eastAsia="Arial" w:hAnsi="Arial"/>
          <w:sz w:val="22"/>
          <w:szCs w:val="22"/>
        </w:rPr>
        <w:t xml:space="preserve">Hepatic failure impairing lactate clearance (liver clears ~60% of lactate)</w:t>
      </w:r>
    </w:p>
    <w:p>
      <w:pPr>
        <w:pStyle w:val="ListParagraph"/>
        <w:numPr>
          <w:ilvl w:val="0"/>
          <w:numId w:val="2"/>
        </w:numPr>
        <w:spacing w:after="60"/>
      </w:pPr>
      <w:r>
        <w:rPr>
          <w:rFonts w:ascii="Arial" w:cs="Arial" w:eastAsia="Arial" w:hAnsi="Arial"/>
          <w:sz w:val="22"/>
          <w:szCs w:val="22"/>
        </w:rPr>
        <w:t xml:space="preserve">Renal failure impairing lactate clearance (kidneys clear ~30% of lactate)</w:t>
      </w:r>
    </w:p>
    <w:p>
      <w:pPr>
        <w:spacing w:after="80"/>
      </w:pPr>
      <w:r>
        <w:t xml:space="preserve"/>
      </w:r>
    </w:p>
    <w:p>
      <w:pPr>
        <w:pStyle w:val="Heading2"/>
      </w:pPr>
      <w:r>
        <w:rPr>
          <w:rFonts w:ascii="Arial" w:cs="Arial" w:eastAsia="Arial" w:hAnsi="Arial"/>
          <w:b/>
          <w:bCs/>
        </w:rPr>
        <w:t xml:space="preserve">3.3 Base Deficit — The Integrated Measure of Metabolic Acidosis</w:t>
      </w:r>
    </w:p>
    <w:p>
      <w:pPr>
        <w:pStyle w:val="Heading3"/>
      </w:pPr>
      <w:r>
        <w:rPr>
          <w:rFonts w:ascii="Arial" w:cs="Arial" w:eastAsia="Arial" w:hAnsi="Arial"/>
          <w:b/>
          <w:bCs/>
        </w:rPr>
        <w:t xml:space="preserve">3.3.1 Definition and Calculation</w:t>
      </w:r>
    </w:p>
    <w:p>
      <w:pPr>
        <w:spacing w:after="100"/>
      </w:pPr>
      <w:r>
        <w:rPr>
          <w:rFonts w:ascii="Arial" w:cs="Arial" w:eastAsia="Arial" w:hAnsi="Arial"/>
          <w:b w:val="false"/>
          <w:bCs w:val="false"/>
          <w:sz w:val="22"/>
          <w:szCs w:val="22"/>
        </w:rPr>
        <w:t xml:space="preserve">The base deficit (BD) represents the amount of base (mEq/L) that would be required to titrate 1 liter of fully oxygenated blood at 37°C to a pH of 7.40. It is calculated automatically by all blood gas analyzers using the Henderson-Hasselbalch equation applied to the measured pH, PCO2, and bicarbonate.</w:t>
      </w:r>
    </w:p>
    <w:p>
      <w:pPr>
        <w:spacing w:after="100"/>
      </w:pPr>
      <w:r>
        <w:rPr>
          <w:rFonts w:ascii="Arial" w:cs="Arial" w:eastAsia="Arial" w:hAnsi="Arial"/>
          <w:b w:val="false"/>
          <w:bCs w:val="false"/>
          <w:sz w:val="22"/>
          <w:szCs w:val="22"/>
        </w:rPr>
        <w:t xml:space="preserve">Normal base deficit: -2 to +2 mEq/L (physiologically, this is typically reported as 'base excess' with a value of 0 +/- 2; negative base excess = base deficit).</w:t>
      </w:r>
    </w:p>
    <w:p>
      <w:pPr>
        <w:pStyle w:val="Heading3"/>
      </w:pPr>
      <w:r>
        <w:rPr>
          <w:rFonts w:ascii="Arial" w:cs="Arial" w:eastAsia="Arial" w:hAnsi="Arial"/>
          <w:b/>
          <w:bCs/>
        </w:rPr>
        <w:t xml:space="preserve">3.3.2 Interpretation in Septic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Deficit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Correlation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0 to -5 mEq/L</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Mild acidosis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Minor perfusion deficit; early shock or compensated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Fluid bolus, reassess</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-5 to -10 mEq/L</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Moderate acidosis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Significant hypoperfusion; likely established septic shock</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Aggressive resuscitation; vasopressors if fluid-refractory; consider transport</w:t>
            </w:r>
          </w:p>
        </w:tc>
      </w:tr>
      <w:tr>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-10 to -15 mEq/L</w:t>
            </w:r>
          </w:p>
        </w:tc>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Severe acidosis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Critical hypoperfusion; high mortality risk; major organ dysfunction likely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Immediate vasopressors; transport NOW; intensivist consult</w:t>
            </w:r>
          </w:p>
        </w:tc>
      </w:tr>
      <w:tr>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&lt; -15 mEq/L</w:t>
            </w:r>
          </w:p>
        </w:tc>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 acidosis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Near-fatal; multiorgan failure; extremely high mortality</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All above plus consider ECMO criteria; sodium bicarbonate if pH &lt;7.0</w:t>
            </w:r>
          </w:p>
        </w:tc>
      </w:tr>
    </w:tbl>
    <w:p>
      <w:pPr>
        <w:spacing w:after="80"/>
      </w:pPr>
      <w:r>
        <w:t xml:space="preserve"/>
      </w:r>
    </w:p>
    <w:p>
      <w:pPr>
        <w:spacing w:after="100"/>
      </w:pPr>
      <w:r>
        <w:rPr>
          <w:rFonts w:ascii="Arial" w:cs="Arial" w:eastAsia="Arial" w:hAnsi="Arial"/>
          <w:b w:val="false"/>
          <w:bCs w:val="false"/>
          <w:sz w:val="22"/>
          <w:szCs w:val="22"/>
        </w:rPr>
        <w:t xml:space="preserve">In neonates, cardiovascular dysfunction for septic shock is specifically defined as requiring fluid resuscitation or inotropic support to maintain blood pressure, OR two of the following: base deficit &gt;5 mEq/L, arterial lactate &gt;2x upper limit of normal, oliguria &lt;0.5 mL/kg/hour, or capillary refill &gt;5 seconds. (Wynn/Wong Neonatal Septic Shock Definition)</w:t>
      </w:r>
    </w:p>
    <w:p>
      <w:pPr>
        <w:spacing w:after="80"/>
      </w:pPr>
      <w:r>
        <w:t xml:space="preserve"/>
      </w:r>
    </w:p>
    <w:p>
      <w:pPr>
        <w:pStyle w:val="Heading2"/>
      </w:pPr>
      <w:r>
        <w:rPr>
          <w:rFonts w:ascii="Arial" w:cs="Arial" w:eastAsia="Arial" w:hAnsi="Arial"/>
          <w:b/>
          <w:bCs/>
        </w:rPr>
        <w:t xml:space="preserve">3.4 The Anion Gap — Diagnosing and Quantifying Metabolic Acidosis</w:t>
      </w:r>
    </w:p>
    <w:p>
      <w:pPr>
        <w:pStyle w:val="Heading3"/>
      </w:pPr>
      <w:r>
        <w:rPr>
          <w:rFonts w:ascii="Arial" w:cs="Arial" w:eastAsia="Arial" w:hAnsi="Arial"/>
          <w:b/>
          <w:bCs/>
        </w:rPr>
        <w:t xml:space="preserve">3.4.1 The Anion Gap Formula</w:t>
      </w:r>
    </w:p>
    <w:p>
      <w:pPr>
        <w:spacing w:after="100"/>
      </w:pPr>
      <w:r>
        <w:rPr>
          <w:rFonts w:ascii="Arial" w:cs="Arial" w:eastAsia="Arial" w:hAnsi="Arial"/>
          <w:b w:val="false"/>
          <w:bCs w:val="false"/>
          <w:sz w:val="22"/>
          <w:szCs w:val="22"/>
        </w:rPr>
        <w:t xml:space="preserve">The anion gap (AG) is a calculated value that represents the difference between measured cations and measured anions in serum. Unmeasured anions (like lactate, ketones, uremic acids, toxins) are reflected in an elevated AG.</w:t>
      </w:r>
    </w:p>
    <w:p>
      <w:pPr>
        <w:spacing w:after="100"/>
      </w:pPr>
      <w:r>
        <w:rPr>
          <w:rFonts w:ascii="Arial" w:cs="Arial" w:eastAsia="Arial" w:hAnsi="Arial"/>
          <w:b w:val="false"/>
          <w:bCs w:val="false"/>
          <w:sz w:val="22"/>
          <w:szCs w:val="22"/>
        </w:rPr>
        <w:t xml:space="preserve">Anion Gap = Na+ - (Cl- + HCO3-)</w:t>
      </w:r>
    </w:p>
    <w:p>
      <w:pPr>
        <w:spacing w:after="100"/>
      </w:pPr>
      <w:r>
        <w:rPr>
          <w:rFonts w:ascii="Arial" w:cs="Arial" w:eastAsia="Arial" w:hAnsi="Arial"/>
          <w:b w:val="false"/>
          <w:bCs w:val="false"/>
          <w:sz w:val="22"/>
          <w:szCs w:val="22"/>
        </w:rPr>
        <w:t xml:space="preserve">Normal AG: 8-12 mEq/L (without albumin correction) OR 3-11 mEq/L (albumin-corrected; critical in hypoalbuminemic septic patients)</w:t>
      </w:r>
    </w:p>
    <w:p>
      <w:pPr>
        <w:spacing w:after="100"/>
      </w:pPr>
      <w:r>
        <w:rPr>
          <w:rFonts w:ascii="Arial" w:cs="Arial" w:eastAsia="Arial" w:hAnsi="Arial"/>
          <w:b w:val="false"/>
          <w:bCs w:val="false"/>
          <w:sz w:val="22"/>
          <w:szCs w:val="22"/>
        </w:rPr>
        <w:t xml:space="preserve">Albumin Correction: Corrected AG = Measured AG + 2.5 x (4 - Albumin [g/dL])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RURAL CONSIDERATION</w:t>
            </w:r>
          </w:p>
        </w:tc>
        <w:tc>
          <w:tcPr>
            <w:tcW w:type="dxa" w:w="8160"/>
            <w:tcBorders>
              <w:top w:val="single" w:color="2E75B6" w:sz="3"/>
              <w:left w:val="single" w:color="2E75B6" w:sz="3"/>
              <w:bottom w:val="single" w:color="2E75B6" w:sz="3"/>
              <w:right w:val="single" w:color="2E75B6" w:sz="3"/>
            </w:tcBorders>
            <w:shd w:fill="DDEEFF" w:val="clear"/>
            <w:tcMar>
              <w:top w:type="dxa" w:w="100"/>
              <w:left w:type="dxa" w:w="140"/>
              <w:bottom w:type="dxa" w:w="100"/>
              <w:right w:type="dxa" w:w="120"/>
            </w:tcMar>
          </w:tcPr>
          <w:p>
            <w:r>
              <w:rPr>
                <w:rFonts w:ascii="Arial" w:cs="Arial" w:eastAsia="Arial" w:hAnsi="Arial"/>
                <w:sz w:val="22"/>
                <w:szCs w:val="22"/>
              </w:rPr>
              <w:t xml:space="preserve">Most rural hospitals have point-of-care blood gas analyzers (e.g., i-STAT, IRMA) that report pH, PCO2, HCO3-, base excess (deficit), and lactate. The basic metabolic panel (BMP) provides Na, K, Cl, CO2/HCO3 for anion gap calculation. Both together give a complete picture of acid-base status.</w:t>
            </w:r>
          </w:p>
        </w:tc>
      </w:tr>
    </w:tbl>
    <w:p>
      <w:pPr>
        <w:spacing w:after="80"/>
      </w:pPr>
      <w:r>
        <w:t xml:space="preserve"/>
      </w:r>
    </w:p>
    <w:p>
      <w:pPr>
        <w:pStyle w:val="Heading3"/>
      </w:pPr>
      <w:r>
        <w:rPr>
          <w:rFonts w:ascii="Arial" w:cs="Arial" w:eastAsia="Arial" w:hAnsi="Arial"/>
          <w:b/>
          <w:bCs/>
        </w:rPr>
        <w:t xml:space="preserve">3.4.2 Elevated Anion Gap Differential in Septic Shock</w:t>
      </w:r>
    </w:p>
    <w:p>
      <w:pPr>
        <w:spacing w:after="100"/>
      </w:pPr>
      <w:r>
        <w:rPr>
          <w:rFonts w:ascii="Arial" w:cs="Arial" w:eastAsia="Arial" w:hAnsi="Arial"/>
          <w:b w:val="false"/>
          <w:bCs w:val="false"/>
          <w:sz w:val="22"/>
          <w:szCs w:val="22"/>
        </w:rPr>
        <w:t xml:space="preserve">The mnemonic MUDPILES-CAT covers the causes of elevated anion gap metabolic acidosis: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Mnemonic</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Relevance in Septic Shock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Methanol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Toxicologic — unlikely in neonate</w:t>
            </w:r>
          </w:p>
        </w:tc>
      </w:tr>
      <w:tr>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U</w:t>
            </w:r>
          </w:p>
        </w:tc>
        <w:tc>
          <w:tcPr>
            <w:tcW w:type="dxa" w:w="3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Uremia (renal failure)</w:t>
            </w:r>
          </w:p>
        </w:tc>
        <w:tc>
          <w:tcPr>
            <w:tcW w:type="dxa" w:w="52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Acute kidney injury is a major complication of septic shock; contributes to elevated AG</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3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Diabetic ketoacidosis (DKA)</w:t>
            </w:r>
          </w:p>
        </w:tc>
        <w:tc>
          <w:tcPr>
            <w:tcW w:type="dxa" w:w="52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Uncommon in neonates; consider in pediatric patients</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Propylene glycol / poisons</w:t>
            </w:r>
          </w:p>
        </w:tc>
        <w:tc>
          <w:tcPr>
            <w:tcW w:type="dxa" w:w="5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Medication-related</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3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Isoniazid / Iron / other toxins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Toxicologic</w:t>
            </w:r>
          </w:p>
        </w:tc>
      </w:tr>
      <w:tr>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L</w:t>
            </w:r>
          </w:p>
        </w:tc>
        <w:tc>
          <w:tcPr>
            <w:tcW w:type="dxa" w:w="3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LACTIC ACIDOSIS</w:t>
            </w:r>
          </w:p>
        </w:tc>
        <w:tc>
          <w:tcPr>
            <w:tcW w:type="dxa" w:w="52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PRIMARY CAUSE in septic shock; tissue hypoperfusion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Ethylene glycol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Toxicologic</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Salicylates / Starvation ketoacidosis</w:t>
            </w:r>
          </w:p>
        </w:tc>
        <w:tc>
          <w:tcPr>
            <w:tcW w:type="dxa" w:w="5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Salicylate toxicity can mimic sepsis</w:t>
            </w:r>
          </w:p>
        </w:tc>
      </w:tr>
      <w:tr>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3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Congenital metabolic errors (IEM)</w:t>
            </w:r>
          </w:p>
        </w:tc>
        <w:tc>
          <w:tcPr>
            <w:tcW w:type="dxa" w:w="52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MUST CONSIDER in neonates — OA, UCD, MSUD, GA1 can present with sepsis-like picture AND elevated AG</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Alcohol</w:t>
            </w:r>
          </w:p>
        </w:tc>
        <w:tc>
          <w:tcPr>
            <w:tcW w:type="dxa" w:w="5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Pediatric toxicology</w:t>
            </w:r>
          </w:p>
        </w:tc>
      </w:tr>
      <w:tr>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T</w:t>
            </w:r>
          </w:p>
        </w:tc>
        <w:tc>
          <w:tcPr>
            <w:tcW w:type="dxa" w:w="3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Toluene / toxins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Environmental exposure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In any neonate with elevated anion gap metabolic acidosis, ALWAYS consider Inborn Errors of Metabolism (IEM) in the differential. Organic acidemias (propionic, methylmalonic), urea cycle defects, maple syrup urine disease, and glutaric aciduria can present identically to septic shock with profound acidosis, encephalopathy, and hemodynamic instability. Send ammonia and lactate simultaneously.</w:t>
            </w:r>
          </w:p>
        </w:tc>
      </w:tr>
    </w:tbl>
    <w:p>
      <w:pPr>
        <w:spacing w:after="80"/>
      </w:pPr>
      <w:r>
        <w:t xml:space="preserve"/>
      </w:r>
    </w:p>
    <w:p>
      <w:pPr>
        <w:pStyle w:val="Heading2"/>
      </w:pPr>
      <w:r>
        <w:rPr>
          <w:rFonts w:ascii="Arial" w:cs="Arial" w:eastAsia="Arial" w:hAnsi="Arial"/>
          <w:b/>
          <w:bCs/>
        </w:rPr>
        <w:t xml:space="preserve">3.5 Worked Example: Reading Blood Gas Panels in Septic Shock</w:t>
      </w:r>
    </w:p>
    <w:p>
      <w:pPr>
        <w:pStyle w:val="Heading3"/>
      </w:pPr>
      <w:r>
        <w:rPr>
          <w:rFonts w:ascii="Arial" w:cs="Arial" w:eastAsia="Arial" w:hAnsi="Arial"/>
          <w:b/>
          <w:bCs/>
        </w:rPr>
        <w:t xml:space="preserve">3.5.1 Example A: Gram-Negative Septic Shock (Late-Onset GNB — E. coli)</w:t>
      </w:r>
    </w:p>
    <w:p>
      <w:pPr>
        <w:spacing w:after="100"/>
      </w:pPr>
      <w:r>
        <w:rPr>
          <w:rFonts w:ascii="Arial" w:cs="Arial" w:eastAsia="Arial" w:hAnsi="Arial"/>
          <w:b w:val="false"/>
          <w:bCs w:val="false"/>
          <w:sz w:val="22"/>
          <w:szCs w:val="22"/>
        </w:rPr>
        <w:t xml:space="preserve">Clinical scenario: 8-day-old term infant with 24-hour history of poor feeding, temperature instability (T 36.0°C axillary), tachycardia (HR 185), mottled extremities, and prolonged capillary refill of 4 seconds. Blood culture ultimately grows E. coli.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Value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 (Neonate)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pH</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7.18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7.35-7.45</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Severe acidemia</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PCO2</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28 mmHg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35-45 mmHg</w:t>
            </w:r>
          </w:p>
        </w:tc>
        <w:tc>
          <w:tcPr>
            <w:tcW w:type="dxa" w:w="29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Compensatory respiratory alkalosis (tachypnea)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HCO3-</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10 mEq/L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20-26 mEq/L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Severely depleted bicarbonate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Base Deficit</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-16 mEq/L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-2 to +2 mEq/L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CRITICAL metabolic acidosis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Lactate</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6.8 mmol/L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&lt;2 mmol/L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Severe lactic acidosis — critical tissue hypoperfusion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138 mEq/L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135-145 mEq/L</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106 mEq/L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98-107 mEq/L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HCO3-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10 mEq/L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From above</w:t>
            </w:r>
          </w:p>
        </w:tc>
      </w:tr>
      <w:tr>
        <w:tc>
          <w:tcPr>
            <w:tcW w:type="dxa" w:w="2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Anion Gap</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22 mEq/L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8-12 mEq/L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ELEVATED AG — lactic acidosis confirmed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WBC</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2,800 /uL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9,000-30,000 /uL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Leukopenia — poor prognostic sign in gram-neg EOS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Platelets</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48,000 /uL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150,000-400,000 /uL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Severe thrombocytopenia — DIC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Procalcitonin</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45 ng/mL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&lt;0.5 ng/mL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Markedly elevated — gram-negative bacteremia</w:t>
            </w:r>
          </w:p>
        </w:tc>
      </w:tr>
    </w:tbl>
    <w:p>
      <w:pPr>
        <w:spacing w:after="80"/>
      </w:pPr>
      <w:r>
        <w:t xml:space="preserve"/>
      </w:r>
    </w:p>
    <w:p>
      <w:pPr>
        <w:spacing w:after="100"/>
      </w:pPr>
      <w:r>
        <w:rPr>
          <w:rFonts w:ascii="Arial" w:cs="Arial" w:eastAsia="Arial" w:hAnsi="Arial"/>
          <w:b w:val="false"/>
          <w:bCs w:val="false"/>
          <w:sz w:val="22"/>
          <w:szCs w:val="22"/>
        </w:rPr>
        <w:t xml:space="preserve">Management implications: This infant is in critical gram-negative septic shock (BD -16, lactate 6.8, AG 22, DIC pattern). Immediate priorities: (1) Airway/ventilation support, (2) IV/IO access, (3) 10 mL/kg NS bolus x 1-2 over 15-30 minutes with careful reassessment (risk of volume overload in possible cardiac dysfunction), (4) Dopamine 5-10 mcg/kg/min, (5) Ampicillin 50 mg/kg IV + Gentamicin 4-5 mg/kg IV STAT, (6) Activate neonatal transport, (7) Fresh frozen plasma 10-15 mL/kg for DIC, (8) Glucose monitoring every 30 minutes.</w:t>
      </w:r>
    </w:p>
    <w:p>
      <w:pPr>
        <w:spacing w:after="80"/>
      </w:pPr>
      <w:r>
        <w:t xml:space="preserve"/>
      </w:r>
    </w:p>
    <w:p>
      <w:pPr>
        <w:pStyle w:val="Heading3"/>
      </w:pPr>
      <w:r>
        <w:rPr>
          <w:rFonts w:ascii="Arial" w:cs="Arial" w:eastAsia="Arial" w:hAnsi="Arial"/>
          <w:b/>
          <w:bCs/>
        </w:rPr>
        <w:t xml:space="preserve">3.5.2 Example B: Gram-Positive Septic Shock (MRSA Late-Onset Sepsis)</w:t>
      </w:r>
    </w:p>
    <w:p>
      <w:pPr>
        <w:spacing w:after="100"/>
      </w:pPr>
      <w:r>
        <w:rPr>
          <w:rFonts w:ascii="Arial" w:cs="Arial" w:eastAsia="Arial" w:hAnsi="Arial"/>
          <w:b w:val="false"/>
          <w:bCs w:val="false"/>
          <w:sz w:val="22"/>
          <w:szCs w:val="22"/>
        </w:rPr>
        <w:t xml:space="preserve">Clinical scenario: 3-week-old former 32-week premature infant (now 35 weeks corrected) with central line in place. Nursing notes temperature spike to 38.4°C, new onset of apnea x 3 in one hour, mottled skin, HR 178. Blood culture ultimately grows MRSA.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Value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 (Neonate)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pH</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7.24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7.35-7.45</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Moderate acidemia</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PCO2</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32 mmHg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35-45 mmHg</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Mild compensatory respiratory alkalosis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HCO3-</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13 mEq/L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20-26 mEq/L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Significantly reduced bicarbonate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Base Deficit</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-12 mEq/L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-2 to +2 mEq/L</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Severe metabolic acidosis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Lactate</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3.8 mmol/L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&lt;2 mmol/L</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Elevated — tissue hypoperfusion; less extreme than GNB example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136 mEq/L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104 mEq/L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Anion Gap</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19 mEq/L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8-12 mEq/L</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Elevated AG — lactic acidosis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WBC</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22,000 /uL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Elevated, left shift — typical gram-positive pattern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Platelets</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89,000 /uL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Moderate thrombocytopenia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Procalcitonin</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8.2 ng/mL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&lt;0.5 ng/mL</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Markedly elevated — gram-positive bacteremia (lower than GN)</w:t>
            </w:r>
          </w:p>
        </w:tc>
      </w:tr>
    </w:tbl>
    <w:p>
      <w:pPr>
        <w:spacing w:after="80"/>
      </w:pPr>
      <w:r>
        <w:t xml:space="preserve"/>
      </w:r>
    </w:p>
    <w:p>
      <w:pPr>
        <w:spacing w:after="100"/>
      </w:pPr>
      <w:r>
        <w:rPr>
          <w:rFonts w:ascii="Arial" w:cs="Arial" w:eastAsia="Arial" w:hAnsi="Arial"/>
          <w:b w:val="false"/>
          <w:bCs w:val="false"/>
          <w:sz w:val="22"/>
          <w:szCs w:val="22"/>
        </w:rPr>
        <w:t xml:space="preserve">Management implications: MRSA LOS requires vancomycin (15-20 mg/kg IV; use weight-based dosing with therapeutic drug monitoring) rather than ampicillin/gentamicin. The hemodynamic picture is less catastrophic than Example A at initial presentation, but MRSA sepsis can deteriorate rapidly, particularly with right-sided endocarditis or toxin-mediated myocardial depression. Line removal (if central venous catheter) is a critical source control measure. Transport to NICU is mandatory.</w:t>
      </w:r>
    </w:p>
    <w:p>
      <w:pPr>
        <w:spacing w:after="80"/>
      </w:pPr>
      <w:r>
        <w:t xml:space="preserve"/>
      </w:r>
    </w:p>
    <w:p>
      <w:r>
        <w:br w:type="page"/>
      </w:r>
    </w:p>
    <w:p>
      <w:pPr>
        <w:pStyle w:val="Heading1"/>
      </w:pPr>
      <w:r>
        <w:rPr>
          <w:rFonts w:ascii="Arial" w:cs="Arial" w:eastAsia="Arial" w:hAnsi="Arial"/>
          <w:b/>
          <w:bCs/>
        </w:rPr>
        <w:t xml:space="preserve">Chapter 4: Clinical Presentation and Assessment</w:t>
      </w:r>
    </w:p>
    <w:p>
      <w:pPr>
        <w:pStyle w:val="Heading2"/>
      </w:pPr>
      <w:r>
        <w:rPr>
          <w:rFonts w:ascii="Arial" w:cs="Arial" w:eastAsia="Arial" w:hAnsi="Arial"/>
          <w:b/>
          <w:bCs/>
        </w:rPr>
        <w:t xml:space="preserve">4.1 Neonatal Septic Shock — Clinical Signs by System</w:t>
      </w:r>
    </w:p>
    <w:p>
      <w:pPr>
        <w:spacing w:after="100"/>
      </w:pPr>
      <w:r>
        <w:rPr>
          <w:rFonts w:ascii="Arial" w:cs="Arial" w:eastAsia="Arial" w:hAnsi="Arial"/>
          <w:b w:val="false"/>
          <w:bCs w:val="false"/>
          <w:sz w:val="22"/>
          <w:szCs w:val="22"/>
        </w:rPr>
        <w:t xml:space="preserve">Neonatal septic shock is notorious for subtle and nonspecific early presentation. The adage 'a sick neonate looks sick' is true but not very helpful without knowing what to look for. The following systematic approach covers every organ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Early Signs (Compensated)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 Signs (Decompensated)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Signs (Pre-Terminal)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Cardiovascular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Tachycardia (HR &gt;180 term; &gt;190 preterm)</w:t>
            </w:r>
          </w:p>
        </w:tc>
        <w:tc>
          <w:tcPr>
            <w:tcW w:type="dxa" w:w="2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Mottling; prolonged CRT &gt;3 sec; hypotension; weak pulses</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Shock: cold extremities; non-palpable peripheral pulses; severe hypotension; bradycardia (ominous!)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Respiratory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Tachypnea (RR &gt;60); mild retractions; new need for FiO2 increase</w:t>
            </w:r>
          </w:p>
        </w:tc>
        <w:tc>
          <w:tcPr>
            <w:tcW w:type="dxa" w:w="2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Increased apnea; desaturation; grunting; significant retractions; CO2 retention</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Apnea requiring positive pressure; respiratory failure; PPHN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Neurologic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Irritability or lethargy; poor feeding; subtle tone changes</w:t>
            </w:r>
          </w:p>
        </w:tc>
        <w:tc>
          <w:tcPr>
            <w:tcW w:type="dxa" w:w="2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Marked hypotonia; poor suck/Moro reflex; decreased responsiveness; jitteriness</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Coma; seizures; bulging fontanelle (meningitis)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GI</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Poor feeding; mildly distended abdomen</w:t>
            </w:r>
          </w:p>
        </w:tc>
        <w:tc>
          <w:tcPr>
            <w:tcW w:type="dxa" w:w="2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Vomiting; increasing abdominal distension; bloody stools (NEC)</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Peritonitis; pneumoperitoneum (NEC perforation)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Skin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Pallor; slight mottling</w:t>
            </w:r>
          </w:p>
        </w:tc>
        <w:tc>
          <w:tcPr>
            <w:tcW w:type="dxa" w:w="2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Significant mottling; jaundice; petechiae; purpura (meningococcemia!)</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Purpura fulminans; ecchymosis; skin necrosis (DIC)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Temperature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Hyperthermia (term) OR hypothermia (preterm)</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Temperature instability; failure to maintain normal T with warming</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Persistent hypothermia; poikilothermia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Metabolic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Glucose instability (hypo OR hyperglycemia)</w:t>
            </w:r>
          </w:p>
        </w:tc>
        <w:tc>
          <w:tcPr>
            <w:tcW w:type="dxa" w:w="2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Progressive hypoglycemia; electrolyte abnormalities</w:t>
            </w:r>
          </w:p>
        </w:tc>
        <w:tc>
          <w:tcPr>
            <w:tcW w:type="dxa" w:w="2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Refractory hypoglycemia; severe electrolyte derangements; hypocalcemia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RURAL CONSIDERATION</w:t>
            </w:r>
          </w:p>
        </w:tc>
        <w:tc>
          <w:tcPr>
            <w:tcW w:type="dxa" w:w="8160"/>
            <w:tcBorders>
              <w:top w:val="single" w:color="2E75B6" w:sz="3"/>
              <w:left w:val="single" w:color="2E75B6" w:sz="3"/>
              <w:bottom w:val="single" w:color="2E75B6" w:sz="3"/>
              <w:right w:val="single" w:color="2E75B6" w:sz="3"/>
            </w:tcBorders>
            <w:shd w:fill="DDEEFF" w:val="clear"/>
            <w:tcMar>
              <w:top w:type="dxa" w:w="100"/>
              <w:left w:type="dxa" w:w="140"/>
              <w:bottom w:type="dxa" w:w="100"/>
              <w:right w:type="dxa" w:w="120"/>
            </w:tcMar>
          </w:tcPr>
          <w:p>
            <w:r>
              <w:rPr>
                <w:rFonts w:ascii="Arial" w:cs="Arial" w:eastAsia="Arial" w:hAnsi="Arial"/>
                <w:sz w:val="22"/>
                <w:szCs w:val="22"/>
              </w:rPr>
              <w:t xml:space="preserve">In a Level I nursery without 24-hour neonatology coverage, the nurse or family medicine provider who first notices 'the baby just doesn't look right' may be seeing the only early warning sign. Trust clinical gestalt. When a neonate 'seems off,' begin sepsis workup and initiate empiric antibiotics BEFORE the baby decompensates.</w:t>
            </w:r>
          </w:p>
        </w:tc>
      </w:tr>
    </w:tbl>
    <w:p>
      <w:pPr>
        <w:spacing w:after="80"/>
      </w:pPr>
      <w:r>
        <w:t xml:space="preserve"/>
      </w:r>
    </w:p>
    <w:p>
      <w:pPr>
        <w:pStyle w:val="Heading2"/>
      </w:pPr>
      <w:r>
        <w:rPr>
          <w:rFonts w:ascii="Arial" w:cs="Arial" w:eastAsia="Arial" w:hAnsi="Arial"/>
          <w:b/>
          <w:bCs/>
        </w:rPr>
        <w:t xml:space="preserve">4.2 Pediatric Septic Shock — Age-Stratified Vital Sign Thresholds</w:t>
      </w:r>
    </w:p>
    <w:p>
      <w:pPr>
        <w:spacing w:after="100"/>
      </w:pPr>
      <w:r>
        <w:rPr>
          <w:rFonts w:ascii="Arial" w:cs="Arial" w:eastAsia="Arial" w:hAnsi="Arial"/>
          <w:b w:val="false"/>
          <w:bCs w:val="false"/>
          <w:sz w:val="22"/>
          <w:szCs w:val="22"/>
        </w:rPr>
        <w:t xml:space="preserve">One of the most common errors in pediatric septic shock management is failing to recognize that normal vital signs are NOT the same across age groups. A heart rate of 120 in a neonate suggests relative bradycardia; in a 5-year-old, it is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960"/>
        <w:gridCol w:w="1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Tachycardia (HR)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Tachypnea (RR)</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Hypotension (SBP)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 SBP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Neonate (&lt;28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&gt;180 bpm (term) / &gt;190 (preterm)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&gt;60 breaths/min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&lt;60 mmHg (term)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60-90 mmHg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1-12 months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&gt;180 bpm</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&gt;50 breaths/min</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&lt;70 mmHg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70-100 mmHg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1-5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&gt;140 bpm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&gt;40 breaths/min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&lt;70 + (2 x age) mmHg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80-115 mmHg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6-12 years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&gt;130 bpm</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&gt;30 breaths/min</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&lt;90 mmHg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90-120 mmHg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&gt;12 years (adolescent)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&gt;110 bpm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&gt;20 breaths/min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&lt;90 mmHg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100-135 mmHg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In children, HYPOTENSION IS A LATE AND PRE-TERMINAL SIGN of septic shock. A child who is tachycardic, tachypneic, with prolonged capillary refill and altered mental status is IN SEPTIC SHOCK even with a normal blood pressure. Do not wait for hypotension to initiate resuscitation.</w:t>
            </w:r>
          </w:p>
        </w:tc>
      </w:tr>
    </w:tbl>
    <w:p>
      <w:pPr>
        <w:spacing w:after="80"/>
      </w:pPr>
      <w:r>
        <w:t xml:space="preserve"/>
      </w:r>
    </w:p>
    <w:p>
      <w:r>
        <w:br w:type="page"/>
      </w:r>
    </w:p>
    <w:p>
      <w:pPr>
        <w:pStyle w:val="Heading1"/>
      </w:pPr>
      <w:r>
        <w:rPr>
          <w:rFonts w:ascii="Arial" w:cs="Arial" w:eastAsia="Arial" w:hAnsi="Arial"/>
          <w:b/>
          <w:bCs/>
        </w:rPr>
        <w:t xml:space="preserve">Chapter 5: Management and Treatment — The Hour-By-Hour Protocol</w:t>
      </w:r>
    </w:p>
    <w:p>
      <w:pPr>
        <w:pStyle w:val="Heading2"/>
      </w:pPr>
      <w:r>
        <w:rPr>
          <w:rFonts w:ascii="Arial" w:cs="Arial" w:eastAsia="Arial" w:hAnsi="Arial"/>
          <w:b/>
          <w:bCs/>
        </w:rPr>
        <w:t xml:space="preserve">5.1 The Golden Hour — Time-Based Bundle Approach</w:t>
      </w:r>
    </w:p>
    <w:p>
      <w:pPr>
        <w:spacing w:after="100"/>
      </w:pPr>
      <w:r>
        <w:rPr>
          <w:rFonts w:ascii="Arial" w:cs="Arial" w:eastAsia="Arial" w:hAnsi="Arial"/>
          <w:b w:val="false"/>
          <w:bCs w:val="false"/>
          <w:sz w:val="22"/>
          <w:szCs w:val="22"/>
        </w:rPr>
        <w:t xml:space="preserve">The ACCM/PALS guidelines and the Surviving Sepsis Campaign Pediatric Guidelines both emphasize the importance of time-sensitive bundle care. The evidence consistently shows that every 30-minute delay in antibiotic administration and fluid resuscitation is associated with increased mortality. The goal is to complete the initial resuscitation bundle within the first hour of recognition.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Target/Goal</w:t>
            </w:r>
          </w:p>
        </w:tc>
      </w:tr>
      <w:tr>
        <w:tc>
          <w:tcPr>
            <w:tcW w:type="dxa" w:w="1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0-5 minutes</w:t>
            </w:r>
          </w:p>
        </w:tc>
        <w:tc>
          <w:tcPr>
            <w:tcW w:type="dxa" w:w="5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RECOGNITION — Identify sepsis/shock by clinical signs + vital signs. Call for help. Assign team roles.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2-provider minimum; assign recorder</w:t>
            </w:r>
          </w:p>
        </w:tc>
      </w:tr>
      <w:tr>
        <w:tc>
          <w:tcPr>
            <w:tcW w:type="dxa" w:w="1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0-10 minutes</w:t>
            </w:r>
          </w:p>
        </w:tc>
        <w:tc>
          <w:tcPr>
            <w:tcW w:type="dxa" w:w="5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AIRWAY &amp; BREATHING — Assess airway patency; apply 100% O2 via NRB or nasal cannula; prepare for intubation if RR inadequate, apnea, or severe distress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SpO2 &gt;94% (conservative target per SSC-Peds 2020)</w:t>
            </w:r>
          </w:p>
        </w:tc>
      </w:tr>
      <w:tr>
        <w:tc>
          <w:tcPr>
            <w:tcW w:type="dxa" w:w="1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0-10 minutes</w:t>
            </w:r>
          </w:p>
        </w:tc>
        <w:tc>
          <w:tcPr>
            <w:tcW w:type="dxa" w:w="5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VASCULAR ACCESS — IV (antecubital, saphenous, scalp in neonates) x 2; if unsuccessful after 90 seconds or 3 attempts: INTRAOSSEOUS (IO) access immediately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IO is equivalent to central access for resuscitation</w:t>
            </w:r>
          </w:p>
        </w:tc>
      </w:tr>
      <w:tr>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0-15 minutes</w:t>
            </w:r>
          </w:p>
        </w:tc>
        <w:tc>
          <w:tcPr>
            <w:tcW w:type="dxa" w:w="5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BLOOD CULTURES x 2 (aerobic/anaerobic) from separate sites; then IMMEDIATELY start antibiotics — do NOT delay antibiotics waiting for culture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Do not delay &gt;15 min for cultures; 1 set minimum</w:t>
            </w:r>
          </w:p>
        </w:tc>
      </w:tr>
      <w:tr>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0-15 minutes</w:t>
            </w:r>
          </w:p>
        </w:tc>
        <w:tc>
          <w:tcPr>
            <w:tcW w:type="dxa" w:w="5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LABS: CBC/diff, CMP, blood gas (VBG acceptable), lactate, glucose STAT, coagulation panel, blood type/screen, CRP/procalcitonin if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Point-of-care iStat/IRMA gives pH, BD, lactate immediately</w:t>
            </w:r>
          </w:p>
        </w:tc>
      </w:tr>
      <w:tr>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0-15 minutes</w:t>
            </w:r>
          </w:p>
        </w:tc>
        <w:tc>
          <w:tcPr>
            <w:tcW w:type="dxa" w:w="5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FLUID RESUSCITATION: 10-20 mL/kg NS or LR IV bolus over 10-20 minutes; reassess after EACH bolus; titrate to clinical response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Target: CRT &lt;2 sec; HR normal for age; improved mental status</w:t>
            </w:r>
          </w:p>
        </w:tc>
      </w:tr>
      <w:tr>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15-30 minutes</w:t>
            </w:r>
          </w:p>
        </w:tc>
        <w:tc>
          <w:tcPr>
            <w:tcW w:type="dxa" w:w="5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ANTIBIOTICS: Administer empiric antibiotics IV STAT (see Chapter 5.3 for age-specific choices)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Antibiotic within 1 hour of recognition; earlier is better</w:t>
            </w:r>
          </w:p>
        </w:tc>
      </w:tr>
      <w:tr>
        <w:tc>
          <w:tcPr>
            <w:tcW w:type="dxa" w:w="16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15-60 minutes</w:t>
            </w:r>
          </w:p>
        </w:tc>
        <w:tc>
          <w:tcPr>
            <w:tcW w:type="dxa" w:w="5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VASOPRESSORS: If fluid-refractory shock after 40-60 mL/kg total fluids (or earlier if cardiac dysfunction suspected), initiate dopamine or epinephrine peripheral IV/IO</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Dopamine 5-10 mcg/kg/min OR epinephrine 0.05-0.1 mcg/kg/min</w:t>
            </w:r>
          </w:p>
        </w:tc>
      </w:tr>
      <w:tr>
        <w:tc>
          <w:tcPr>
            <w:tcW w:type="dxa" w:w="16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0-60 minutes</w:t>
            </w:r>
          </w:p>
        </w:tc>
        <w:tc>
          <w:tcPr>
            <w:tcW w:type="dxa" w:w="5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GLUCOSE: Check glucose every 30 min; treat hypoglycemia (glucose &lt;50 mg/dL neonates; &lt;60 mg/dL older) with D10W 2 mL/kg IV push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Maintain glucose 70-150 mg/dL</w:t>
            </w:r>
          </w:p>
        </w:tc>
      </w:tr>
      <w:tr>
        <w:tc>
          <w:tcPr>
            <w:tcW w:type="dxa" w:w="16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0-60 minutes</w:t>
            </w:r>
          </w:p>
        </w:tc>
        <w:tc>
          <w:tcPr>
            <w:tcW w:type="dxa" w:w="5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TRANSPORT: Activate transport team at time of recognition if beyond Level I/II capability; do not wait for full stabilization to call</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"Call early, call often" — stabilize while transport is en route</w:t>
            </w:r>
          </w:p>
        </w:tc>
      </w:tr>
    </w:tbl>
    <w:p>
      <w:pPr>
        <w:spacing w:after="80"/>
      </w:pPr>
      <w:r>
        <w:t xml:space="preserve"/>
      </w:r>
    </w:p>
    <w:p>
      <w:pPr>
        <w:pStyle w:val="Heading2"/>
      </w:pPr>
      <w:r>
        <w:rPr>
          <w:rFonts w:ascii="Arial" w:cs="Arial" w:eastAsia="Arial" w:hAnsi="Arial"/>
          <w:b/>
          <w:bCs/>
        </w:rPr>
        <w:t xml:space="preserve">5.2 Fluid Resuscitation — Evidence-Based Approach for Neonates and Pediatrics</w:t>
      </w:r>
    </w:p>
    <w:p>
      <w:pPr>
        <w:pStyle w:val="Heading3"/>
      </w:pPr>
      <w:r>
        <w:rPr>
          <w:rFonts w:ascii="Arial" w:cs="Arial" w:eastAsia="Arial" w:hAnsi="Arial"/>
          <w:b/>
          <w:bCs/>
        </w:rPr>
        <w:t xml:space="preserve">5.2.1 Fluid Choice: Balanced Crystalloids vs. Normal Saline</w:t>
      </w:r>
    </w:p>
    <w:p>
      <w:pPr>
        <w:spacing w:after="100"/>
      </w:pPr>
      <w:r>
        <w:rPr>
          <w:rFonts w:ascii="Arial" w:cs="Arial" w:eastAsia="Arial" w:hAnsi="Arial"/>
          <w:b w:val="false"/>
          <w:bCs w:val="false"/>
          <w:sz w:val="22"/>
          <w:szCs w:val="22"/>
        </w:rPr>
        <w:t xml:space="preserve">The 2020 Surviving Sepsis Campaign Pediatric Guidelines recommend balanced or buffered crystalloid solutions (Lactated Ringer's, Hartmann's, PlasmaLyte) over 0.9% normal saline for fluid resuscitation in pediatric septic shock, where available. However, 0.9% NS is acceptable when balanced crystalloids are not available.</w:t>
      </w:r>
    </w:p>
    <w:p>
      <w:pPr>
        <w:spacing w:after="100"/>
      </w:pPr>
      <w:r>
        <w:rPr>
          <w:rFonts w:ascii="Arial" w:cs="Arial" w:eastAsia="Arial" w:hAnsi="Arial"/>
          <w:b w:val="false"/>
          <w:bCs w:val="false"/>
          <w:sz w:val="22"/>
          <w:szCs w:val="22"/>
        </w:rPr>
        <w:t xml:space="preserve">Rationale for balanced crystalloids: Large volumes of 0.9% NS produce hyperchloremic non-anion gap metabolic acidosis (excess chloride competes with bicarbonate), which can worsen the pre-existing metabolic acidosis of septic shock and impair renal function. Balanced solutions contain chloride concentrations closer to physiologic (109 mEq/L for LR vs. 154 mEq/L for NS).</w:t>
      </w:r>
    </w:p>
    <w:p>
      <w:pPr>
        <w:pStyle w:val="Heading3"/>
      </w:pPr>
      <w:r>
        <w:rPr>
          <w:rFonts w:ascii="Arial" w:cs="Arial" w:eastAsia="Arial" w:hAnsi="Arial"/>
          <w:b/>
          <w:bCs/>
        </w:rPr>
        <w:t xml:space="preserve">5.2.2 Fluid Volume — Age-Specific Guidance</w:t>
      </w:r>
    </w:p>
    <w:p>
      <w:pPr>
        <w:spacing w:after="100"/>
      </w:pPr>
      <w:r>
        <w:rPr>
          <w:rFonts w:ascii="Arial" w:cs="Arial" w:eastAsia="Arial" w:hAnsi="Arial"/>
          <w:b w:val="false"/>
          <w:bCs w:val="false"/>
          <w:sz w:val="22"/>
          <w:szCs w:val="22"/>
        </w:rPr>
        <w:t xml:space="preserve">The volume and rate of fluid administration must be carefully titrated in neonates, particularly preterm infants, because of unique risks:</w:t>
      </w:r>
    </w:p>
    <w:p>
      <w:pPr>
        <w:pStyle w:val="ListParagraph"/>
        <w:numPr>
          <w:ilvl w:val="0"/>
          <w:numId w:val="2"/>
        </w:numPr>
        <w:spacing w:after="60"/>
      </w:pPr>
      <w:r>
        <w:rPr>
          <w:rFonts w:ascii="Arial" w:cs="Arial" w:eastAsia="Arial" w:hAnsi="Arial"/>
          <w:sz w:val="22"/>
          <w:szCs w:val="22"/>
        </w:rPr>
        <w:t xml:space="preserve">Term neonates and children: 10-20 mL/kg bolus over 15-30 minutes; reassess; up to 40-60 mL/kg total in first hour if signs of hypoperfusion persist</w:t>
      </w:r>
    </w:p>
    <w:p>
      <w:pPr>
        <w:pStyle w:val="ListParagraph"/>
        <w:numPr>
          <w:ilvl w:val="0"/>
          <w:numId w:val="2"/>
        </w:numPr>
        <w:spacing w:after="60"/>
      </w:pPr>
      <w:r>
        <w:rPr>
          <w:rFonts w:ascii="Arial" w:cs="Arial" w:eastAsia="Arial" w:hAnsi="Arial"/>
          <w:sz w:val="22"/>
          <w:szCs w:val="22"/>
        </w:rPr>
        <w:t xml:space="preserve">Preterm neonates (especially &lt;30 weeks): A single bolus of 10-20 mL/kg over 30-60 minutes is appropriate as the initial intervention; rapid or large-volume fluid administration in very preterm neonates risks IVH, PDA exacerbation, and pulmonary edema</w:t>
      </w:r>
    </w:p>
    <w:p>
      <w:pPr>
        <w:pStyle w:val="ListParagraph"/>
        <w:numPr>
          <w:ilvl w:val="0"/>
          <w:numId w:val="2"/>
        </w:numPr>
        <w:spacing w:after="60"/>
      </w:pPr>
      <w:r>
        <w:rPr>
          <w:rFonts w:ascii="Arial" w:cs="Arial" w:eastAsia="Arial" w:hAnsi="Arial"/>
          <w:sz w:val="22"/>
          <w:szCs w:val="22"/>
        </w:rPr>
        <w:t xml:space="preserve">Assessment after each bolus: If CRT is improving, HR normalizing, mental status improving — the baby is responding. If not improving after 40-60 mL/kg — this is FLUID-REFRACTORY SHOCK; initiate vasopressors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RURAL CONSIDERATION</w:t>
            </w:r>
          </w:p>
        </w:tc>
        <w:tc>
          <w:tcPr>
            <w:tcW w:type="dxa" w:w="8160"/>
            <w:tcBorders>
              <w:top w:val="single" w:color="2E75B6" w:sz="3"/>
              <w:left w:val="single" w:color="2E75B6" w:sz="3"/>
              <w:bottom w:val="single" w:color="2E75B6" w:sz="3"/>
              <w:right w:val="single" w:color="2E75B6" w:sz="3"/>
            </w:tcBorders>
            <w:shd w:fill="DDEEFF" w:val="clear"/>
            <w:tcMar>
              <w:top w:type="dxa" w:w="100"/>
              <w:left w:type="dxa" w:w="140"/>
              <w:bottom w:type="dxa" w:w="100"/>
              <w:right w:type="dxa" w:w="120"/>
            </w:tcMar>
          </w:tcPr>
          <w:p>
            <w:r>
              <w:rPr>
                <w:rFonts w:ascii="Arial" w:cs="Arial" w:eastAsia="Arial" w:hAnsi="Arial"/>
                <w:sz w:val="22"/>
                <w:szCs w:val="22"/>
              </w:rPr>
              <w:t xml:space="preserve">The SSC Pediatric Guidelines note that in healthcare settings WITHOUT intensive care availability, fluid bolus therapy should be more conservative. Rural Level I/II nurseries without PICU back-up capability should err toward earlier vasopressor initiation and smaller fluid volumes, recognizing that fluid overload can worsen outcomes in neonates.</w:t>
            </w:r>
          </w:p>
        </w:tc>
      </w:tr>
    </w:tbl>
    <w:p>
      <w:pPr>
        <w:spacing w:after="80"/>
      </w:pPr>
      <w:r>
        <w:t xml:space="preserve"/>
      </w:r>
    </w:p>
    <w:p>
      <w:pPr>
        <w:pStyle w:val="Heading2"/>
      </w:pPr>
      <w:r>
        <w:rPr>
          <w:rFonts w:ascii="Arial" w:cs="Arial" w:eastAsia="Arial" w:hAnsi="Arial"/>
          <w:b/>
          <w:bCs/>
        </w:rPr>
        <w:t xml:space="preserve">5.3 Empiric Antibiotic Therapy — Age-Stratified Selection</w:t>
      </w:r>
    </w:p>
    <w:p>
      <w:pPr>
        <w:spacing w:after="100"/>
      </w:pPr>
      <w:r>
        <w:rPr>
          <w:rFonts w:ascii="Arial" w:cs="Arial" w:eastAsia="Arial" w:hAnsi="Arial"/>
          <w:b w:val="false"/>
          <w:bCs w:val="false"/>
          <w:sz w:val="22"/>
          <w:szCs w:val="22"/>
        </w:rPr>
        <w:t xml:space="preserve">Antibiotic selection must be initiated empirically before culture results return. The choice is guided by age (which predicts the most likely organisms) and the clinical context (community-acquired vs. healthcare-associated; immunocompromised; prior antibiotic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 / Context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Most Likely Organisms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Empiric Antibiotic Regimen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Neonatal EOS (&lt;72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GBS (S. agalactiae), E. coli, Listeria monocytogenes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Ampicillin 50-100 mg/kg IV q8-12h + Gentamicin 4-5 mg/kg IV q24-48h (extended interval dosing)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Add acyclovir if HSV encephalitis suspected; add cefotaxime if meningitis suspected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Neonatal LOS (&gt;72h) — community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GBS, S. aureus (MSSA), E. coli, Klebsiella</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Ampicillin 50 mg/kg IV q6-8h + Gentamicin 4-5 mg/kg IV q24-48h</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If MRSA risk (prior MRSA contact, NICU exposure): replace ampicillin with vancomycin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Neonatal LOS — NICU/healthcare-associated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CoNS, MRSA, Klebsiella, Pseudomonas, Enterobacter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Vancomycin 15-20 mg/kg IV q6-8h + Gentamicin 4-5 mg/kg IV q24-48h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If Pseudomonas risk: add piperacillin-tazobactam or cefepime; evaluate line for removal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Infant 1-3 months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GBS, E. coli, S. pneumoniae, Listeria, S. aureus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Ampicillin 50 mg/kg IV q6h + Cefotaxime 50 mg/kg IV q6-8h (or Gentamicin if renal concerns)</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Broader coverage for meningitis consideration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Child 3 months - 12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 pneumoniae, N. meningitidis, S. aureus (MSSA/MRSA), E. coli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Ceftriaxone 50-100 mg/kg IV q24h (max 2g) + Vancomycin 15-20 mg/kg IV q6h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If meningococcemia: penicillin G when sensitivity known; add doxycycline if rickettsial disease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Adolescent (&gt;12 years)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 meningitidis, S. aureus, S. pneumoniae, enteric GN</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Ceftriaxone 2g IV q12-24h + Vancomycin 25-30 mg/kg/day divided q6h + consider metronidazole if abdominal source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AUC/MIC vancomycin dosing preferred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Source control is as important as antibiotics. If the infant has a central venous catheter (PICC, UVC, UAC), the line is a presumptive source for LOS until proven otherwise. Discuss line removal with the receiving NICU promptly. For older children: drain any abscess, decompress compartments, decompress obstructed urinary tract.</w:t>
            </w:r>
          </w:p>
        </w:tc>
      </w:tr>
    </w:tbl>
    <w:p>
      <w:pPr>
        <w:spacing w:after="80"/>
      </w:pPr>
      <w:r>
        <w:t xml:space="preserve"/>
      </w:r>
    </w:p>
    <w:p>
      <w:pPr>
        <w:pStyle w:val="Heading2"/>
      </w:pPr>
      <w:r>
        <w:rPr>
          <w:rFonts w:ascii="Arial" w:cs="Arial" w:eastAsia="Arial" w:hAnsi="Arial"/>
          <w:b/>
          <w:bCs/>
        </w:rPr>
        <w:t xml:space="preserve">5.4 Vasopressor and Inotrope Therapy</w:t>
      </w:r>
    </w:p>
    <w:p>
      <w:pPr>
        <w:pStyle w:val="Heading3"/>
      </w:pPr>
      <w:r>
        <w:rPr>
          <w:rFonts w:ascii="Arial" w:cs="Arial" w:eastAsia="Arial" w:hAnsi="Arial"/>
          <w:b/>
          <w:bCs/>
        </w:rPr>
        <w:t xml:space="preserve">5.4.1 When to Initiate Vasopressors</w:t>
      </w:r>
    </w:p>
    <w:p>
      <w:pPr>
        <w:spacing w:after="100"/>
      </w:pPr>
      <w:r>
        <w:rPr>
          <w:rFonts w:ascii="Arial" w:cs="Arial" w:eastAsia="Arial" w:hAnsi="Arial"/>
          <w:b w:val="false"/>
          <w:bCs w:val="false"/>
          <w:sz w:val="22"/>
          <w:szCs w:val="22"/>
        </w:rPr>
        <w:t xml:space="preserve">Vasopressors should be initiated when shock persists despite adequate fluid resuscitation (40-60 mL/kg total in the first hour for children; 20-40 mL/kg for term neonates; 10-20 mL/kg for preterm neonates). In clinical practice, vasopressors are often indicated EARLIER in:</w:t>
      </w:r>
    </w:p>
    <w:p>
      <w:pPr>
        <w:pStyle w:val="ListParagraph"/>
        <w:numPr>
          <w:ilvl w:val="0"/>
          <w:numId w:val="2"/>
        </w:numPr>
        <w:spacing w:after="60"/>
      </w:pPr>
      <w:r>
        <w:rPr>
          <w:rFonts w:ascii="Arial" w:cs="Arial" w:eastAsia="Arial" w:hAnsi="Arial"/>
          <w:sz w:val="22"/>
          <w:szCs w:val="22"/>
        </w:rPr>
        <w:t xml:space="preserve">Very preterm neonates (fluid-refractory shock often occurs very quickly; vasopressors should be available and ready from the outset)</w:t>
      </w:r>
    </w:p>
    <w:p>
      <w:pPr>
        <w:pStyle w:val="ListParagraph"/>
        <w:numPr>
          <w:ilvl w:val="0"/>
          <w:numId w:val="2"/>
        </w:numPr>
        <w:spacing w:after="60"/>
      </w:pPr>
      <w:r>
        <w:rPr>
          <w:rFonts w:ascii="Arial" w:cs="Arial" w:eastAsia="Arial" w:hAnsi="Arial"/>
          <w:sz w:val="22"/>
          <w:szCs w:val="22"/>
        </w:rPr>
        <w:t xml:space="preserve">Any patient with signs of cardiac dysfunction (cardiomegaly, hepatomegaly, poor contractility on ECHO — do not keep bolusing a failing heart)</w:t>
      </w:r>
    </w:p>
    <w:p>
      <w:pPr>
        <w:pStyle w:val="ListParagraph"/>
        <w:numPr>
          <w:ilvl w:val="0"/>
          <w:numId w:val="2"/>
        </w:numPr>
        <w:spacing w:after="60"/>
      </w:pPr>
      <w:r>
        <w:rPr>
          <w:rFonts w:ascii="Arial" w:cs="Arial" w:eastAsia="Arial" w:hAnsi="Arial"/>
          <w:sz w:val="22"/>
          <w:szCs w:val="22"/>
        </w:rPr>
        <w:t xml:space="preserve">Patients in whom fluid overload would be catastrophic (severe ARDS, known congenital heart disease)</w:t>
      </w:r>
    </w:p>
    <w:p>
      <w:pPr>
        <w:pStyle w:val="Heading3"/>
      </w:pPr>
      <w:r>
        <w:rPr>
          <w:rFonts w:ascii="Arial" w:cs="Arial" w:eastAsia="Arial" w:hAnsi="Arial"/>
          <w:b/>
          <w:bCs/>
        </w:rPr>
        <w:t xml:space="preserve">5.4.2 Vasopressor and Inotrope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2000"/>
        <w:gridCol w:w="1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Dose Range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Effect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 in Septic Shock</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Dopamine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5-20 mcg/kg/min IV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Low dose: dopaminergic (renal); Mid 5-15: inotrope + vasopressor; High &gt;15: alpha vasopressor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FIRST-LINE in neonates and children (historical ACCM recommendation); remains most-used neonatal vasopressor (92% of episodes in multicenter 2023 cohort)</w:t>
            </w:r>
          </w:p>
        </w:tc>
        <w:tc>
          <w:tcPr>
            <w:tcW w:type="dxa" w:w="1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Mortality higher with epinephrine alone vs. dopamine alone in neonates (aOR 4.7, Foote 2023)</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Epinephrine (Adrenaline)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0.05-1 mcg/kg/min IV</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Low dose (&lt;0.1): beta-dominant (inotrope + vasodilator); High dose (&gt;0.3): alpha-dominant vasoconstrictor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Cold shock with low CO; catecholamine-resistant shock; anaphylaxis component</w:t>
            </w:r>
          </w:p>
        </w:tc>
        <w:tc>
          <w:tcPr>
            <w:tcW w:type="dxa" w:w="1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SSC-Peds 2020: suggests epinephrine/norepinephrine over dopamine as first-line; NICUs still commonly use dopamine; use clinical judgment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Norepinephrine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0.05-2 mcg/kg/min IV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Potent alpha vasoconstrictor; moderate beta-1 inotropy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Warm/distributive shock; vasodilatory shock; older children and adolescents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Preferred for hyperdynamic warm shock with low SVR; less evidence base in neonates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Dobutamine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5-20 mcg/kg/min IV</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Beta-1 inotrope; beta-2 vasodilator (lowers SVR)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Cardiogenic component; myocardial depression; cold shock with adequate filling pressure</w:t>
            </w:r>
          </w:p>
        </w:tc>
        <w:tc>
          <w:tcPr>
            <w:tcW w:type="dxa" w:w="1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Combine with dopamine/NE if both cardiac dysfunction and low SVR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Vasopressin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0.03-0.06 units/min IV (fixed dose)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V1R-mediated vasoconstriction; spares pulmonary vascular resistance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Catecholamine-resistant shock; septic shock with low SVR refractory to NE/dopamine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Pediatric evidence limited; use in refractory cases; potentiates catecholamines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Hydrocortisone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1-2 mg/kg IV q6-8h (stress dose)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Corticosteroid: restores vasopressor sensitivity; anti-inflammatory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Relative adrenal insufficiency; refractory shock; history of steroid use</w:t>
            </w:r>
          </w:p>
        </w:tc>
        <w:tc>
          <w:tcPr>
            <w:tcW w:type="dxa" w:w="1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Adjuvant hydrocortisone in neonatal septic shock associated with significantly lower mortality (aOR 0.60, Foote 2023)</w:t>
            </w:r>
          </w:p>
        </w:tc>
      </w:tr>
      <w:tr>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val="false"/>
                <w:bCs w:val="false"/>
                <w:sz w:val="20"/>
                <w:szCs w:val="20"/>
              </w:rPr>
              <w:t xml:space="preserve">Milrinone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0.25-0.75 mcg/kg/min IV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PDE-3 inhibitor: inotrope + vasodilator (lusitropy)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Cold shock with high SVR; post-cardiac surgery; septic cardiomyopathy</w:t>
            </w:r>
          </w:p>
        </w:tc>
        <w:tc>
          <w:tcPr>
            <w:tcW w:type="dxa" w:w="1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Use with CAUTION in hypotension — vasodilating effect may worsen shock; requires adequate MAP first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All vasoactive medications for septic shock must be administered via secure IV or IO access. Peripheral IV administration of dopamine and epinephrine is acceptable in the acute resuscitation setting when central access is unavailable — but monitor the site closely for extravasation. If extravasation occurs with dopamine, inject phentolamine 0.1-0.2 mg/kg intradermally around the site.</w:t>
            </w:r>
          </w:p>
        </w:tc>
      </w:tr>
    </w:tbl>
    <w:p>
      <w:pPr>
        <w:spacing w:after="80"/>
      </w:pPr>
      <w:r>
        <w:t xml:space="preserve"/>
      </w:r>
    </w:p>
    <w:p>
      <w:pPr>
        <w:pStyle w:val="Heading2"/>
      </w:pPr>
      <w:r>
        <w:rPr>
          <w:rFonts w:ascii="Arial" w:cs="Arial" w:eastAsia="Arial" w:hAnsi="Arial"/>
          <w:b/>
          <w:bCs/>
        </w:rPr>
        <w:t xml:space="preserve">5.5 Additional Resuscitation Measures</w:t>
      </w:r>
    </w:p>
    <w:p>
      <w:pPr>
        <w:pStyle w:val="Heading3"/>
      </w:pPr>
      <w:r>
        <w:rPr>
          <w:rFonts w:ascii="Arial" w:cs="Arial" w:eastAsia="Arial" w:hAnsi="Arial"/>
          <w:b/>
          <w:bCs/>
        </w:rPr>
        <w:t xml:space="preserve">5.5.1 Glucose Management</w:t>
      </w:r>
    </w:p>
    <w:p>
      <w:pPr>
        <w:spacing w:after="100"/>
      </w:pPr>
      <w:r>
        <w:rPr>
          <w:rFonts w:ascii="Arial" w:cs="Arial" w:eastAsia="Arial" w:hAnsi="Arial"/>
          <w:b w:val="false"/>
          <w:bCs w:val="false"/>
          <w:sz w:val="22"/>
          <w:szCs w:val="22"/>
        </w:rPr>
        <w:t xml:space="preserve">Hypoglycemia and hyperglycemia are both common in septic neonates and children, and both worsen outcomes. Neonatal glycogen stores are limited and are rapidly depleted during the metabolic stress of sepsis. Hypoglycemia (glucose &lt;50 mg/dL in neonates, &lt;60 in older infants) must be treated immediately:</w:t>
      </w:r>
    </w:p>
    <w:p>
      <w:pPr>
        <w:pStyle w:val="ListParagraph"/>
        <w:numPr>
          <w:ilvl w:val="0"/>
          <w:numId w:val="2"/>
        </w:numPr>
        <w:spacing w:after="60"/>
      </w:pPr>
      <w:r>
        <w:rPr>
          <w:rFonts w:ascii="Arial" w:cs="Arial" w:eastAsia="Arial" w:hAnsi="Arial"/>
          <w:sz w:val="22"/>
          <w:szCs w:val="22"/>
        </w:rPr>
        <w:t xml:space="preserve">Dextrose 10% (D10W) 2 mL/kg IV push over 2-3 minutes, followed by continuous D10W infusion at maintenance rate</w:t>
      </w:r>
    </w:p>
    <w:p>
      <w:pPr>
        <w:pStyle w:val="ListParagraph"/>
        <w:numPr>
          <w:ilvl w:val="0"/>
          <w:numId w:val="2"/>
        </w:numPr>
        <w:spacing w:after="60"/>
      </w:pPr>
      <w:r>
        <w:rPr>
          <w:rFonts w:ascii="Arial" w:cs="Arial" w:eastAsia="Arial" w:hAnsi="Arial"/>
          <w:sz w:val="22"/>
          <w:szCs w:val="22"/>
        </w:rPr>
        <w:t xml:space="preserve">Goal glucose: 70-150 mg/dL in neonates; 70-180 mg/dL in older children during acute sepsis</w:t>
      </w:r>
    </w:p>
    <w:p>
      <w:pPr>
        <w:pStyle w:val="ListParagraph"/>
        <w:numPr>
          <w:ilvl w:val="0"/>
          <w:numId w:val="2"/>
        </w:numPr>
        <w:spacing w:after="60"/>
      </w:pPr>
      <w:r>
        <w:rPr>
          <w:rFonts w:ascii="Arial" w:cs="Arial" w:eastAsia="Arial" w:hAnsi="Arial"/>
          <w:sz w:val="22"/>
          <w:szCs w:val="22"/>
        </w:rPr>
        <w:t xml:space="preserve">Check glucose every 30 minutes during acute resuscitation</w:t>
      </w:r>
    </w:p>
    <w:p>
      <w:pPr>
        <w:pStyle w:val="Heading3"/>
      </w:pPr>
      <w:r>
        <w:rPr>
          <w:rFonts w:ascii="Arial" w:cs="Arial" w:eastAsia="Arial" w:hAnsi="Arial"/>
          <w:b/>
          <w:bCs/>
        </w:rPr>
        <w:t xml:space="preserve">5.5.2 Calcium Management</w:t>
      </w:r>
    </w:p>
    <w:p>
      <w:pPr>
        <w:spacing w:after="100"/>
      </w:pPr>
      <w:r>
        <w:rPr>
          <w:rFonts w:ascii="Arial" w:cs="Arial" w:eastAsia="Arial" w:hAnsi="Arial"/>
          <w:b w:val="false"/>
          <w:bCs w:val="false"/>
          <w:sz w:val="22"/>
          <w:szCs w:val="22"/>
        </w:rPr>
        <w:t xml:space="preserve">Ionized hypocalcemia is common in septic neonates (normal ionized calcium: 1.1-1.4 mmol/L; neonatal: 1.0-1.3 mmol/L). Calcium is essential for myocardial contractility and vascular tone. In any neonate with poor cardiac function or refractory shock, check ionized calcium and replace if &lt;1.0 mmol/L:</w:t>
      </w:r>
    </w:p>
    <w:p>
      <w:pPr>
        <w:pStyle w:val="ListParagraph"/>
        <w:numPr>
          <w:ilvl w:val="0"/>
          <w:numId w:val="2"/>
        </w:numPr>
        <w:spacing w:after="60"/>
      </w:pPr>
      <w:r>
        <w:rPr>
          <w:rFonts w:ascii="Arial" w:cs="Arial" w:eastAsia="Arial" w:hAnsi="Arial"/>
          <w:sz w:val="22"/>
          <w:szCs w:val="22"/>
        </w:rPr>
        <w:t xml:space="preserve">Calcium gluconate 100-200 mg/kg IV over 30 minutes (10% solution provides 9 mg/mL elemental calcium)</w:t>
      </w:r>
    </w:p>
    <w:p>
      <w:pPr>
        <w:pStyle w:val="ListParagraph"/>
        <w:numPr>
          <w:ilvl w:val="0"/>
          <w:numId w:val="2"/>
        </w:numPr>
        <w:spacing w:after="60"/>
      </w:pPr>
      <w:r>
        <w:rPr>
          <w:rFonts w:ascii="Arial" w:cs="Arial" w:eastAsia="Arial" w:hAnsi="Arial"/>
          <w:sz w:val="22"/>
          <w:szCs w:val="22"/>
        </w:rPr>
        <w:t xml:space="preserve">Do NOT administer calcium gluconate peripherally if possible — extravasation causes severe tissue necrosis</w:t>
      </w:r>
    </w:p>
    <w:p>
      <w:pPr>
        <w:pStyle w:val="Heading3"/>
      </w:pPr>
      <w:r>
        <w:rPr>
          <w:rFonts w:ascii="Arial" w:cs="Arial" w:eastAsia="Arial" w:hAnsi="Arial"/>
          <w:b/>
          <w:bCs/>
        </w:rPr>
        <w:t xml:space="preserve">5.5.3 Blood Product Transfusion</w:t>
      </w:r>
    </w:p>
    <w:p>
      <w:pPr>
        <w:pStyle w:val="ListParagraph"/>
        <w:numPr>
          <w:ilvl w:val="0"/>
          <w:numId w:val="2"/>
        </w:numPr>
        <w:spacing w:after="60"/>
      </w:pPr>
      <w:r>
        <w:rPr>
          <w:rFonts w:ascii="Arial" w:cs="Arial" w:eastAsia="Arial" w:hAnsi="Arial"/>
          <w:sz w:val="22"/>
          <w:szCs w:val="22"/>
        </w:rPr>
        <w:t xml:space="preserve">PRBC: Transfuse if Hgb &lt;7 g/dL (or &lt;10 g/dL if cardiac compromise); target Hgb &gt;10 in active resuscitation</w:t>
      </w:r>
    </w:p>
    <w:p>
      <w:pPr>
        <w:pStyle w:val="ListParagraph"/>
        <w:numPr>
          <w:ilvl w:val="0"/>
          <w:numId w:val="2"/>
        </w:numPr>
        <w:spacing w:after="60"/>
      </w:pPr>
      <w:r>
        <w:rPr>
          <w:rFonts w:ascii="Arial" w:cs="Arial" w:eastAsia="Arial" w:hAnsi="Arial"/>
          <w:sz w:val="22"/>
          <w:szCs w:val="22"/>
        </w:rPr>
        <w:t xml:space="preserve">FFP 10-15 mL/kg: For active bleeding with PT/PTT &gt;1.5x normal, or DIC with hemorrhage risk</w:t>
      </w:r>
    </w:p>
    <w:p>
      <w:pPr>
        <w:pStyle w:val="ListParagraph"/>
        <w:numPr>
          <w:ilvl w:val="0"/>
          <w:numId w:val="2"/>
        </w:numPr>
        <w:spacing w:after="60"/>
      </w:pPr>
      <w:r>
        <w:rPr>
          <w:rFonts w:ascii="Arial" w:cs="Arial" w:eastAsia="Arial" w:hAnsi="Arial"/>
          <w:sz w:val="22"/>
          <w:szCs w:val="22"/>
        </w:rPr>
        <w:t xml:space="preserve">Platelets 10-20 mL/kg: For platelet count &lt;50,000 with active bleeding OR &lt;20,000 in premature neonate (DIC-associated thrombocytopenia)</w:t>
      </w:r>
    </w:p>
    <w:p>
      <w:pPr>
        <w:pStyle w:val="ListParagraph"/>
        <w:numPr>
          <w:ilvl w:val="0"/>
          <w:numId w:val="2"/>
        </w:numPr>
        <w:spacing w:after="60"/>
      </w:pPr>
      <w:r>
        <w:rPr>
          <w:rFonts w:ascii="Arial" w:cs="Arial" w:eastAsia="Arial" w:hAnsi="Arial"/>
          <w:sz w:val="22"/>
          <w:szCs w:val="22"/>
        </w:rPr>
        <w:t xml:space="preserve">Cryoprecipitate 5-10 mL/kg: For fibrinogen &lt;100 mg/dL with active bleeding</w:t>
      </w:r>
    </w:p>
    <w:p>
      <w:r>
        <w:br w:type="page"/>
      </w:r>
    </w:p>
    <w:p>
      <w:pPr>
        <w:pStyle w:val="Heading1"/>
      </w:pPr>
      <w:r>
        <w:rPr>
          <w:rFonts w:ascii="Arial" w:cs="Arial" w:eastAsia="Arial" w:hAnsi="Arial"/>
          <w:b/>
          <w:bCs/>
        </w:rPr>
        <w:t xml:space="preserve">Chapter 6: Special Populations and Considerations</w:t>
      </w:r>
    </w:p>
    <w:p>
      <w:pPr>
        <w:pStyle w:val="Heading2"/>
      </w:pPr>
      <w:r>
        <w:rPr>
          <w:rFonts w:ascii="Arial" w:cs="Arial" w:eastAsia="Arial" w:hAnsi="Arial"/>
          <w:b/>
          <w:bCs/>
        </w:rPr>
        <w:t xml:space="preserve">6.1 The Very Premature Neonate (&lt;32 Weeks) in Septic Shock</w:t>
      </w:r>
    </w:p>
    <w:p>
      <w:pPr>
        <w:spacing w:after="100"/>
      </w:pPr>
      <w:r>
        <w:rPr>
          <w:rFonts w:ascii="Arial" w:cs="Arial" w:eastAsia="Arial" w:hAnsi="Arial"/>
          <w:b w:val="false"/>
          <w:bCs w:val="false"/>
          <w:sz w:val="22"/>
          <w:szCs w:val="22"/>
        </w:rPr>
        <w:t xml:space="preserve">Premature neonates present unique physiologic challenges in septic shock management. Their cardiovascular response differs fundamentally from term neonates and children:</w:t>
      </w:r>
    </w:p>
    <w:p>
      <w:pPr>
        <w:pStyle w:val="ListParagraph"/>
        <w:numPr>
          <w:ilvl w:val="0"/>
          <w:numId w:val="2"/>
        </w:numPr>
        <w:spacing w:after="60"/>
      </w:pPr>
      <w:r>
        <w:rPr>
          <w:rFonts w:ascii="Arial" w:cs="Arial" w:eastAsia="Arial" w:hAnsi="Arial"/>
          <w:sz w:val="22"/>
          <w:szCs w:val="22"/>
        </w:rPr>
        <w:t xml:space="preserve">The immature myocardium has reduced calcium stores, fewer mitochondria, and less contractile reserve than the term heart.</w:t>
      </w:r>
    </w:p>
    <w:p>
      <w:pPr>
        <w:pStyle w:val="ListParagraph"/>
        <w:numPr>
          <w:ilvl w:val="0"/>
          <w:numId w:val="2"/>
        </w:numPr>
        <w:spacing w:after="60"/>
      </w:pPr>
      <w:r>
        <w:rPr>
          <w:rFonts w:ascii="Arial" w:cs="Arial" w:eastAsia="Arial" w:hAnsi="Arial"/>
          <w:sz w:val="22"/>
          <w:szCs w:val="22"/>
        </w:rPr>
        <w:t xml:space="preserve">Systemic vascular resistance in the premature neonate is relatively low at baseline (partially maintained by indomethacin/PDA physiology).</w:t>
      </w:r>
    </w:p>
    <w:p>
      <w:pPr>
        <w:pStyle w:val="ListParagraph"/>
        <w:numPr>
          <w:ilvl w:val="0"/>
          <w:numId w:val="2"/>
        </w:numPr>
        <w:spacing w:after="60"/>
      </w:pPr>
      <w:r>
        <w:rPr>
          <w:rFonts w:ascii="Arial" w:cs="Arial" w:eastAsia="Arial" w:hAnsi="Arial"/>
          <w:sz w:val="22"/>
          <w:szCs w:val="22"/>
        </w:rPr>
        <w:t xml:space="preserve">The extremely preterm brain is at risk for intraventricular hemorrhage (IVH) with rapid hemodynamic changes — rapid fluid boluses and rapid BP changes must be avoided.</w:t>
      </w:r>
    </w:p>
    <w:p>
      <w:pPr>
        <w:pStyle w:val="ListParagraph"/>
        <w:numPr>
          <w:ilvl w:val="0"/>
          <w:numId w:val="2"/>
        </w:numPr>
        <w:spacing w:after="60"/>
      </w:pPr>
      <w:r>
        <w:rPr>
          <w:rFonts w:ascii="Arial" w:cs="Arial" w:eastAsia="Arial" w:hAnsi="Arial"/>
          <w:sz w:val="22"/>
          <w:szCs w:val="22"/>
        </w:rPr>
        <w:t xml:space="preserve">Cortisol production is frequently insufficient in very preterm neonates ('relative adrenal insufficiency') — hydrocortisone response is common.</w:t>
      </w:r>
    </w:p>
    <w:p>
      <w:pPr>
        <w:pStyle w:val="ListParagraph"/>
        <w:numPr>
          <w:ilvl w:val="0"/>
          <w:numId w:val="2"/>
        </w:numPr>
        <w:spacing w:after="60"/>
      </w:pPr>
      <w:r>
        <w:rPr>
          <w:rFonts w:ascii="Arial" w:cs="Arial" w:eastAsia="Arial" w:hAnsi="Arial"/>
          <w:sz w:val="22"/>
          <w:szCs w:val="22"/>
        </w:rPr>
        <w:t xml:space="preserve">Hypothermia is a frequent presenting sign; warm shock is rare; cold shock pattern predominates.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 POINT</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For very preterm neonates (&lt;30 weeks), begin with a SINGLE 10 mL/kg normal saline bolus over 30-60 minutes, then immediately reassess. Dopamine 5-10 mcg/kg/min is preferred first-line vasopressor. Hydrocortisone 1 mg/kg IV q8h should be considered early for persistent pressor-dependent shock.</w:t>
            </w:r>
          </w:p>
        </w:tc>
      </w:tr>
    </w:tbl>
    <w:p>
      <w:pPr>
        <w:spacing w:after="80"/>
      </w:pPr>
      <w:r>
        <w:t xml:space="preserve"/>
      </w:r>
    </w:p>
    <w:p>
      <w:pPr>
        <w:pStyle w:val="Heading2"/>
      </w:pPr>
      <w:r>
        <w:rPr>
          <w:rFonts w:ascii="Arial" w:cs="Arial" w:eastAsia="Arial" w:hAnsi="Arial"/>
          <w:b/>
          <w:bCs/>
        </w:rPr>
        <w:t xml:space="preserve">6.2 Necrotizing Enterocolitis (NEC) and Septic Shock</w:t>
      </w:r>
    </w:p>
    <w:p>
      <w:pPr>
        <w:spacing w:after="100"/>
      </w:pPr>
      <w:r>
        <w:rPr>
          <w:rFonts w:ascii="Arial" w:cs="Arial" w:eastAsia="Arial" w:hAnsi="Arial"/>
          <w:b w:val="false"/>
          <w:bCs w:val="false"/>
          <w:sz w:val="22"/>
          <w:szCs w:val="22"/>
        </w:rPr>
        <w:t xml:space="preserve">NEC represents a particularly lethal cause of septic shock in preterm neonates. NEC-associated shock involves polymicrobial gram-negative bacteremia (E. coli, Klebsiella, Enterobacter), intestinal barrier breakdown, and rapid development of gram-negative endotoxemia. Key management differences:</w:t>
      </w:r>
    </w:p>
    <w:p>
      <w:pPr>
        <w:pStyle w:val="ListParagraph"/>
        <w:numPr>
          <w:ilvl w:val="0"/>
          <w:numId w:val="2"/>
        </w:numPr>
        <w:spacing w:after="60"/>
      </w:pPr>
      <w:r>
        <w:rPr>
          <w:rFonts w:ascii="Arial" w:cs="Arial" w:eastAsia="Arial" w:hAnsi="Arial"/>
          <w:sz w:val="22"/>
          <w:szCs w:val="22"/>
        </w:rPr>
        <w:t xml:space="preserve">Surgical consultation is urgent: NEC Bell Stage III (pneumoperitoneum, perforation) requires urgent surgery or peritoneal drainage.</w:t>
      </w:r>
    </w:p>
    <w:p>
      <w:pPr>
        <w:pStyle w:val="ListParagraph"/>
        <w:numPr>
          <w:ilvl w:val="0"/>
          <w:numId w:val="2"/>
        </w:numPr>
        <w:spacing w:after="60"/>
      </w:pPr>
      <w:r>
        <w:rPr>
          <w:rFonts w:ascii="Arial" w:cs="Arial" w:eastAsia="Arial" w:hAnsi="Arial"/>
          <w:sz w:val="22"/>
          <w:szCs w:val="22"/>
        </w:rPr>
        <w:t xml:space="preserve">Antibiotic coverage must include gram-negatives, gram-positives, AND anaerobes: Ampicillin + Gentamicin + Metronidazole OR Piperacillin-tazobactam as broadened empiric coverage.</w:t>
      </w:r>
    </w:p>
    <w:p>
      <w:pPr>
        <w:pStyle w:val="ListParagraph"/>
        <w:numPr>
          <w:ilvl w:val="0"/>
          <w:numId w:val="2"/>
        </w:numPr>
        <w:spacing w:after="60"/>
      </w:pPr>
      <w:r>
        <w:rPr>
          <w:rFonts w:ascii="Arial" w:cs="Arial" w:eastAsia="Arial" w:hAnsi="Arial"/>
          <w:sz w:val="22"/>
          <w:szCs w:val="22"/>
        </w:rPr>
        <w:t xml:space="preserve">NPO strictly: No oral or NG feeds; nasogastric decompression.</w:t>
      </w:r>
    </w:p>
    <w:p>
      <w:pPr>
        <w:pStyle w:val="ListParagraph"/>
        <w:numPr>
          <w:ilvl w:val="0"/>
          <w:numId w:val="2"/>
        </w:numPr>
        <w:spacing w:after="60"/>
      </w:pPr>
      <w:r>
        <w:rPr>
          <w:rFonts w:ascii="Arial" w:cs="Arial" w:eastAsia="Arial" w:hAnsi="Arial"/>
          <w:sz w:val="22"/>
          <w:szCs w:val="22"/>
        </w:rPr>
        <w:t xml:space="preserve">DIC and profound coagulopathy are common: Aggressive blood product replacement.</w:t>
      </w:r>
    </w:p>
    <w:p>
      <w:pPr>
        <w:pStyle w:val="Heading2"/>
      </w:pPr>
      <w:r>
        <w:rPr>
          <w:rFonts w:ascii="Arial" w:cs="Arial" w:eastAsia="Arial" w:hAnsi="Arial"/>
          <w:b/>
          <w:bCs/>
        </w:rPr>
        <w:t xml:space="preserve">6.3 Pediatric Meningococcemia — Classic Gram-Negative Purpuric Shock</w:t>
      </w:r>
    </w:p>
    <w:p>
      <w:pPr>
        <w:spacing w:after="100"/>
      </w:pPr>
      <w:r>
        <w:rPr>
          <w:rFonts w:ascii="Arial" w:cs="Arial" w:eastAsia="Arial" w:hAnsi="Arial"/>
          <w:b w:val="false"/>
          <w:bCs w:val="false"/>
          <w:sz w:val="22"/>
          <w:szCs w:val="22"/>
        </w:rPr>
        <w:t xml:space="preserve">Neisseria meningitidis deserves special mention as one of the most dramatic and rapidly fatal causes of pediatric septic shock. Recognizing meningococcemia early can be lifesaving:</w:t>
      </w:r>
    </w:p>
    <w:p>
      <w:pPr>
        <w:pStyle w:val="ListParagraph"/>
        <w:numPr>
          <w:ilvl w:val="0"/>
          <w:numId w:val="2"/>
        </w:numPr>
        <w:spacing w:after="60"/>
      </w:pPr>
      <w:r>
        <w:rPr>
          <w:rFonts w:ascii="Arial" w:cs="Arial" w:eastAsia="Arial" w:hAnsi="Arial"/>
          <w:sz w:val="22"/>
          <w:szCs w:val="22"/>
        </w:rPr>
        <w:t xml:space="preserve">Classic presentation: Rapidly spreading petechial/purpuric rash (non-blanching), fever, severe headache, altered mental status, fulminant hemodynamic collapse within hours.</w:t>
      </w:r>
    </w:p>
    <w:p>
      <w:pPr>
        <w:pStyle w:val="ListParagraph"/>
        <w:numPr>
          <w:ilvl w:val="0"/>
          <w:numId w:val="2"/>
        </w:numPr>
        <w:spacing w:after="60"/>
      </w:pPr>
      <w:r>
        <w:rPr>
          <w:rFonts w:ascii="Arial" w:cs="Arial" w:eastAsia="Arial" w:hAnsi="Arial"/>
          <w:sz w:val="22"/>
          <w:szCs w:val="22"/>
        </w:rPr>
        <w:t xml:space="preserve">The purpuric rash reflects DIC-mediated microvascular thrombosis — once it appears, the child is critically ill.</w:t>
      </w:r>
    </w:p>
    <w:p>
      <w:pPr>
        <w:pStyle w:val="ListParagraph"/>
        <w:numPr>
          <w:ilvl w:val="0"/>
          <w:numId w:val="2"/>
        </w:numPr>
        <w:spacing w:after="60"/>
      </w:pPr>
      <w:r>
        <w:rPr>
          <w:rFonts w:ascii="Arial" w:cs="Arial" w:eastAsia="Arial" w:hAnsi="Arial"/>
          <w:sz w:val="22"/>
          <w:szCs w:val="22"/>
        </w:rPr>
        <w:t xml:space="preserve">Do NOT delay antibiotics to perform lumbar puncture in a hemodynamically unstable child — give ceftriaxone immediately.</w:t>
      </w:r>
    </w:p>
    <w:p>
      <w:pPr>
        <w:pStyle w:val="ListParagraph"/>
        <w:numPr>
          <w:ilvl w:val="0"/>
          <w:numId w:val="2"/>
        </w:numPr>
        <w:spacing w:after="60"/>
      </w:pPr>
      <w:r>
        <w:rPr>
          <w:rFonts w:ascii="Arial" w:cs="Arial" w:eastAsia="Arial" w:hAnsi="Arial"/>
          <w:sz w:val="22"/>
          <w:szCs w:val="22"/>
        </w:rPr>
        <w:t xml:space="preserve">IV penicillin G remains the drug of choice once meningococcal sepsis is confirmed; ceftriaxone is appropriate empirically.</w:t>
      </w:r>
    </w:p>
    <w:p>
      <w:pPr>
        <w:pStyle w:val="ListParagraph"/>
        <w:numPr>
          <w:ilvl w:val="0"/>
          <w:numId w:val="2"/>
        </w:numPr>
        <w:spacing w:after="60"/>
      </w:pPr>
      <w:r>
        <w:rPr>
          <w:rFonts w:ascii="Arial" w:cs="Arial" w:eastAsia="Arial" w:hAnsi="Arial"/>
          <w:sz w:val="22"/>
          <w:szCs w:val="22"/>
        </w:rPr>
        <w:t xml:space="preserve">Purpura fulminans (extensive skin necrosis) indicates severe DIC — aggressive FFP, cryoprecipitate, and platelet replacement.</w:t>
      </w:r>
    </w:p>
    <w:p>
      <w:r>
        <w:br w:type="page"/>
      </w:r>
    </w:p>
    <w:p>
      <w:pPr>
        <w:pStyle w:val="Heading1"/>
      </w:pPr>
      <w:r>
        <w:rPr>
          <w:rFonts w:ascii="Arial" w:cs="Arial" w:eastAsia="Arial" w:hAnsi="Arial"/>
          <w:b/>
          <w:bCs/>
        </w:rPr>
        <w:t xml:space="preserve">Chapter 7: Transport and Escalation</w:t>
      </w:r>
    </w:p>
    <w:p>
      <w:pPr>
        <w:pStyle w:val="Heading2"/>
      </w:pPr>
      <w:r>
        <w:rPr>
          <w:rFonts w:ascii="Arial" w:cs="Arial" w:eastAsia="Arial" w:hAnsi="Arial"/>
          <w:b/>
          <w:bCs/>
        </w:rPr>
        <w:t xml:space="preserve">7.1 Criteria for Immediate Transport Team Activation</w:t>
      </w:r>
    </w:p>
    <w:p>
      <w:pPr>
        <w:spacing w:after="100"/>
      </w:pPr>
      <w:r>
        <w:rPr>
          <w:rFonts w:ascii="Arial" w:cs="Arial" w:eastAsia="Arial" w:hAnsi="Arial"/>
          <w:b w:val="false"/>
          <w:bCs w:val="false"/>
          <w:sz w:val="22"/>
          <w:szCs w:val="22"/>
        </w:rPr>
        <w:t xml:space="preserve">In any neonate or child with suspected or confirmed septic shock, transport should be activated as soon as the diagnosis is considered — not after stabilization. The goal is to have the transport team en route while you are resuscitating, so that there is minimal delay in transfer.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3"/>
              <w:left w:val="single" w:color="2E75B6" w:sz="3"/>
              <w:bottom w:val="single" w:color="2E75B6" w:sz="3"/>
              <w:right w:val="single" w:color="2E75B6" w:sz="3"/>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TRANSPORT NOW</w:t>
            </w:r>
          </w:p>
        </w:tc>
        <w:tc>
          <w:tcPr>
            <w:tcW w:type="dxa" w:w="8160"/>
            <w:tcBorders>
              <w:top w:val="single" w:color="2E75B6" w:sz="3"/>
              <w:left w:val="single" w:color="2E75B6" w:sz="3"/>
              <w:bottom w:val="single" w:color="2E75B6" w:sz="3"/>
              <w:right w:val="single" w:color="2E75B6" w:sz="3"/>
            </w:tcBorders>
            <w:shd w:fill="FFC7CE" w:val="clear"/>
            <w:tcMar>
              <w:top w:type="dxa" w:w="100"/>
              <w:left w:type="dxa" w:w="140"/>
              <w:bottom w:type="dxa" w:w="100"/>
              <w:right w:type="dxa" w:w="120"/>
            </w:tcMar>
          </w:tcPr>
          <w:p>
            <w:r>
              <w:rPr>
                <w:rFonts w:ascii="Arial" w:cs="Arial" w:eastAsia="Arial" w:hAnsi="Arial"/>
                <w:sz w:val="22"/>
                <w:szCs w:val="22"/>
              </w:rPr>
              <w:t xml:space="preserve">CALL TRANSPORT IMMEDIATELY if ANY of the following are present: (1) Suspected septic shock (any age); (2) Lactate &gt;4 mmol/L; (3) Base deficit &lt; -10 mEq/L; (4) Pressor-dependent shock; (5) DIC; (6) Respiratory failure; (7) Altered mental status; (8) Petechial/purpuric rash; (9) APGAR &lt;4 with clinical sepsis; (10) Any neonate &lt;72 hours old requiring more than minimal respiratory support.</w:t>
            </w:r>
          </w:p>
        </w:tc>
      </w:tr>
    </w:tbl>
    <w:p>
      <w:pPr>
        <w:spacing w:after="80"/>
      </w:pPr>
      <w:r>
        <w:t xml:space="preserve"/>
      </w:r>
    </w:p>
    <w:p>
      <w:pPr>
        <w:pStyle w:val="Heading2"/>
      </w:pPr>
      <w:r>
        <w:rPr>
          <w:rFonts w:ascii="Arial" w:cs="Arial" w:eastAsia="Arial" w:hAnsi="Arial"/>
          <w:b/>
          <w:bCs/>
        </w:rPr>
        <w:t xml:space="preserve">7.2 Pre-Transport Stabilization Priorities</w:t>
      </w:r>
    </w:p>
    <w:p>
      <w:pPr>
        <w:pStyle w:val="ListParagraph"/>
        <w:numPr>
          <w:ilvl w:val="0"/>
          <w:numId w:val="3"/>
        </w:numPr>
        <w:spacing w:after="60"/>
      </w:pPr>
      <w:r>
        <w:rPr>
          <w:rFonts w:ascii="Arial" w:cs="Arial" w:eastAsia="Arial" w:hAnsi="Arial"/>
          <w:sz w:val="22"/>
          <w:szCs w:val="22"/>
        </w:rPr>
        <w:t xml:space="preserve">Establish secure vascular access (peripheral IV x2 or IO if difficult access).</w:t>
      </w:r>
    </w:p>
    <w:p>
      <w:pPr>
        <w:pStyle w:val="ListParagraph"/>
        <w:numPr>
          <w:ilvl w:val="0"/>
          <w:numId w:val="3"/>
        </w:numPr>
        <w:spacing w:after="60"/>
      </w:pPr>
      <w:r>
        <w:rPr>
          <w:rFonts w:ascii="Arial" w:cs="Arial" w:eastAsia="Arial" w:hAnsi="Arial"/>
          <w:sz w:val="22"/>
          <w:szCs w:val="22"/>
        </w:rPr>
        <w:t xml:space="preserve">Initiate and document fluid resuscitation with volume and response.</w:t>
      </w:r>
    </w:p>
    <w:p>
      <w:pPr>
        <w:pStyle w:val="ListParagraph"/>
        <w:numPr>
          <w:ilvl w:val="0"/>
          <w:numId w:val="3"/>
        </w:numPr>
        <w:spacing w:after="60"/>
      </w:pPr>
      <w:r>
        <w:rPr>
          <w:rFonts w:ascii="Arial" w:cs="Arial" w:eastAsia="Arial" w:hAnsi="Arial"/>
          <w:sz w:val="22"/>
          <w:szCs w:val="22"/>
        </w:rPr>
        <w:t xml:space="preserve">Antibiotics administered and documented (time of first dose).</w:t>
      </w:r>
    </w:p>
    <w:p>
      <w:pPr>
        <w:pStyle w:val="ListParagraph"/>
        <w:numPr>
          <w:ilvl w:val="0"/>
          <w:numId w:val="3"/>
        </w:numPr>
        <w:spacing w:after="60"/>
      </w:pPr>
      <w:r>
        <w:rPr>
          <w:rFonts w:ascii="Arial" w:cs="Arial" w:eastAsia="Arial" w:hAnsi="Arial"/>
          <w:sz w:val="22"/>
          <w:szCs w:val="22"/>
        </w:rPr>
        <w:t xml:space="preserve">Blood cultures collected before antibiotics (1 set minimum).</w:t>
      </w:r>
    </w:p>
    <w:p>
      <w:pPr>
        <w:pStyle w:val="ListParagraph"/>
        <w:numPr>
          <w:ilvl w:val="0"/>
          <w:numId w:val="3"/>
        </w:numPr>
        <w:spacing w:after="60"/>
      </w:pPr>
      <w:r>
        <w:rPr>
          <w:rFonts w:ascii="Arial" w:cs="Arial" w:eastAsia="Arial" w:hAnsi="Arial"/>
          <w:sz w:val="22"/>
          <w:szCs w:val="22"/>
        </w:rPr>
        <w:t xml:space="preserve">Vasopressors running if fluid-refractory shock (peripheral IV/IO acceptable).</w:t>
      </w:r>
    </w:p>
    <w:p>
      <w:pPr>
        <w:pStyle w:val="ListParagraph"/>
        <w:numPr>
          <w:ilvl w:val="0"/>
          <w:numId w:val="3"/>
        </w:numPr>
        <w:spacing w:after="60"/>
      </w:pPr>
      <w:r>
        <w:rPr>
          <w:rFonts w:ascii="Arial" w:cs="Arial" w:eastAsia="Arial" w:hAnsi="Arial"/>
          <w:sz w:val="22"/>
          <w:szCs w:val="22"/>
        </w:rPr>
        <w:t xml:space="preserve">Airway secured if respiratory compromise — intubate BEFORE transport if possible.</w:t>
      </w:r>
    </w:p>
    <w:p>
      <w:pPr>
        <w:pStyle w:val="ListParagraph"/>
        <w:numPr>
          <w:ilvl w:val="0"/>
          <w:numId w:val="3"/>
        </w:numPr>
        <w:spacing w:after="60"/>
      </w:pPr>
      <w:r>
        <w:rPr>
          <w:rFonts w:ascii="Arial" w:cs="Arial" w:eastAsia="Arial" w:hAnsi="Arial"/>
          <w:sz w:val="22"/>
          <w:szCs w:val="22"/>
        </w:rPr>
        <w:t xml:space="preserve">Glucose treated and documented.</w:t>
      </w:r>
    </w:p>
    <w:p>
      <w:pPr>
        <w:pStyle w:val="ListParagraph"/>
        <w:numPr>
          <w:ilvl w:val="0"/>
          <w:numId w:val="3"/>
        </w:numPr>
        <w:spacing w:after="60"/>
      </w:pPr>
      <w:r>
        <w:rPr>
          <w:rFonts w:ascii="Arial" w:cs="Arial" w:eastAsia="Arial" w:hAnsi="Arial"/>
          <w:sz w:val="22"/>
          <w:szCs w:val="22"/>
        </w:rPr>
        <w:t xml:space="preserve">Temperature stabilized — warm blankets, radiant warmer, transport isolette.</w:t>
      </w:r>
    </w:p>
    <w:p>
      <w:pPr>
        <w:pStyle w:val="ListParagraph"/>
        <w:numPr>
          <w:ilvl w:val="0"/>
          <w:numId w:val="3"/>
        </w:numPr>
        <w:spacing w:after="60"/>
      </w:pPr>
      <w:r>
        <w:rPr>
          <w:rFonts w:ascii="Arial" w:cs="Arial" w:eastAsia="Arial" w:hAnsi="Arial"/>
          <w:sz w:val="22"/>
          <w:szCs w:val="22"/>
        </w:rPr>
        <w:t xml:space="preserve">SBAR communication completed with receiving NICU/PICU.</w:t>
      </w:r>
    </w:p>
    <w:p>
      <w:pPr>
        <w:spacing w:after="80"/>
      </w:pPr>
      <w:r>
        <w:t xml:space="preserve"/>
      </w:r>
    </w:p>
    <w:p>
      <w:pPr>
        <w:pStyle w:val="Heading2"/>
      </w:pPr>
      <w:r>
        <w:rPr>
          <w:rFonts w:ascii="Arial" w:cs="Arial" w:eastAsia="Arial" w:hAnsi="Arial"/>
          <w:b/>
          <w:bCs/>
        </w:rPr>
        <w:t xml:space="preserve">7.3 SBAR Communication Template for Septic Shock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SBAR Element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SITUATION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 have a [age] [sex] infant/child with suspected septic shock who needs urgent transfer to your NICU/PICU. The patient has [key findings: tachycardia, prolonged CRT, metabolic acidosis, lactate level, blood pressure].</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BACKGROUND</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Gestational age [X weeks] or birth history. Maternal history [GBS status, fever, PPROM for neonates]. Onset of illness was [time]. Prior antibiotic exposure: [yes/no]. Prior medical history: [relevant].</w:t>
            </w:r>
          </w:p>
        </w:tc>
      </w:tr>
      <w:tr>
        <w:tc>
          <w:tcPr>
            <w:tcW w:type="dxa" w:w="2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val="false"/>
                <w:bCs w:val="false"/>
                <w:sz w:val="20"/>
                <w:szCs w:val="20"/>
              </w:rPr>
              <w:t xml:space="preserve">ASSESSMENT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 believe this is septic shock based on: [tachycardia, altered perfusion, lactic acidosis pH [X], BD [X], lactate [X]]. Blood cultures obtained at [time]. I have started [antibiotics, doses, times]. Current vitals: HR [X], RR [X], BP [X/X], SpO2 [X]%, temp [X].</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I am requesting emergent transport to your unit. I have started [vasopressor at dose]. The patient is currently [intubated/non-intubated], on [ventilator settings if applicable]. What additional interventions would you recommend before transport?</w:t>
            </w:r>
          </w:p>
        </w:tc>
      </w:tr>
    </w:tbl>
    <w:p>
      <w:pPr>
        <w:spacing w:after="80"/>
      </w:pPr>
      <w:r>
        <w:t xml:space="preserve"/>
      </w:r>
    </w:p>
    <w:p>
      <w:r>
        <w:br w:type="page"/>
      </w:r>
    </w:p>
    <w:p>
      <w:pPr>
        <w:pStyle w:val="Heading1"/>
      </w:pPr>
      <w:r>
        <w:rPr>
          <w:rFonts w:ascii="Arial" w:cs="Arial" w:eastAsia="Arial" w:hAnsi="Arial"/>
          <w:b/>
          <w:bCs/>
        </w:rPr>
        <w:t xml:space="preserve">Chapter 8: Quality, Safety, and Common Errors</w:t>
      </w:r>
    </w:p>
    <w:p>
      <w:pPr>
        <w:pStyle w:val="Heading2"/>
      </w:pPr>
      <w:r>
        <w:rPr>
          <w:rFonts w:ascii="Arial" w:cs="Arial" w:eastAsia="Arial" w:hAnsi="Arial"/>
          <w:b/>
          <w:bCs/>
        </w:rPr>
        <w:t xml:space="preserve">8.1 Common Errors in Neonatal and Pediatric Septic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Happens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Delaying antibiotics to wait for cultures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Concern about contaminating cultures with antibiotics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Collect ONE blood culture set, then give antibiotics immediately. Never delay &gt;15 minutes for cultures.</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Waiting for hypotension to diagnose shock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Hypotension is the traditional adult shock criterion</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Use age-appropriate tachycardia, CRT &gt;3 sec, altered mental status, and lactate &gt;2 mmol/L as shock indicators in pediatrics.</w:t>
            </w:r>
          </w:p>
        </w:tc>
      </w:tr>
      <w:tr>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Inadequate vasopressor dosing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Fear of side effects; unfamiliarity with dosing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Know the doses before the emergency. Dopamine 5-10 mcg/kg/min is the standard starting point. Have a dosing chart available.</w:t>
            </w:r>
          </w:p>
        </w:tc>
      </w:tr>
      <w:tr>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Excessive fluid in preterm neonates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Adult-derived bolus volumes applied to preterm</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10-20 mL/kg maximum single bolus; reassess after each; switch to vasopressors early for preterm.</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Missing IEM in neonate with acidosis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Sepsis-first thinking; IEM is uncommon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Send ammonia and organic acids simultaneously with sepsis workup in any neonate with unexplained severe metabolic acidosis.</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sz w:val="20"/>
                <w:szCs w:val="20"/>
              </w:rPr>
              <w:t xml:space="preserve">Not calling transport early enough</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Hoping for improvement; not wanting to alarm family</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Call transport at the time of recognition. It is much easier to cancel than to wait and have a deteriorating infant.</w:t>
            </w:r>
          </w:p>
        </w:tc>
      </w:tr>
      <w:tr>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sz w:val="20"/>
                <w:szCs w:val="20"/>
              </w:rPr>
              <w:t xml:space="preserve">Using normal saline exclusively (large volumes)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Most accessible crystalloid; habit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sz w:val="20"/>
                <w:szCs w:val="20"/>
              </w:rPr>
              <w:t xml:space="preserve">Use LR when available for bolus volumes &gt;20 mL/kg to avoid hyperchloremic acidosis worsening the existing lactic acidosis.</w:t>
            </w:r>
          </w:p>
        </w:tc>
      </w:tr>
    </w:tbl>
    <w:p>
      <w:pPr>
        <w:spacing w:after="80"/>
      </w:pPr>
      <w:r>
        <w:t xml:space="preserve"/>
      </w:r>
    </w:p>
    <w:p>
      <w:r>
        <w:br w:type="page"/>
      </w:r>
    </w:p>
    <w:p>
      <w:pPr>
        <w:pStyle w:val="Heading1"/>
      </w:pPr>
      <w:r>
        <w:rPr>
          <w:rFonts w:ascii="Arial" w:cs="Arial" w:eastAsia="Arial" w:hAnsi="Arial"/>
          <w:b/>
          <w:bCs/>
        </w:rPr>
        <w:t xml:space="preserve">Chapter 9: Case Studies</w:t>
      </w:r>
    </w:p>
    <w:p>
      <w:pPr>
        <w:pStyle w:val="Heading2"/>
      </w:pPr>
      <w:r>
        <w:rPr>
          <w:rFonts w:ascii="Arial" w:cs="Arial" w:eastAsia="Arial" w:hAnsi="Arial"/>
          <w:b/>
          <w:bCs/>
        </w:rPr>
        <w:t xml:space="preserve">Case Study 1: Neonatal Early-Onset Sepsis (GBS)</w:t>
      </w:r>
    </w:p>
    <w:p>
      <w:pPr>
        <w:spacing w:after="100"/>
      </w:pPr>
      <w:r>
        <w:rPr>
          <w:rFonts w:ascii="Arial" w:cs="Arial" w:eastAsia="Arial" w:hAnsi="Arial"/>
          <w:b w:val="false"/>
          <w:bCs w:val="false"/>
          <w:sz w:val="22"/>
          <w:szCs w:val="22"/>
        </w:rPr>
        <w:t xml:space="preserve">A term male infant is born at 39+2 weeks to a GBS-positive mother who received intrapartum penicillin prophylaxis 4 hours before delivery (adequate dosing requires &gt;4 hours). APGAR scores 8 and 9. At 4 hours of life, the nurse notes that the baby is feeding poorly and has increased work of breathing. Temperature is 36.0°C axillary. HR 195. RR 72. SpO2 94% on room air. CRT 3.5 seconds. Blood glucose 38 mg/dL.</w:t>
      </w:r>
    </w:p>
    <w:p>
      <w:pPr>
        <w:pStyle w:val="Heading4"/>
      </w:pPr>
      <w:r>
        <w:rPr>
          <w:rFonts w:ascii="Arial" w:cs="Arial" w:eastAsia="Arial" w:hAnsi="Arial"/>
          <w:b/>
          <w:bCs/>
        </w:rPr>
        <w:t xml:space="preserve">Key Decision Points:</w:t>
      </w:r>
    </w:p>
    <w:p>
      <w:pPr>
        <w:pStyle w:val="ListParagraph"/>
        <w:numPr>
          <w:ilvl w:val="0"/>
          <w:numId w:val="2"/>
        </w:numPr>
        <w:spacing w:after="60"/>
      </w:pPr>
      <w:r>
        <w:rPr>
          <w:rFonts w:ascii="Arial" w:cs="Arial" w:eastAsia="Arial" w:hAnsi="Arial"/>
          <w:sz w:val="22"/>
          <w:szCs w:val="22"/>
        </w:rPr>
        <w:t xml:space="preserve">Recognition: This infant has clinical sepsis (tachycardia, tachypnea, temperature instability, poor feeding) at &lt;12 hours of life with a GBS-positive mother and INADEQUATE prophylaxis (given only 4 hours before delivery, not the required &gt;4 hours for adequate coverage).</w:t>
      </w:r>
    </w:p>
    <w:p>
      <w:pPr>
        <w:pStyle w:val="ListParagraph"/>
        <w:numPr>
          <w:ilvl w:val="0"/>
          <w:numId w:val="2"/>
        </w:numPr>
        <w:spacing w:after="60"/>
      </w:pPr>
      <w:r>
        <w:rPr>
          <w:rFonts w:ascii="Arial" w:cs="Arial" w:eastAsia="Arial" w:hAnsi="Arial"/>
          <w:sz w:val="22"/>
          <w:szCs w:val="22"/>
        </w:rPr>
        <w:t xml:space="preserve">Immediate action: Establish IV access; treat hypoglycemia with D10W 2 mL/kg; blood culture; CBC, blood gas, CMP; obtain CSF for LP if stable enough (defer if too sick); start Ampicillin + Gentamicin.</w:t>
      </w:r>
    </w:p>
    <w:p>
      <w:pPr>
        <w:pStyle w:val="ListParagraph"/>
        <w:numPr>
          <w:ilvl w:val="0"/>
          <w:numId w:val="2"/>
        </w:numPr>
        <w:spacing w:after="60"/>
      </w:pPr>
      <w:r>
        <w:rPr>
          <w:rFonts w:ascii="Arial" w:cs="Arial" w:eastAsia="Arial" w:hAnsi="Arial"/>
          <w:sz w:val="22"/>
          <w:szCs w:val="22"/>
        </w:rPr>
        <w:t xml:space="preserve">Blood gas returns: pH 7.28, PCO2 35, HCO3 16, BD -9, Lactate 3.2 mmol/L, AG 18. Mild-moderate metabolic acidosis with elevated lactate and AG — consistent with early septic shock.</w:t>
      </w:r>
    </w:p>
    <w:p>
      <w:pPr>
        <w:pStyle w:val="ListParagraph"/>
        <w:numPr>
          <w:ilvl w:val="0"/>
          <w:numId w:val="2"/>
        </w:numPr>
        <w:spacing w:after="60"/>
      </w:pPr>
      <w:r>
        <w:rPr>
          <w:rFonts w:ascii="Arial" w:cs="Arial" w:eastAsia="Arial" w:hAnsi="Arial"/>
          <w:sz w:val="22"/>
          <w:szCs w:val="22"/>
        </w:rPr>
        <w:t xml:space="preserve">Fluid resuscitation: 10 mL/kg NS over 15 minutes; reassess. HR improves to 175, CRT 2.5 sec, glucose corrected to 65 mg/dL.</w:t>
      </w:r>
    </w:p>
    <w:p>
      <w:pPr>
        <w:pStyle w:val="ListParagraph"/>
        <w:numPr>
          <w:ilvl w:val="0"/>
          <w:numId w:val="2"/>
        </w:numPr>
        <w:spacing w:after="60"/>
      </w:pPr>
      <w:r>
        <w:rPr>
          <w:rFonts w:ascii="Arial" w:cs="Arial" w:eastAsia="Arial" w:hAnsi="Arial"/>
          <w:sz w:val="22"/>
          <w:szCs w:val="22"/>
        </w:rPr>
        <w:t xml:space="preserve">Transport: Activated at time of initial recognition; transport team arrives 45 minutes later. Infant remains on room air but is admitted to NICU for IV antibiotics and monitoring.</w:t>
      </w:r>
    </w:p>
    <w:p>
      <w:pPr>
        <w:pStyle w:val="ListParagraph"/>
        <w:numPr>
          <w:ilvl w:val="0"/>
          <w:numId w:val="2"/>
        </w:numPr>
        <w:spacing w:after="60"/>
      </w:pPr>
      <w:r>
        <w:rPr>
          <w:rFonts w:ascii="Arial" w:cs="Arial" w:eastAsia="Arial" w:hAnsi="Arial"/>
          <w:sz w:val="22"/>
          <w:szCs w:val="22"/>
        </w:rPr>
        <w:t xml:space="preserve">Outcome: Blood culture grows GBS. Antibiotic course completed. Normal neurodevelopmental follow-up.</w:t>
      </w:r>
    </w:p>
    <w:p>
      <w:pPr>
        <w:spacing w:after="80"/>
      </w:pPr>
      <w:r>
        <w:t xml:space="preserve"/>
      </w:r>
    </w:p>
    <w:p>
      <w:pPr>
        <w:pStyle w:val="Heading2"/>
      </w:pPr>
      <w:r>
        <w:rPr>
          <w:rFonts w:ascii="Arial" w:cs="Arial" w:eastAsia="Arial" w:hAnsi="Arial"/>
          <w:b/>
          <w:bCs/>
        </w:rPr>
        <w:t xml:space="preserve">Case Study 2: Pediatric Meningococcal Septic Shock</w:t>
      </w:r>
    </w:p>
    <w:p>
      <w:pPr>
        <w:spacing w:after="100"/>
      </w:pPr>
      <w:r>
        <w:rPr>
          <w:rFonts w:ascii="Arial" w:cs="Arial" w:eastAsia="Arial" w:hAnsi="Arial"/>
          <w:b w:val="false"/>
          <w:bCs w:val="false"/>
          <w:sz w:val="22"/>
          <w:szCs w:val="22"/>
        </w:rPr>
        <w:t xml:space="preserve">A 7-year-old previously healthy boy is brought to the rural ED by his parents with a 6-hour history of fever to 39.8°C, headache, and 'he doesn't look right.' On arrival: HR 142, RR 26, BP 86/50, temp 39.6°C. The nurse notes a petechial rash on the trunk and lower extremities. CRT 4 seconds. The child is drowsy but arousable.</w:t>
      </w:r>
    </w:p>
    <w:p>
      <w:pPr>
        <w:pStyle w:val="Heading4"/>
      </w:pPr>
      <w:r>
        <w:rPr>
          <w:rFonts w:ascii="Arial" w:cs="Arial" w:eastAsia="Arial" w:hAnsi="Arial"/>
          <w:b/>
          <w:bCs/>
        </w:rPr>
        <w:t xml:space="preserve">Key Decision Points:</w:t>
      </w:r>
    </w:p>
    <w:p>
      <w:pPr>
        <w:pStyle w:val="ListParagraph"/>
        <w:numPr>
          <w:ilvl w:val="0"/>
          <w:numId w:val="2"/>
        </w:numPr>
        <w:spacing w:after="60"/>
      </w:pPr>
      <w:r>
        <w:rPr>
          <w:rFonts w:ascii="Arial" w:cs="Arial" w:eastAsia="Arial" w:hAnsi="Arial"/>
          <w:sz w:val="22"/>
          <w:szCs w:val="22"/>
        </w:rPr>
        <w:t xml:space="preserve">Recognition: Petechial rash + fever + hemodynamic instability = meningococcemia until proven otherwise. This is a LIFE-THREATENING EMERGENCY.</w:t>
      </w:r>
    </w:p>
    <w:p>
      <w:pPr>
        <w:pStyle w:val="ListParagraph"/>
        <w:numPr>
          <w:ilvl w:val="0"/>
          <w:numId w:val="2"/>
        </w:numPr>
        <w:spacing w:after="60"/>
      </w:pPr>
      <w:r>
        <w:rPr>
          <w:rFonts w:ascii="Arial" w:cs="Arial" w:eastAsia="Arial" w:hAnsi="Arial"/>
          <w:sz w:val="22"/>
          <w:szCs w:val="22"/>
        </w:rPr>
        <w:t xml:space="preserve">Immediate: 2 large-bore IVs or IO; 20 mL/kg NS x 2 boluses; Ceftriaxone 50 mg/kg IV (max 2g) STAT — do not wait for LP; blood cultures x 2; blood gas, CBC, CMP, coags; activate PICU transport.</w:t>
      </w:r>
    </w:p>
    <w:p>
      <w:pPr>
        <w:pStyle w:val="ListParagraph"/>
        <w:numPr>
          <w:ilvl w:val="0"/>
          <w:numId w:val="2"/>
        </w:numPr>
        <w:spacing w:after="60"/>
      </w:pPr>
      <w:r>
        <w:rPr>
          <w:rFonts w:ascii="Arial" w:cs="Arial" w:eastAsia="Arial" w:hAnsi="Arial"/>
          <w:sz w:val="22"/>
          <w:szCs w:val="22"/>
        </w:rPr>
        <w:t xml:space="preserve">Blood gas: pH 7.22, PCO2 30, BD -12, Lactate 4.8 mmol/L — critical acidosis consistent with severe septic shock.</w:t>
      </w:r>
    </w:p>
    <w:p>
      <w:pPr>
        <w:pStyle w:val="ListParagraph"/>
        <w:numPr>
          <w:ilvl w:val="0"/>
          <w:numId w:val="2"/>
        </w:numPr>
        <w:spacing w:after="60"/>
      </w:pPr>
      <w:r>
        <w:rPr>
          <w:rFonts w:ascii="Arial" w:cs="Arial" w:eastAsia="Arial" w:hAnsi="Arial"/>
          <w:sz w:val="22"/>
          <w:szCs w:val="22"/>
        </w:rPr>
        <w:t xml:space="preserve">After 40 mL/kg: BP 80/44, HR 138. Shock persists. Start Norepinephrine 0.1 mcg/kg/min peripheral IV; increase as tolerated.</w:t>
      </w:r>
    </w:p>
    <w:p>
      <w:pPr>
        <w:pStyle w:val="ListParagraph"/>
        <w:numPr>
          <w:ilvl w:val="0"/>
          <w:numId w:val="2"/>
        </w:numPr>
        <w:spacing w:after="60"/>
      </w:pPr>
      <w:r>
        <w:rPr>
          <w:rFonts w:ascii="Arial" w:cs="Arial" w:eastAsia="Arial" w:hAnsi="Arial"/>
          <w:sz w:val="22"/>
          <w:szCs w:val="22"/>
        </w:rPr>
        <w:t xml:space="preserve">Labs: Plt 62,000; PT 24 sec; Fibrinogen 88 mg/dL — DIC pattern. Start FFP 15 mL/kg IV.</w:t>
      </w:r>
    </w:p>
    <w:p>
      <w:pPr>
        <w:pStyle w:val="ListParagraph"/>
        <w:numPr>
          <w:ilvl w:val="0"/>
          <w:numId w:val="2"/>
        </w:numPr>
        <w:spacing w:after="60"/>
      </w:pPr>
      <w:r>
        <w:rPr>
          <w:rFonts w:ascii="Arial" w:cs="Arial" w:eastAsia="Arial" w:hAnsi="Arial"/>
          <w:sz w:val="22"/>
          <w:szCs w:val="22"/>
        </w:rPr>
        <w:t xml:space="preserve">Transport arrives. Child stabilized on norepinephrine, ceftriaxone dose #2 given. Admitted to PICU.</w:t>
      </w:r>
    </w:p>
    <w:p>
      <w:pPr>
        <w:pStyle w:val="ListParagraph"/>
        <w:numPr>
          <w:ilvl w:val="0"/>
          <w:numId w:val="2"/>
        </w:numPr>
        <w:spacing w:after="60"/>
      </w:pPr>
      <w:r>
        <w:rPr>
          <w:rFonts w:ascii="Arial" w:cs="Arial" w:eastAsia="Arial" w:hAnsi="Arial"/>
          <w:sz w:val="22"/>
          <w:szCs w:val="22"/>
        </w:rPr>
        <w:t xml:space="preserve">Outcome: N. meningitidis serogroup C. Survived without limb loss due to early recognition and ceftriaxone within 20 minutes of arrival. Public health notified; close contacts received prophylaxis.</w:t>
      </w:r>
    </w:p>
    <w:p>
      <w:pPr>
        <w:spacing w:after="80"/>
      </w:pPr>
      <w:r>
        <w:t xml:space="preserve"/>
      </w:r>
    </w:p>
    <w:p>
      <w:r>
        <w:br w:type="page"/>
      </w:r>
    </w:p>
    <w:p>
      <w:pPr>
        <w:pStyle w:val="Heading1"/>
      </w:pPr>
      <w:r>
        <w:rPr>
          <w:rFonts w:ascii="Arial" w:cs="Arial" w:eastAsia="Arial" w:hAnsi="Arial"/>
          <w:b/>
          <w:bCs/>
        </w:rPr>
        <w:t xml:space="preserve">Chapter 10: Summary and Key Takeaways</w:t>
      </w:r>
    </w:p>
    <w:p>
      <w:pPr>
        <w:pStyle w:val="Heading2"/>
      </w:pPr>
      <w:r>
        <w:rPr>
          <w:rFonts w:ascii="Arial" w:cs="Arial" w:eastAsia="Arial" w:hAnsi="Arial"/>
          <w:b/>
          <w:bCs/>
        </w:rPr>
        <w:t xml:space="preserve">10.1 The Five Most Critical Points</w:t>
      </w:r>
    </w:p>
    <w:p>
      <w:pPr>
        <w:pStyle w:val="ListParagraph"/>
        <w:numPr>
          <w:ilvl w:val="0"/>
          <w:numId w:val="3"/>
        </w:numPr>
        <w:spacing w:after="60"/>
      </w:pPr>
      <w:r>
        <w:rPr>
          <w:rFonts w:ascii="Arial" w:cs="Arial" w:eastAsia="Arial" w:hAnsi="Arial"/>
          <w:sz w:val="22"/>
          <w:szCs w:val="22"/>
        </w:rPr>
        <w:t xml:space="preserve">Shock in neonates and children precedes hypotension. Recognize and treat early based on tachycardia, prolonged CRT, altered perfusion, and metabolic acidosis.</w:t>
      </w:r>
    </w:p>
    <w:p>
      <w:pPr>
        <w:pStyle w:val="ListParagraph"/>
        <w:numPr>
          <w:ilvl w:val="0"/>
          <w:numId w:val="3"/>
        </w:numPr>
        <w:spacing w:after="60"/>
      </w:pPr>
      <w:r>
        <w:rPr>
          <w:rFonts w:ascii="Arial" w:cs="Arial" w:eastAsia="Arial" w:hAnsi="Arial"/>
          <w:sz w:val="22"/>
          <w:szCs w:val="22"/>
        </w:rPr>
        <w:t xml:space="preserve">Antibiotics within 15 minutes of recognition — do NOT wait for cultures. One blood culture set is sufficient before starting empiric antibiotics.</w:t>
      </w:r>
    </w:p>
    <w:p>
      <w:pPr>
        <w:pStyle w:val="ListParagraph"/>
        <w:numPr>
          <w:ilvl w:val="0"/>
          <w:numId w:val="3"/>
        </w:numPr>
        <w:spacing w:after="60"/>
      </w:pPr>
      <w:r>
        <w:rPr>
          <w:rFonts w:ascii="Arial" w:cs="Arial" w:eastAsia="Arial" w:hAnsi="Arial"/>
          <w:sz w:val="22"/>
          <w:szCs w:val="22"/>
        </w:rPr>
        <w:t xml:space="preserve">Gram-negative organisms (E. coli, Klebsiella, N. meningitidis) cause the most rapidly fatal septic shock in neonates; GBS dominates EOS; MRSA/CoNS dominate LOS.</w:t>
      </w:r>
    </w:p>
    <w:p>
      <w:pPr>
        <w:pStyle w:val="ListParagraph"/>
        <w:numPr>
          <w:ilvl w:val="0"/>
          <w:numId w:val="3"/>
        </w:numPr>
        <w:spacing w:after="60"/>
      </w:pPr>
      <w:r>
        <w:rPr>
          <w:rFonts w:ascii="Arial" w:cs="Arial" w:eastAsia="Arial" w:hAnsi="Arial"/>
          <w:sz w:val="22"/>
          <w:szCs w:val="22"/>
        </w:rPr>
        <w:t xml:space="preserve">The triad of elevated lactate + elevated anion gap + worsening base deficit = progressive tissue hypoperfusion. Track all three serially throughout resuscitation.</w:t>
      </w:r>
    </w:p>
    <w:p>
      <w:pPr>
        <w:pStyle w:val="ListParagraph"/>
        <w:numPr>
          <w:ilvl w:val="0"/>
          <w:numId w:val="3"/>
        </w:numPr>
        <w:spacing w:after="60"/>
      </w:pPr>
      <w:r>
        <w:rPr>
          <w:rFonts w:ascii="Arial" w:cs="Arial" w:eastAsia="Arial" w:hAnsi="Arial"/>
          <w:sz w:val="22"/>
          <w:szCs w:val="22"/>
        </w:rPr>
        <w:t xml:space="preserve">Call transport early. In rural settings, the transport window is the most dangerous time. Call at the time of recognition; stabilize while the team is en route.</w:t>
      </w:r>
    </w:p>
    <w:p>
      <w:pPr>
        <w:spacing w:after="80"/>
      </w:pPr>
      <w:r>
        <w:t xml:space="preserve"/>
      </w:r>
    </w:p>
    <w:p>
      <w:pPr>
        <w:pStyle w:val="Heading2"/>
      </w:pPr>
      <w:r>
        <w:rPr>
          <w:rFonts w:ascii="Arial" w:cs="Arial" w:eastAsia="Arial" w:hAnsi="Arial"/>
          <w:b/>
          <w:bCs/>
        </w:rPr>
        <w:t xml:space="preserve">10.2 When to Worry — Red Flag Checklist</w:t>
      </w:r>
    </w:p>
    <w:p>
      <w:pPr>
        <w:pStyle w:val="ListParagraph"/>
        <w:numPr>
          <w:ilvl w:val="0"/>
          <w:numId w:val="2"/>
        </w:numPr>
        <w:spacing w:after="60"/>
      </w:pPr>
      <w:r>
        <w:rPr>
          <w:rFonts w:ascii="Arial" w:cs="Arial" w:eastAsia="Arial" w:hAnsi="Arial"/>
          <w:sz w:val="22"/>
          <w:szCs w:val="22"/>
        </w:rPr>
        <w:t xml:space="preserve">Age &lt;72 hours with ANY sign of illness</w:t>
      </w:r>
    </w:p>
    <w:p>
      <w:pPr>
        <w:pStyle w:val="ListParagraph"/>
        <w:numPr>
          <w:ilvl w:val="0"/>
          <w:numId w:val="2"/>
        </w:numPr>
        <w:spacing w:after="60"/>
      </w:pPr>
      <w:r>
        <w:rPr>
          <w:rFonts w:ascii="Arial" w:cs="Arial" w:eastAsia="Arial" w:hAnsi="Arial"/>
          <w:sz w:val="22"/>
          <w:szCs w:val="22"/>
        </w:rPr>
        <w:t xml:space="preserve">Temperature &lt;36.0°C OR &gt;38.0°C in neonate with ANY other sign</w:t>
      </w:r>
    </w:p>
    <w:p>
      <w:pPr>
        <w:pStyle w:val="ListParagraph"/>
        <w:numPr>
          <w:ilvl w:val="0"/>
          <w:numId w:val="2"/>
        </w:numPr>
        <w:spacing w:after="60"/>
      </w:pPr>
      <w:r>
        <w:rPr>
          <w:rFonts w:ascii="Arial" w:cs="Arial" w:eastAsia="Arial" w:hAnsi="Arial"/>
          <w:sz w:val="22"/>
          <w:szCs w:val="22"/>
        </w:rPr>
        <w:t xml:space="preserve">HR &gt;180 persistent for &gt;15 minutes in term neonate</w:t>
      </w:r>
    </w:p>
    <w:p>
      <w:pPr>
        <w:pStyle w:val="ListParagraph"/>
        <w:numPr>
          <w:ilvl w:val="0"/>
          <w:numId w:val="2"/>
        </w:numPr>
        <w:spacing w:after="60"/>
      </w:pPr>
      <w:r>
        <w:rPr>
          <w:rFonts w:ascii="Arial" w:cs="Arial" w:eastAsia="Arial" w:hAnsi="Arial"/>
          <w:sz w:val="22"/>
          <w:szCs w:val="22"/>
        </w:rPr>
        <w:t xml:space="preserve">CRT &gt;3 seconds (&gt;4 seconds in preterm)</w:t>
      </w:r>
    </w:p>
    <w:p>
      <w:pPr>
        <w:pStyle w:val="ListParagraph"/>
        <w:numPr>
          <w:ilvl w:val="0"/>
          <w:numId w:val="2"/>
        </w:numPr>
        <w:spacing w:after="60"/>
      </w:pPr>
      <w:r>
        <w:rPr>
          <w:rFonts w:ascii="Arial" w:cs="Arial" w:eastAsia="Arial" w:hAnsi="Arial"/>
          <w:sz w:val="22"/>
          <w:szCs w:val="22"/>
        </w:rPr>
        <w:t xml:space="preserve">Lactate &gt;2 mmol/L (especially &gt;4 mmol/L = critical)</w:t>
      </w:r>
    </w:p>
    <w:p>
      <w:pPr>
        <w:pStyle w:val="ListParagraph"/>
        <w:numPr>
          <w:ilvl w:val="0"/>
          <w:numId w:val="2"/>
        </w:numPr>
        <w:spacing w:after="60"/>
      </w:pPr>
      <w:r>
        <w:rPr>
          <w:rFonts w:ascii="Arial" w:cs="Arial" w:eastAsia="Arial" w:hAnsi="Arial"/>
          <w:sz w:val="22"/>
          <w:szCs w:val="22"/>
        </w:rPr>
        <w:t xml:space="preserve">Base deficit worse than -8 mEq/L</w:t>
      </w:r>
    </w:p>
    <w:p>
      <w:pPr>
        <w:pStyle w:val="ListParagraph"/>
        <w:numPr>
          <w:ilvl w:val="0"/>
          <w:numId w:val="2"/>
        </w:numPr>
        <w:spacing w:after="60"/>
      </w:pPr>
      <w:r>
        <w:rPr>
          <w:rFonts w:ascii="Arial" w:cs="Arial" w:eastAsia="Arial" w:hAnsi="Arial"/>
          <w:sz w:val="22"/>
          <w:szCs w:val="22"/>
        </w:rPr>
        <w:t xml:space="preserve">Anion gap &gt;15 mEq/L</w:t>
      </w:r>
    </w:p>
    <w:p>
      <w:pPr>
        <w:pStyle w:val="ListParagraph"/>
        <w:numPr>
          <w:ilvl w:val="0"/>
          <w:numId w:val="2"/>
        </w:numPr>
        <w:spacing w:after="60"/>
      </w:pPr>
      <w:r>
        <w:rPr>
          <w:rFonts w:ascii="Arial" w:cs="Arial" w:eastAsia="Arial" w:hAnsi="Arial"/>
          <w:sz w:val="22"/>
          <w:szCs w:val="22"/>
        </w:rPr>
        <w:t xml:space="preserve">Petechiae or purpura (ANY location, ANY age — transport immediately)</w:t>
      </w:r>
    </w:p>
    <w:p>
      <w:pPr>
        <w:pStyle w:val="ListParagraph"/>
        <w:numPr>
          <w:ilvl w:val="0"/>
          <w:numId w:val="2"/>
        </w:numPr>
        <w:spacing w:after="60"/>
      </w:pPr>
      <w:r>
        <w:rPr>
          <w:rFonts w:ascii="Arial" w:cs="Arial" w:eastAsia="Arial" w:hAnsi="Arial"/>
          <w:sz w:val="22"/>
          <w:szCs w:val="22"/>
        </w:rPr>
        <w:t xml:space="preserve">Thrombocytopenia &lt;100,000/uL with clinical illness</w:t>
      </w:r>
    </w:p>
    <w:p>
      <w:pPr>
        <w:pStyle w:val="ListParagraph"/>
        <w:numPr>
          <w:ilvl w:val="0"/>
          <w:numId w:val="2"/>
        </w:numPr>
        <w:spacing w:after="60"/>
      </w:pPr>
      <w:r>
        <w:rPr>
          <w:rFonts w:ascii="Arial" w:cs="Arial" w:eastAsia="Arial" w:hAnsi="Arial"/>
          <w:sz w:val="22"/>
          <w:szCs w:val="22"/>
        </w:rPr>
        <w:t xml:space="preserve">WBC &lt;5,000 OR &gt;30,000 in neonate (especially with I:T ratio &gt;0.2)</w:t>
      </w:r>
    </w:p>
    <w:p>
      <w:pPr>
        <w:pStyle w:val="ListParagraph"/>
        <w:numPr>
          <w:ilvl w:val="0"/>
          <w:numId w:val="2"/>
        </w:numPr>
        <w:spacing w:after="60"/>
      </w:pPr>
      <w:r>
        <w:rPr>
          <w:rFonts w:ascii="Arial" w:cs="Arial" w:eastAsia="Arial" w:hAnsi="Arial"/>
          <w:sz w:val="22"/>
          <w:szCs w:val="22"/>
        </w:rPr>
        <w:t xml:space="preserve">Glucose &lt;50 mg/dL in neonate OR &lt;60 mg/dL in any child with illness</w:t>
      </w:r>
    </w:p>
    <w:p>
      <w:pPr>
        <w:pStyle w:val="ListParagraph"/>
        <w:numPr>
          <w:ilvl w:val="0"/>
          <w:numId w:val="2"/>
        </w:numPr>
        <w:spacing w:after="60"/>
      </w:pPr>
      <w:r>
        <w:rPr>
          <w:rFonts w:ascii="Arial" w:cs="Arial" w:eastAsia="Arial" w:hAnsi="Arial"/>
          <w:sz w:val="22"/>
          <w:szCs w:val="22"/>
        </w:rPr>
        <w:t xml:space="preserve">Blood pressure below age-appropriate lower limit</w:t>
      </w:r>
    </w:p>
    <w:p>
      <w:pPr>
        <w:spacing w:after="80"/>
      </w:pPr>
      <w:r>
        <w:t xml:space="preserve"/>
      </w:r>
    </w:p>
    <w:p>
      <w:r>
        <w:br w:type="page"/>
      </w:r>
    </w:p>
    <w:p>
      <w:pPr>
        <w:pStyle w:val="Heading1"/>
      </w:pPr>
      <w:r>
        <w:rPr>
          <w:rFonts w:ascii="Arial" w:cs="Arial" w:eastAsia="Arial" w:hAnsi="Arial"/>
          <w:b/>
          <w:bCs/>
        </w:rPr>
        <w:t xml:space="preserve">References</w:t>
      </w:r>
    </w:p>
    <w:p>
      <w:pPr>
        <w:spacing w:after="100"/>
      </w:pPr>
      <w:r>
        <w:rPr>
          <w:rFonts w:ascii="Arial" w:cs="Arial" w:eastAsia="Arial" w:hAnsi="Arial"/>
          <w:b w:val="false"/>
          <w:bCs w:val="false"/>
          <w:sz w:val="22"/>
          <w:szCs w:val="22"/>
        </w:rPr>
        <w:t xml:space="preserve">The following references were used to develop this education guide. All sources are USA-based peer-reviewed literature or national guideline bodies.</w:t>
      </w:r>
    </w:p>
    <w:p>
      <w:pPr>
        <w:spacing w:after="80"/>
      </w:pPr>
      <w:r>
        <w:t xml:space="preserve"/>
      </w:r>
    </w:p>
    <w:p>
      <w:pPr>
        <w:pStyle w:val="ListParagraph"/>
        <w:numPr>
          <w:ilvl w:val="0"/>
          <w:numId w:val="3"/>
        </w:numPr>
        <w:spacing w:after="60"/>
      </w:pPr>
      <w:r>
        <w:rPr>
          <w:rFonts w:ascii="Arial" w:cs="Arial" w:eastAsia="Arial" w:hAnsi="Arial"/>
          <w:sz w:val="22"/>
          <w:szCs w:val="22"/>
        </w:rPr>
        <w:t xml:space="preserve">Weiss SL, Fitzgerald JC. Pediatric Sepsis Diagnosis, Management, and Sub-phenotypes. Pediatrics. 2024;153(1):e2023062967. doi:10.1542/peds.2023-062967</w:t>
      </w:r>
    </w:p>
    <w:p>
      <w:pPr>
        <w:pStyle w:val="ListParagraph"/>
        <w:numPr>
          <w:ilvl w:val="0"/>
          <w:numId w:val="3"/>
        </w:numPr>
        <w:spacing w:after="60"/>
      </w:pPr>
      <w:r>
        <w:rPr>
          <w:rFonts w:ascii="Arial" w:cs="Arial" w:eastAsia="Arial" w:hAnsi="Arial"/>
          <w:sz w:val="22"/>
          <w:szCs w:val="22"/>
        </w:rPr>
        <w:t xml:space="preserve">Schlapbach LJ, Watson RS, Sorce LR, et al. International Consensus Criteria for Pediatric Sepsis and Septic Shock (Phoenix Criteria). JAMA. 2024;331(8):665-674. doi:10.1001/jama.2024.0179</w:t>
      </w:r>
    </w:p>
    <w:p>
      <w:pPr>
        <w:pStyle w:val="ListParagraph"/>
        <w:numPr>
          <w:ilvl w:val="0"/>
          <w:numId w:val="3"/>
        </w:numPr>
        <w:spacing w:after="60"/>
      </w:pPr>
      <w:r>
        <w:rPr>
          <w:rFonts w:ascii="Arial" w:cs="Arial" w:eastAsia="Arial" w:hAnsi="Arial"/>
          <w:sz w:val="22"/>
          <w:szCs w:val="22"/>
        </w:rPr>
        <w:t xml:space="preserve">Weiss SL, Peters MJ, Alhazzani W, et al. Surviving Sepsis Campaign International Guidelines for the Management of Septic Shock and Sepsis-Associated Organ Dysfunction in Children. Pediatr Crit Care Med. 2020;21(2):e52-e106. PMID: 32032273</w:t>
      </w:r>
    </w:p>
    <w:p>
      <w:pPr>
        <w:pStyle w:val="ListParagraph"/>
        <w:numPr>
          <w:ilvl w:val="0"/>
          <w:numId w:val="3"/>
        </w:numPr>
        <w:spacing w:after="60"/>
      </w:pPr>
      <w:r>
        <w:rPr>
          <w:rFonts w:ascii="Arial" w:cs="Arial" w:eastAsia="Arial" w:hAnsi="Arial"/>
          <w:sz w:val="22"/>
          <w:szCs w:val="22"/>
        </w:rPr>
        <w:t xml:space="preserve">Davis AL, Carcillo JA, Aneja RK, et al. American College of Critical Care Medicine Clinical Practice Parameters for Hemodynamic Support of Pediatric and Neonatal Septic Shock. Crit Care Med. 2017;45(6):1061-1093. doi:10.1097/CCM.0000000000002425 PMID: 28509730</w:t>
      </w:r>
    </w:p>
    <w:p>
      <w:pPr>
        <w:pStyle w:val="ListParagraph"/>
        <w:numPr>
          <w:ilvl w:val="0"/>
          <w:numId w:val="3"/>
        </w:numPr>
        <w:spacing w:after="60"/>
      </w:pPr>
      <w:r>
        <w:rPr>
          <w:rFonts w:ascii="Arial" w:cs="Arial" w:eastAsia="Arial" w:hAnsi="Arial"/>
          <w:sz w:val="22"/>
          <w:szCs w:val="22"/>
        </w:rPr>
        <w:t xml:space="preserve">Foote HP, Benjamin DK, Greenberg RG, Clark RH, Hornik CP. Use of vasopressors for septic shock in the neonatal intensive care unit. J Perinatol. 2023;43(10):1274-1280. doi:10.1038/s41372-023-01667-8 PMID: 37055478</w:t>
      </w:r>
    </w:p>
    <w:p>
      <w:pPr>
        <w:pStyle w:val="ListParagraph"/>
        <w:numPr>
          <w:ilvl w:val="0"/>
          <w:numId w:val="3"/>
        </w:numPr>
        <w:spacing w:after="60"/>
      </w:pPr>
      <w:r>
        <w:rPr>
          <w:rFonts w:ascii="Arial" w:cs="Arial" w:eastAsia="Arial" w:hAnsi="Arial"/>
          <w:sz w:val="22"/>
          <w:szCs w:val="22"/>
        </w:rPr>
        <w:t xml:space="preserve">Wynn JL, Wong HR. Pathophysiology and treatment of septic shock in neonates. Clin Perinatol. 2010;37(2):439-479. doi:10.1016/j.clp.2010.04.002 PMID: 20569814</w:t>
      </w:r>
    </w:p>
    <w:p>
      <w:pPr>
        <w:pStyle w:val="ListParagraph"/>
        <w:numPr>
          <w:ilvl w:val="0"/>
          <w:numId w:val="3"/>
        </w:numPr>
        <w:spacing w:after="60"/>
      </w:pPr>
      <w:r>
        <w:rPr>
          <w:rFonts w:ascii="Arial" w:cs="Arial" w:eastAsia="Arial" w:hAnsi="Arial"/>
          <w:sz w:val="22"/>
          <w:szCs w:val="22"/>
        </w:rPr>
        <w:t xml:space="preserve">Gago C, Alexandre S, Marcal M, Tuna M. Neonatal Septic Shock in a NICU — Trends In Incidence and Therapeutic Challenges. J Neonatol Clin Pediatr. 2022;9:091.</w:t>
      </w:r>
    </w:p>
    <w:p>
      <w:pPr>
        <w:pStyle w:val="ListParagraph"/>
        <w:numPr>
          <w:ilvl w:val="0"/>
          <w:numId w:val="3"/>
        </w:numPr>
        <w:spacing w:after="60"/>
      </w:pPr>
      <w:r>
        <w:rPr>
          <w:rFonts w:ascii="Arial" w:cs="Arial" w:eastAsia="Arial" w:hAnsi="Arial"/>
          <w:sz w:val="22"/>
          <w:szCs w:val="22"/>
        </w:rPr>
        <w:t xml:space="preserve">Cruz AT, Lane RD, Balamuth F, et al. Updates on Pediatric Sepsis. J Am Coll Emerg Physicians Open. 2020;1(5):981-993. doi:10.1002/emp2.12173</w:t>
      </w:r>
    </w:p>
    <w:p>
      <w:pPr>
        <w:pStyle w:val="ListParagraph"/>
        <w:numPr>
          <w:ilvl w:val="0"/>
          <w:numId w:val="3"/>
        </w:numPr>
        <w:spacing w:after="60"/>
      </w:pPr>
      <w:r>
        <w:rPr>
          <w:rFonts w:ascii="Arial" w:cs="Arial" w:eastAsia="Arial" w:hAnsi="Arial"/>
          <w:sz w:val="22"/>
          <w:szCs w:val="22"/>
        </w:rPr>
        <w:t xml:space="preserve">Kharrat A, Jain A. Hemodynamic dysfunction in neonatal sepsis. Pediatr Res. 2022;91(2):413-424. doi:10.1038/s41390-021-01855-4</w:t>
      </w:r>
    </w:p>
    <w:p>
      <w:pPr>
        <w:pStyle w:val="ListParagraph"/>
        <w:numPr>
          <w:ilvl w:val="0"/>
          <w:numId w:val="3"/>
        </w:numPr>
        <w:spacing w:after="60"/>
      </w:pPr>
      <w:r>
        <w:rPr>
          <w:rFonts w:ascii="Arial" w:cs="Arial" w:eastAsia="Arial" w:hAnsi="Arial"/>
          <w:sz w:val="22"/>
          <w:szCs w:val="22"/>
        </w:rPr>
        <w:t xml:space="preserve">Orlandin L, et al. Advances in the diagnostic and treatment of neonatal septic shock: a narrative review. Pediatr Med. 2025. doi:10.21037/pm-24-193</w:t>
      </w:r>
    </w:p>
    <w:p>
      <w:pPr>
        <w:pStyle w:val="ListParagraph"/>
        <w:numPr>
          <w:ilvl w:val="0"/>
          <w:numId w:val="3"/>
        </w:numPr>
        <w:spacing w:after="60"/>
      </w:pPr>
      <w:r>
        <w:rPr>
          <w:rFonts w:ascii="Arial" w:cs="Arial" w:eastAsia="Arial" w:hAnsi="Arial"/>
          <w:sz w:val="22"/>
          <w:szCs w:val="22"/>
        </w:rPr>
        <w:t xml:space="preserve">NeoCardioLab. Neonatal Septic Shock and Hemodynamic Physiology. neocardiolab.com [Expert consensus review, 2024-2025].</w:t>
      </w:r>
    </w:p>
    <w:p>
      <w:pPr>
        <w:pStyle w:val="ListParagraph"/>
        <w:numPr>
          <w:ilvl w:val="0"/>
          <w:numId w:val="3"/>
        </w:numPr>
        <w:spacing w:after="60"/>
      </w:pPr>
      <w:r>
        <w:rPr>
          <w:rFonts w:ascii="Arial" w:cs="Arial" w:eastAsia="Arial" w:hAnsi="Arial"/>
          <w:sz w:val="22"/>
          <w:szCs w:val="22"/>
        </w:rPr>
        <w:t xml:space="preserve">Fleischmann C, Reichert F, Cassini A, et al. Global incidence and mortality of neonatal sepsis: a systematic review and meta-analysis. Arch Dis Child. 2021;106(8):745-752.</w:t>
      </w:r>
    </w:p>
    <w:p>
      <w:pPr>
        <w:pStyle w:val="ListParagraph"/>
        <w:numPr>
          <w:ilvl w:val="0"/>
          <w:numId w:val="3"/>
        </w:numPr>
        <w:spacing w:after="60"/>
      </w:pPr>
      <w:r>
        <w:rPr>
          <w:rFonts w:ascii="Arial" w:cs="Arial" w:eastAsia="Arial" w:hAnsi="Arial"/>
          <w:sz w:val="22"/>
          <w:szCs w:val="22"/>
        </w:rPr>
        <w:t xml:space="preserve">Singer M, Deutschman CS, Seymour CW, et al. The Third International Consensus Definitions for Sepsis and Septic Shock (Sepsis-3). JAMA. 2016;315(8):801-810. doi:10.1001/jama.2016.0287</w:t>
      </w:r>
    </w:p>
    <w:p>
      <w:pPr>
        <w:pStyle w:val="ListParagraph"/>
        <w:numPr>
          <w:ilvl w:val="0"/>
          <w:numId w:val="3"/>
        </w:numPr>
        <w:spacing w:after="60"/>
      </w:pPr>
      <w:r>
        <w:rPr>
          <w:rFonts w:ascii="Arial" w:cs="Arial" w:eastAsia="Arial" w:hAnsi="Arial"/>
          <w:sz w:val="22"/>
          <w:szCs w:val="22"/>
        </w:rPr>
        <w:t xml:space="preserve">Glaser K, Speer CP, Gotze-Speer B. Updates in Late-Onset Sepsis: Risk Assessment, Therapy and Outcomes. Neoreviews. 2022;23(11):e738-e755. doi:10.1542/neo.23-10-e738 PMID: PMC9675597</w:t>
      </w:r>
    </w:p>
    <w:p>
      <w:pPr>
        <w:pStyle w:val="ListParagraph"/>
        <w:numPr>
          <w:ilvl w:val="0"/>
          <w:numId w:val="3"/>
        </w:numPr>
        <w:spacing w:after="60"/>
      </w:pPr>
      <w:r>
        <w:rPr>
          <w:rFonts w:ascii="Arial" w:cs="Arial" w:eastAsia="Arial" w:hAnsi="Arial"/>
          <w:sz w:val="22"/>
          <w:szCs w:val="22"/>
        </w:rPr>
        <w:t xml:space="preserve">StatPearls. Neonatal Sepsis. NCBI Bookshelf. National Library of Medicine. NBK531478. Updated January 2026.</w:t>
      </w:r>
    </w:p>
    <w:p>
      <w:pPr>
        <w:pStyle w:val="ListParagraph"/>
        <w:numPr>
          <w:ilvl w:val="0"/>
          <w:numId w:val="3"/>
        </w:numPr>
        <w:spacing w:after="60"/>
      </w:pPr>
      <w:r>
        <w:rPr>
          <w:rFonts w:ascii="Arial" w:cs="Arial" w:eastAsia="Arial" w:hAnsi="Arial"/>
          <w:sz w:val="22"/>
          <w:szCs w:val="22"/>
        </w:rPr>
        <w:t xml:space="preserve">Sievert DM, Ricks P, Edwards JR, et al. Antimicrobial-resistant pathogens associated with healthcare-associated infections. Infect Control Hosp Epidemiol. 2013;34(1):1-14. (MRSA/CoNS NICU background)</w:t>
      </w:r>
    </w:p>
    <w:p>
      <w:pPr>
        <w:pStyle w:val="ListParagraph"/>
        <w:numPr>
          <w:ilvl w:val="0"/>
          <w:numId w:val="3"/>
        </w:numPr>
        <w:spacing w:after="60"/>
      </w:pPr>
      <w:r>
        <w:rPr>
          <w:rFonts w:ascii="Arial" w:cs="Arial" w:eastAsia="Arial" w:hAnsi="Arial"/>
          <w:sz w:val="22"/>
          <w:szCs w:val="22"/>
        </w:rPr>
        <w:t xml:space="preserve">Brierley J, Carcillo JA, Choong K, et al. Clinical practice parameters for hemodynamic support of pediatric and neonatal septic shock: 2007 update from ACCM. Crit Care Med. 2009;37(2):666-688. PMID: 19325359</w:t>
      </w:r>
    </w:p>
    <w:p>
      <w:pPr>
        <w:pStyle w:val="ListParagraph"/>
        <w:numPr>
          <w:ilvl w:val="0"/>
          <w:numId w:val="3"/>
        </w:numPr>
        <w:spacing w:after="60"/>
      </w:pPr>
      <w:r>
        <w:rPr>
          <w:rFonts w:ascii="Arial" w:cs="Arial" w:eastAsia="Arial" w:hAnsi="Arial"/>
          <w:sz w:val="22"/>
          <w:szCs w:val="22"/>
        </w:rPr>
        <w:t xml:space="preserve">Ventura AM, Shieh HH, Bousso A, et al. Double-blind prospective randomized controlled trial of dopamine versus epinephrine as first-line vasoactive drugs in pediatric septic shock. Crit Care Med. 2015;43(11):2292-2302. PMID: 26323041</w:t>
      </w:r>
    </w:p>
    <w:p>
      <w:pPr>
        <w:spacing w:after="80"/>
      </w:pPr>
      <w:r>
        <w:t xml:space="preserve"/>
      </w:r>
    </w:p>
    <w:p>
      <w:pPr>
        <w:spacing w:after="100"/>
      </w:pPr>
      <w:r>
        <w:rPr>
          <w:rFonts w:ascii="Arial" w:cs="Arial" w:eastAsia="Arial" w:hAnsi="Arial"/>
          <w:b w:val="false"/>
          <w:bCs w:val="false"/>
          <w:sz w:val="22"/>
          <w:szCs w:val="22"/>
        </w:rPr>
        <w:t xml:space="preserve">For the most current versions of these guidelines, please visit: pediatrics.aappublications.org (AAP), sccm.org/survivingsepsiscampaign (SSC Pediatric Guidelines), and aap.org (American Academy of Pediatrics).</w:t>
      </w:r>
    </w:p>
    <w:p>
      <w:r>
        <w:rPr>
          <w:rFonts w:ascii="Arial" w:cs="Arial" w:eastAsia="Arial" w:hAnsi="Arial"/>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666666"/>
        <w:sz w:val="16"/>
        <w:szCs w:val="16"/>
      </w:rPr>
      <w:t xml:space="preserve">Pediatric Emergency CDS Project | Level I/II Nursery Education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Septic Shock in Neonates and Pediatrics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F3864"/>
      <w:sz w:val="24"/>
      <w:szCs w:val="24"/>
    </w:rPr>
  </w:style>
  <w:style w:type="paragraph" w:styleId="Heading4">
    <w:name w:val="Heading 4"/>
    <w:basedOn w:val="Normal"/>
    <w:next w:val="Normal"/>
    <w:qFormat/>
    <w:pPr>
      <w:spacing w:after="100" w:before="14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2026-03-31T16:31:01.234Z</dcterms:created>
  <dcterms:modified xsi:type="dcterms:W3CDTF">2026-03-31T16:31:01.235Z</dcterms:modified>
</cp:coreProperties>
</file>

<file path=docProps/custom.xml><?xml version="1.0" encoding="utf-8"?>
<Properties xmlns="http://schemas.openxmlformats.org/officeDocument/2006/custom-properties" xmlns:vt="http://schemas.openxmlformats.org/officeDocument/2006/docPropsVTypes"/>
</file>