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jc w:val="center"/>
      </w:pPr>
      <w:r>
        <w:rPr>
          <w:rFonts w:ascii="Arial" w:hAnsi="Arial"/>
          <w:b/>
          <w:i w:val="0"/>
          <w:color w:val="17365D"/>
          <w:sz w:val="48"/>
        </w:rPr>
        <w:t>Enterprise Software Development Blueprint</w:t>
      </w:r>
    </w:p>
    <w:p>
      <w:pPr>
        <w:spacing w:after="360"/>
        <w:jc w:val="center"/>
      </w:pPr>
      <w:r>
        <w:rPr>
          <w:rFonts w:ascii="Arial" w:hAnsi="Arial"/>
          <w:b w:val="0"/>
          <w:i w:val="0"/>
          <w:color w:val="4F81BD"/>
          <w:sz w:val="25"/>
        </w:rPr>
        <w:t>Best practices for error handling, testing, audit logging, automated debugging, secure CI/CD, browser automation, and high-performance delivery</w:t>
      </w:r>
    </w:p>
    <w:p>
      <w:pPr>
        <w:spacing w:after="360"/>
        <w:jc w:val="center"/>
        <w:pBdr>
          <w:top w:val="single" w:sz="4" w:space="6" w:color="B7C9E2"/>
          <w:left w:val="single" w:sz="4" w:space="6" w:color="B7C9E2"/>
          <w:bottom w:val="single" w:sz="4" w:space="6" w:color="B7C9E2"/>
          <w:right w:val="single" w:sz="4" w:space="6" w:color="B7C9E2"/>
        </w:pBdr>
      </w:pPr>
      <w:r/>
    </w:p>
    <w:p>
      <w:pPr>
        <w:spacing w:after="160"/>
        <w:jc w:val="center"/>
      </w:pPr>
      <w:r>
        <w:rPr>
          <w:rFonts w:ascii="Arial" w:hAnsi="Arial"/>
          <w:b w:val="0"/>
          <w:i w:val="0"/>
          <w:color w:val="404040"/>
          <w:sz w:val="21"/>
        </w:rPr>
        <w:t>Prepared as an enterprise operating blueprint for engineering leaders, architects, platform teams, security teams, and delivery managers.</w:t>
      </w:r>
    </w:p>
    <w:p>
      <w:pPr>
        <w:spacing w:after="160"/>
        <w:jc w:val="center"/>
      </w:pPr>
      <w:r>
        <w:rPr>
          <w:rFonts w:ascii="Arial" w:hAnsi="Arial"/>
          <w:b w:val="0"/>
          <w:i w:val="0"/>
          <w:color w:val="404040"/>
          <w:sz w:val="21"/>
        </w:rPr>
        <w:t>Date: April 5, 2026</w:t>
      </w:r>
    </w:p>
    <w:p>
      <w:pPr>
        <w:spacing w:after="160"/>
        <w:jc w:val="center"/>
      </w:pPr>
      <w:r>
        <w:rPr>
          <w:rFonts w:ascii="Arial" w:hAnsi="Arial"/>
          <w:b w:val="0"/>
          <w:i w:val="0"/>
          <w:color w:val="404040"/>
          <w:sz w:val="21"/>
        </w:rPr>
        <w:t>Foundation references used in shaping this blueprint include NIST SSDF, OWASP ASVS, GitHub Actions security guidance, Playwright guidance, OpenTelemetry, SLSA, CycloneDX, and CodeQL.</w:t>
      </w:r>
    </w:p>
    <w:tbl>
      <w:tblPr>
        <w:tblW w:type="auto" w:w="0"/>
        <w:jc w:val="center"/>
        <w:tblLayout w:type="fixed"/>
        <w:tblLook w:firstColumn="1" w:firstRow="1" w:lastColumn="0" w:lastRow="0" w:noHBand="0" w:noVBand="1" w:val="04A0"/>
      </w:tblPr>
      <w:tblGrid>
        <w:gridCol w:w="9936"/>
      </w:tblGrid>
      <w:tr>
        <w:tc>
          <w:tcPr>
            <w:tcW w:type="dxa" w:w="9792"/>
            <w:shd w:fill="EEF4FB"/>
            <w:vAlign w:val="center"/>
          </w:tcPr>
          <w:p>
            <w:pPr>
              <w:spacing w:after="40"/>
            </w:pPr>
            <w:r>
              <w:rPr>
                <w:rFonts w:ascii="Arial" w:hAnsi="Arial"/>
                <w:b/>
                <w:i w:val="0"/>
                <w:color w:val="1F4E79"/>
                <w:sz w:val="21"/>
              </w:rPr>
              <w:t>What this document is for</w:t>
            </w:r>
          </w:p>
          <w:p>
            <w:pPr>
              <w:spacing w:after="0"/>
            </w:pPr>
            <w:r>
              <w:rPr>
                <w:rFonts w:ascii="Arial" w:hAnsi="Arial"/>
                <w:b w:val="0"/>
                <w:i w:val="0"/>
                <w:color w:val="000000"/>
                <w:sz w:val="19"/>
              </w:rPr>
              <w:t>Use this document as a standard, a rollout guide, and a review checklist. It is intentionally opinionated: the goal is not merely to ship software, but to ship secure, observable, testable, auditable, and maintainable systems at enterprise scale.</w:t>
            </w:r>
          </w:p>
        </w:tc>
      </w:tr>
    </w:tbl>
    <w:p>
      <w:pPr>
        <w:spacing w:after="40"/>
      </w:pPr>
    </w:p>
    <w:p>
      <w:r>
        <w:br w:type="page"/>
      </w:r>
    </w:p>
    <w:p>
      <w:pPr>
        <w:pStyle w:val="Heading1"/>
        <w:keepNext/>
        <w:spacing w:before="240" w:after="80"/>
      </w:pPr>
      <w:r>
        <w:t>Contents</w:t>
      </w:r>
    </w:p>
    <w:p>
      <w:pPr>
        <w:pStyle w:val="ListBullet"/>
        <w:spacing w:after="80"/>
        <w:ind w:left="360"/>
      </w:pPr>
      <w:r>
        <w:rPr>
          <w:rFonts w:ascii="Arial" w:hAnsi="Arial"/>
          <w:b w:val="0"/>
          <w:i w:val="0"/>
          <w:color w:val="000000"/>
          <w:sz w:val="21"/>
        </w:rPr>
        <w:t>1. Executive summary</w:t>
      </w:r>
    </w:p>
    <w:p>
      <w:pPr>
        <w:pStyle w:val="ListBullet"/>
        <w:spacing w:after="80"/>
        <w:ind w:left="360"/>
      </w:pPr>
      <w:r>
        <w:rPr>
          <w:rFonts w:ascii="Arial" w:hAnsi="Arial"/>
          <w:b w:val="0"/>
          <w:i w:val="0"/>
          <w:color w:val="000000"/>
          <w:sz w:val="21"/>
        </w:rPr>
        <w:t>2. Core operating principles</w:t>
      </w:r>
    </w:p>
    <w:p>
      <w:pPr>
        <w:pStyle w:val="ListBullet"/>
        <w:spacing w:after="80"/>
        <w:ind w:left="360"/>
      </w:pPr>
      <w:r>
        <w:rPr>
          <w:rFonts w:ascii="Arial" w:hAnsi="Arial"/>
          <w:b w:val="0"/>
          <w:i w:val="0"/>
          <w:color w:val="000000"/>
          <w:sz w:val="21"/>
        </w:rPr>
        <w:t>3. Reference SDLC and governance model</w:t>
      </w:r>
    </w:p>
    <w:p>
      <w:pPr>
        <w:pStyle w:val="ListBullet"/>
        <w:spacing w:after="80"/>
        <w:ind w:left="360"/>
      </w:pPr>
      <w:r>
        <w:rPr>
          <w:rFonts w:ascii="Arial" w:hAnsi="Arial"/>
          <w:b w:val="0"/>
          <w:i w:val="0"/>
          <w:color w:val="000000"/>
          <w:sz w:val="21"/>
        </w:rPr>
        <w:t>4. Repository and architecture standards</w:t>
      </w:r>
    </w:p>
    <w:p>
      <w:pPr>
        <w:pStyle w:val="ListBullet"/>
        <w:spacing w:after="80"/>
        <w:ind w:left="360"/>
      </w:pPr>
      <w:r>
        <w:rPr>
          <w:rFonts w:ascii="Arial" w:hAnsi="Arial"/>
          <w:b w:val="0"/>
          <w:i w:val="0"/>
          <w:color w:val="000000"/>
          <w:sz w:val="21"/>
        </w:rPr>
        <w:t>5. Comprehensive error handling standard</w:t>
      </w:r>
    </w:p>
    <w:p>
      <w:pPr>
        <w:pStyle w:val="ListBullet"/>
        <w:spacing w:after="80"/>
        <w:ind w:left="360"/>
      </w:pPr>
      <w:r>
        <w:rPr>
          <w:rFonts w:ascii="Arial" w:hAnsi="Arial"/>
          <w:b w:val="0"/>
          <w:i w:val="0"/>
          <w:color w:val="000000"/>
          <w:sz w:val="21"/>
        </w:rPr>
        <w:t>6. Audit logging, telemetry, and operational evidence</w:t>
      </w:r>
    </w:p>
    <w:p>
      <w:pPr>
        <w:pStyle w:val="ListBullet"/>
        <w:spacing w:after="80"/>
        <w:ind w:left="360"/>
      </w:pPr>
      <w:r>
        <w:rPr>
          <w:rFonts w:ascii="Arial" w:hAnsi="Arial"/>
          <w:b w:val="0"/>
          <w:i w:val="0"/>
          <w:color w:val="000000"/>
          <w:sz w:val="21"/>
        </w:rPr>
        <w:t>7. Testing strategy and meaningful coverage</w:t>
      </w:r>
    </w:p>
    <w:p>
      <w:pPr>
        <w:pStyle w:val="ListBullet"/>
        <w:spacing w:after="80"/>
        <w:ind w:left="360"/>
      </w:pPr>
      <w:r>
        <w:rPr>
          <w:rFonts w:ascii="Arial" w:hAnsi="Arial"/>
          <w:b w:val="0"/>
          <w:i w:val="0"/>
          <w:color w:val="000000"/>
          <w:sz w:val="21"/>
        </w:rPr>
        <w:t>8. Automated GUI and web testing with Playwright</w:t>
      </w:r>
    </w:p>
    <w:p>
      <w:pPr>
        <w:pStyle w:val="ListBullet"/>
        <w:spacing w:after="80"/>
        <w:ind w:left="360"/>
      </w:pPr>
      <w:r>
        <w:rPr>
          <w:rFonts w:ascii="Arial" w:hAnsi="Arial"/>
          <w:b w:val="0"/>
          <w:i w:val="0"/>
          <w:color w:val="000000"/>
          <w:sz w:val="21"/>
        </w:rPr>
        <w:t>9. CI/CD architecture with GitHub Actions</w:t>
      </w:r>
    </w:p>
    <w:p>
      <w:pPr>
        <w:pStyle w:val="ListBullet"/>
        <w:spacing w:after="80"/>
        <w:ind w:left="360"/>
      </w:pPr>
      <w:r>
        <w:rPr>
          <w:rFonts w:ascii="Arial" w:hAnsi="Arial"/>
          <w:b w:val="0"/>
          <w:i w:val="0"/>
          <w:color w:val="000000"/>
          <w:sz w:val="21"/>
        </w:rPr>
        <w:t>10. Security engineering and supply chain integrity</w:t>
      </w:r>
    </w:p>
    <w:p>
      <w:pPr>
        <w:pStyle w:val="ListBullet"/>
        <w:spacing w:after="80"/>
        <w:ind w:left="360"/>
      </w:pPr>
      <w:r>
        <w:rPr>
          <w:rFonts w:ascii="Arial" w:hAnsi="Arial"/>
          <w:b w:val="0"/>
          <w:i w:val="0"/>
          <w:color w:val="000000"/>
          <w:sz w:val="21"/>
        </w:rPr>
        <w:t>11. Performance engineering blueprint</w:t>
      </w:r>
    </w:p>
    <w:p>
      <w:pPr>
        <w:pStyle w:val="ListBullet"/>
        <w:spacing w:after="80"/>
        <w:ind w:left="360"/>
      </w:pPr>
      <w:r>
        <w:rPr>
          <w:rFonts w:ascii="Arial" w:hAnsi="Arial"/>
          <w:b w:val="0"/>
          <w:i w:val="0"/>
          <w:color w:val="000000"/>
          <w:sz w:val="21"/>
        </w:rPr>
        <w:t>12. Release management, resiliency, and incident response</w:t>
      </w:r>
    </w:p>
    <w:p>
      <w:pPr>
        <w:pStyle w:val="ListBullet"/>
        <w:spacing w:after="80"/>
        <w:ind w:left="360"/>
      </w:pPr>
      <w:r>
        <w:rPr>
          <w:rFonts w:ascii="Arial" w:hAnsi="Arial"/>
          <w:b w:val="0"/>
          <w:i w:val="0"/>
          <w:color w:val="000000"/>
          <w:sz w:val="21"/>
        </w:rPr>
        <w:t>13. Engineering metrics and scorecards</w:t>
      </w:r>
    </w:p>
    <w:p>
      <w:pPr>
        <w:pStyle w:val="ListBullet"/>
        <w:spacing w:after="80"/>
        <w:ind w:left="360"/>
      </w:pPr>
      <w:r>
        <w:rPr>
          <w:rFonts w:ascii="Arial" w:hAnsi="Arial"/>
          <w:b w:val="0"/>
          <w:i w:val="0"/>
          <w:color w:val="000000"/>
          <w:sz w:val="21"/>
        </w:rPr>
        <w:t>14. Maturity roadmap</w:t>
      </w:r>
    </w:p>
    <w:p>
      <w:pPr>
        <w:pStyle w:val="ListBullet"/>
        <w:spacing w:after="80"/>
        <w:ind w:left="360"/>
      </w:pPr>
      <w:r>
        <w:rPr>
          <w:rFonts w:ascii="Arial" w:hAnsi="Arial"/>
          <w:b w:val="0"/>
          <w:i w:val="0"/>
          <w:color w:val="000000"/>
          <w:sz w:val="21"/>
        </w:rPr>
        <w:t>15. Implementation starter kit</w:t>
      </w:r>
    </w:p>
    <w:p>
      <w:pPr>
        <w:pStyle w:val="ListBullet"/>
        <w:spacing w:after="80"/>
        <w:ind w:left="360"/>
      </w:pPr>
      <w:r>
        <w:rPr>
          <w:rFonts w:ascii="Arial" w:hAnsi="Arial"/>
          <w:b w:val="0"/>
          <w:i w:val="0"/>
          <w:color w:val="000000"/>
          <w:sz w:val="21"/>
        </w:rPr>
        <w:t>Appendices</w:t>
      </w:r>
    </w:p>
    <w:tbl>
      <w:tblPr>
        <w:tblW w:type="auto" w:w="0"/>
        <w:jc w:val="center"/>
        <w:tblLayout w:type="fixed"/>
        <w:tblLook w:firstColumn="1" w:firstRow="1" w:lastColumn="0" w:lastRow="0" w:noHBand="0" w:noVBand="1" w:val="04A0"/>
      </w:tblPr>
      <w:tblGrid>
        <w:gridCol w:w="9936"/>
      </w:tblGrid>
      <w:tr>
        <w:tc>
          <w:tcPr>
            <w:tcW w:type="dxa" w:w="9792"/>
            <w:shd w:fill="EEF4FB"/>
            <w:vAlign w:val="center"/>
          </w:tcPr>
          <w:p>
            <w:pPr>
              <w:spacing w:after="40"/>
            </w:pPr>
            <w:r>
              <w:rPr>
                <w:rFonts w:ascii="Arial" w:hAnsi="Arial"/>
                <w:b/>
                <w:i w:val="0"/>
                <w:color w:val="1F4E79"/>
                <w:sz w:val="21"/>
              </w:rPr>
              <w:t>Interpretation note</w:t>
            </w:r>
          </w:p>
          <w:p>
            <w:pPr>
              <w:spacing w:after="0"/>
            </w:pPr>
            <w:r>
              <w:rPr>
                <w:rFonts w:ascii="Arial" w:hAnsi="Arial"/>
                <w:b w:val="0"/>
                <w:i w:val="0"/>
                <w:color w:val="000000"/>
                <w:sz w:val="19"/>
              </w:rPr>
              <w:t>When this blueprint uses phrases such as complete coverage or complete logging, it means complete coverage of critical behavior, failure modes, security-sensitive flows, compliance events, and release evidence - not a shallow pursuit of vanity metrics.</w:t>
            </w:r>
          </w:p>
        </w:tc>
      </w:tr>
    </w:tbl>
    <w:p>
      <w:pPr>
        <w:spacing w:after="40"/>
      </w:pPr>
    </w:p>
    <w:p>
      <w:pPr>
        <w:pStyle w:val="Heading1"/>
        <w:keepNext/>
        <w:spacing w:before="240" w:after="80"/>
      </w:pPr>
      <w:r>
        <w:t>1. Executive summary</w:t>
      </w:r>
    </w:p>
    <w:p>
      <w:pPr>
        <w:spacing w:after="140" w:line="240" w:lineRule="auto"/>
      </w:pPr>
      <w:r>
        <w:rPr>
          <w:rFonts w:ascii="Arial" w:hAnsi="Arial"/>
          <w:b w:val="0"/>
          <w:i w:val="0"/>
          <w:color w:val="000000"/>
          <w:sz w:val="21"/>
        </w:rPr>
        <w:t>Enterprise software development should be treated as an operating system for risk reduction and reliable change. The strongest organizations do not rely on heroic developers, undocumented tribal knowledge, or a fragile release pipeline. They institutionalize quality through standards, automation, observability, review gates, and fast feedback loops.</w:t>
      </w:r>
    </w:p>
    <w:p>
      <w:pPr>
        <w:spacing w:after="140" w:line="240" w:lineRule="auto"/>
      </w:pPr>
      <w:r>
        <w:rPr>
          <w:rFonts w:ascii="Arial" w:hAnsi="Arial"/>
          <w:b w:val="0"/>
          <w:i w:val="0"/>
          <w:color w:val="000000"/>
          <w:sz w:val="21"/>
        </w:rPr>
        <w:t>The practical target state is straightforward: every important change is reviewed, tested, scanned, traceable, measurable, reproducible, and reversible. Every production failure is diagnosable. Every release has provenance. Every meaningful user or administrator action can be reconstructed through audit evidence. Every team works from the same baseline controls, but retains room for product-specific decisions.</w:t>
      </w:r>
    </w:p>
    <w:p>
      <w:pPr>
        <w:spacing w:after="140" w:line="240" w:lineRule="auto"/>
      </w:pPr>
      <w:r>
        <w:rPr>
          <w:rFonts w:ascii="Arial" w:hAnsi="Arial"/>
          <w:b w:val="0"/>
          <w:i w:val="0"/>
          <w:color w:val="000000"/>
          <w:sz w:val="21"/>
        </w:rPr>
        <w:t>This blueprint organizes best practice into fifteen domains: architecture, coding, error handling, logging, testing, browser automation, CI/CD, security, supply chain controls, performance, release engineering, operations, metrics, governance, and rollout. It is designed so a platform team can turn the document into templates, reusable workflows, shared libraries, and policy-as-code.</w:t>
      </w:r>
    </w:p>
    <w:p>
      <w:pPr>
        <w:spacing w:after="80"/>
      </w:pPr>
      <w:r>
        <w:rPr>
          <w:rFonts w:ascii="Arial" w:hAnsi="Arial"/>
          <w:b/>
          <w:i w:val="0"/>
          <w:color w:val="1F1F1F"/>
          <w:sz w:val="22"/>
        </w:rPr>
        <w:t>Target outcomes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160"/>
            <w:vAlign w:val="center"/>
            <w:shd w:fill="1F4E79"/>
          </w:tcPr>
          <w:p>
            <w:pPr>
              <w:spacing w:after="0" w:before="0"/>
            </w:pPr>
            <w:r/>
            <w:r>
              <w:rPr>
                <w:rFonts w:ascii="Arial" w:hAnsi="Arial"/>
                <w:b/>
                <w:color w:val="FFFFFF"/>
                <w:sz w:val="20"/>
              </w:rPr>
              <w:t>Domain</w:t>
            </w:r>
          </w:p>
        </w:tc>
        <w:tc>
          <w:tcPr>
            <w:tcW w:type="dxa" w:w="3168"/>
            <w:vAlign w:val="center"/>
            <w:shd w:fill="1F4E79"/>
          </w:tcPr>
          <w:p>
            <w:pPr>
              <w:spacing w:after="0" w:before="0"/>
            </w:pPr>
            <w:r/>
            <w:r>
              <w:rPr>
                <w:rFonts w:ascii="Arial" w:hAnsi="Arial"/>
                <w:b/>
                <w:color w:val="FFFFFF"/>
                <w:sz w:val="20"/>
              </w:rPr>
              <w:t>Enterprise target state</w:t>
            </w:r>
          </w:p>
        </w:tc>
        <w:tc>
          <w:tcPr>
            <w:tcW w:type="dxa" w:w="4464"/>
            <w:vAlign w:val="center"/>
            <w:shd w:fill="1F4E79"/>
          </w:tcPr>
          <w:p>
            <w:pPr>
              <w:spacing w:after="0" w:before="0"/>
            </w:pPr>
            <w:r/>
            <w:r>
              <w:rPr>
                <w:rFonts w:ascii="Arial" w:hAnsi="Arial"/>
                <w:b/>
                <w:color w:val="FFFFFF"/>
                <w:sz w:val="20"/>
              </w:rPr>
              <w:t>Evidence</w:t>
            </w:r>
          </w:p>
        </w:tc>
      </w:tr>
      <w:tr>
        <w:tc>
          <w:tcPr>
            <w:tcW w:type="dxa" w:w="3312"/>
            <w:vAlign w:val="center"/>
          </w:tcPr>
          <w:p>
            <w:pPr>
              <w:spacing w:after="0" w:before="0"/>
            </w:pPr>
            <w:r/>
            <w:r>
              <w:rPr>
                <w:rFonts w:ascii="Arial" w:hAnsi="Arial"/>
                <w:b w:val="0"/>
                <w:color w:val="000000"/>
                <w:sz w:val="19"/>
              </w:rPr>
              <w:t>Quality</w:t>
            </w:r>
          </w:p>
        </w:tc>
        <w:tc>
          <w:tcPr>
            <w:tcW w:type="dxa" w:w="3312"/>
            <w:vAlign w:val="center"/>
          </w:tcPr>
          <w:p>
            <w:pPr>
              <w:spacing w:after="0" w:before="0"/>
            </w:pPr>
            <w:r/>
            <w:r>
              <w:rPr>
                <w:rFonts w:ascii="Arial" w:hAnsi="Arial"/>
                <w:b w:val="0"/>
                <w:color w:val="000000"/>
                <w:sz w:val="19"/>
              </w:rPr>
              <w:t>Every pull request receives automated and human review before merge.</w:t>
            </w:r>
          </w:p>
        </w:tc>
        <w:tc>
          <w:tcPr>
            <w:tcW w:type="dxa" w:w="3312"/>
            <w:vAlign w:val="center"/>
          </w:tcPr>
          <w:p>
            <w:pPr>
              <w:spacing w:after="0" w:before="0"/>
            </w:pPr>
            <w:r/>
            <w:r>
              <w:rPr>
                <w:rFonts w:ascii="Arial" w:hAnsi="Arial"/>
                <w:b w:val="0"/>
                <w:color w:val="000000"/>
                <w:sz w:val="19"/>
              </w:rPr>
              <w:t>Passing checks, required reviewers, branch protection, policy evaluation.</w:t>
            </w:r>
          </w:p>
        </w:tc>
      </w:tr>
      <w:tr>
        <w:tc>
          <w:tcPr>
            <w:tcW w:type="dxa" w:w="3312"/>
            <w:vAlign w:val="center"/>
          </w:tcPr>
          <w:p>
            <w:pPr>
              <w:spacing w:after="0" w:before="0"/>
            </w:pPr>
            <w:r/>
            <w:r>
              <w:rPr>
                <w:rFonts w:ascii="Arial" w:hAnsi="Arial"/>
                <w:b w:val="0"/>
                <w:color w:val="000000"/>
                <w:sz w:val="19"/>
              </w:rPr>
              <w:t>Security</w:t>
            </w:r>
          </w:p>
        </w:tc>
        <w:tc>
          <w:tcPr>
            <w:tcW w:type="dxa" w:w="3312"/>
            <w:vAlign w:val="center"/>
          </w:tcPr>
          <w:p>
            <w:pPr>
              <w:spacing w:after="0" w:before="0"/>
            </w:pPr>
            <w:r/>
            <w:r>
              <w:rPr>
                <w:rFonts w:ascii="Arial" w:hAnsi="Arial"/>
                <w:b w:val="0"/>
                <w:color w:val="000000"/>
                <w:sz w:val="19"/>
              </w:rPr>
              <w:t>Security is integrated into design, code, build, and deploy stages.</w:t>
            </w:r>
          </w:p>
        </w:tc>
        <w:tc>
          <w:tcPr>
            <w:tcW w:type="dxa" w:w="3312"/>
            <w:vAlign w:val="center"/>
          </w:tcPr>
          <w:p>
            <w:pPr>
              <w:spacing w:after="0" w:before="0"/>
            </w:pPr>
            <w:r/>
            <w:r>
              <w:rPr>
                <w:rFonts w:ascii="Arial" w:hAnsi="Arial"/>
                <w:b w:val="0"/>
                <w:color w:val="000000"/>
                <w:sz w:val="19"/>
              </w:rPr>
              <w:t>Threat models, SAST/SCA, secrets scanning, attestations, SBOMs.</w:t>
            </w:r>
          </w:p>
        </w:tc>
      </w:tr>
      <w:tr>
        <w:tc>
          <w:tcPr>
            <w:tcW w:type="dxa" w:w="3312"/>
            <w:vAlign w:val="center"/>
          </w:tcPr>
          <w:p>
            <w:pPr>
              <w:spacing w:after="0" w:before="0"/>
            </w:pPr>
            <w:r/>
            <w:r>
              <w:rPr>
                <w:rFonts w:ascii="Arial" w:hAnsi="Arial"/>
                <w:b w:val="0"/>
                <w:color w:val="000000"/>
                <w:sz w:val="19"/>
              </w:rPr>
              <w:t>Reliability</w:t>
            </w:r>
          </w:p>
        </w:tc>
        <w:tc>
          <w:tcPr>
            <w:tcW w:type="dxa" w:w="3312"/>
            <w:vAlign w:val="center"/>
          </w:tcPr>
          <w:p>
            <w:pPr>
              <w:spacing w:after="0" w:before="0"/>
            </w:pPr>
            <w:r/>
            <w:r>
              <w:rPr>
                <w:rFonts w:ascii="Arial" w:hAnsi="Arial"/>
                <w:b w:val="0"/>
                <w:color w:val="000000"/>
                <w:sz w:val="19"/>
              </w:rPr>
              <w:t>Production incidents are diagnosable within minutes, not days.</w:t>
            </w:r>
          </w:p>
        </w:tc>
        <w:tc>
          <w:tcPr>
            <w:tcW w:type="dxa" w:w="3312"/>
            <w:vAlign w:val="center"/>
          </w:tcPr>
          <w:p>
            <w:pPr>
              <w:spacing w:after="0" w:before="0"/>
            </w:pPr>
            <w:r/>
            <w:r>
              <w:rPr>
                <w:rFonts w:ascii="Arial" w:hAnsi="Arial"/>
                <w:b w:val="0"/>
                <w:color w:val="000000"/>
                <w:sz w:val="19"/>
              </w:rPr>
              <w:t>Correlated logs, traces, metrics, dashboards, runbooks, alerts.</w:t>
            </w:r>
          </w:p>
        </w:tc>
      </w:tr>
      <w:tr>
        <w:tc>
          <w:tcPr>
            <w:tcW w:type="dxa" w:w="3312"/>
            <w:vAlign w:val="center"/>
          </w:tcPr>
          <w:p>
            <w:pPr>
              <w:spacing w:after="0" w:before="0"/>
            </w:pPr>
            <w:r/>
            <w:r>
              <w:rPr>
                <w:rFonts w:ascii="Arial" w:hAnsi="Arial"/>
                <w:b w:val="0"/>
                <w:color w:val="000000"/>
                <w:sz w:val="19"/>
              </w:rPr>
              <w:t>Performance</w:t>
            </w:r>
          </w:p>
        </w:tc>
        <w:tc>
          <w:tcPr>
            <w:tcW w:type="dxa" w:w="3312"/>
            <w:vAlign w:val="center"/>
          </w:tcPr>
          <w:p>
            <w:pPr>
              <w:spacing w:after="0" w:before="0"/>
            </w:pPr>
            <w:r/>
            <w:r>
              <w:rPr>
                <w:rFonts w:ascii="Arial" w:hAnsi="Arial"/>
                <w:b w:val="0"/>
                <w:color w:val="000000"/>
                <w:sz w:val="19"/>
              </w:rPr>
              <w:t>Performance budgets exist and regressions block release.</w:t>
            </w:r>
          </w:p>
        </w:tc>
        <w:tc>
          <w:tcPr>
            <w:tcW w:type="dxa" w:w="3312"/>
            <w:vAlign w:val="center"/>
          </w:tcPr>
          <w:p>
            <w:pPr>
              <w:spacing w:after="0" w:before="0"/>
            </w:pPr>
            <w:r/>
            <w:r>
              <w:rPr>
                <w:rFonts w:ascii="Arial" w:hAnsi="Arial"/>
                <w:b w:val="0"/>
                <w:color w:val="000000"/>
                <w:sz w:val="19"/>
              </w:rPr>
              <w:t>Benchmarks, load tests, browser timings, p95/p99 trend reports.</w:t>
            </w:r>
          </w:p>
        </w:tc>
      </w:tr>
      <w:tr>
        <w:tc>
          <w:tcPr>
            <w:tcW w:type="dxa" w:w="3312"/>
            <w:vAlign w:val="center"/>
          </w:tcPr>
          <w:p>
            <w:pPr>
              <w:spacing w:after="0" w:before="0"/>
            </w:pPr>
            <w:r/>
            <w:r>
              <w:rPr>
                <w:rFonts w:ascii="Arial" w:hAnsi="Arial"/>
                <w:b w:val="0"/>
                <w:color w:val="000000"/>
                <w:sz w:val="19"/>
              </w:rPr>
              <w:t>Auditability</w:t>
            </w:r>
          </w:p>
        </w:tc>
        <w:tc>
          <w:tcPr>
            <w:tcW w:type="dxa" w:w="3312"/>
            <w:vAlign w:val="center"/>
          </w:tcPr>
          <w:p>
            <w:pPr>
              <w:spacing w:after="0" w:before="0"/>
            </w:pPr>
            <w:r/>
            <w:r>
              <w:rPr>
                <w:rFonts w:ascii="Arial" w:hAnsi="Arial"/>
                <w:b w:val="0"/>
                <w:color w:val="000000"/>
                <w:sz w:val="19"/>
              </w:rPr>
              <w:t>Important changes and actions are reconstructable end to end.</w:t>
            </w:r>
          </w:p>
        </w:tc>
        <w:tc>
          <w:tcPr>
            <w:tcW w:type="dxa" w:w="3312"/>
            <w:vAlign w:val="center"/>
          </w:tcPr>
          <w:p>
            <w:pPr>
              <w:spacing w:after="0" w:before="0"/>
            </w:pPr>
            <w:r/>
            <w:r>
              <w:rPr>
                <w:rFonts w:ascii="Arial" w:hAnsi="Arial"/>
                <w:b w:val="0"/>
                <w:color w:val="000000"/>
                <w:sz w:val="19"/>
              </w:rPr>
              <w:t>Structured audit logs, build logs, deployment evidence, signed artifacts.</w:t>
            </w:r>
          </w:p>
        </w:tc>
      </w:tr>
    </w:tbl>
    <w:p>
      <w:pPr>
        <w:pStyle w:val="Heading1"/>
        <w:keepNext/>
        <w:spacing w:before="240" w:after="80"/>
      </w:pPr>
      <w:r>
        <w:t>2. Core operating principles</w:t>
      </w:r>
    </w:p>
    <w:p>
      <w:pPr>
        <w:pStyle w:val="ListNumber"/>
        <w:spacing w:after="80"/>
        <w:ind w:left="360"/>
      </w:pPr>
      <w:r>
        <w:rPr>
          <w:rFonts w:ascii="Arial" w:hAnsi="Arial"/>
          <w:b w:val="0"/>
          <w:i w:val="0"/>
          <w:color w:val="000000"/>
          <w:sz w:val="21"/>
        </w:rPr>
        <w:t>Shift quality left, but verify right. Prevent defects early, then validate behavior in realistic environments before release.</w:t>
      </w:r>
    </w:p>
    <w:p>
      <w:pPr>
        <w:pStyle w:val="ListNumber"/>
        <w:spacing w:after="80"/>
        <w:ind w:left="360"/>
      </w:pPr>
      <w:r>
        <w:rPr>
          <w:rFonts w:ascii="Arial" w:hAnsi="Arial"/>
          <w:b w:val="0"/>
          <w:i w:val="0"/>
          <w:color w:val="000000"/>
          <w:sz w:val="21"/>
        </w:rPr>
        <w:t>Standardize the paved road. Make the secure and maintainable path the easiest path.</w:t>
      </w:r>
    </w:p>
    <w:p>
      <w:pPr>
        <w:pStyle w:val="ListNumber"/>
        <w:spacing w:after="80"/>
        <w:ind w:left="360"/>
      </w:pPr>
      <w:r>
        <w:rPr>
          <w:rFonts w:ascii="Arial" w:hAnsi="Arial"/>
          <w:b w:val="0"/>
          <w:i w:val="0"/>
          <w:color w:val="000000"/>
          <w:sz w:val="21"/>
        </w:rPr>
        <w:t>Prefer deterministic systems over heroic troubleshooting. Reproducible builds, pinned dependencies, and controlled environments reduce chaos.</w:t>
      </w:r>
    </w:p>
    <w:p>
      <w:pPr>
        <w:pStyle w:val="ListNumber"/>
        <w:spacing w:after="80"/>
        <w:ind w:left="360"/>
      </w:pPr>
      <w:r>
        <w:rPr>
          <w:rFonts w:ascii="Arial" w:hAnsi="Arial"/>
          <w:b w:val="0"/>
          <w:i w:val="0"/>
          <w:color w:val="000000"/>
          <w:sz w:val="21"/>
        </w:rPr>
        <w:t>Treat observability as a feature. A system that cannot explain itself in production is not production-ready.</w:t>
      </w:r>
    </w:p>
    <w:p>
      <w:pPr>
        <w:pStyle w:val="ListNumber"/>
        <w:spacing w:after="80"/>
        <w:ind w:left="360"/>
      </w:pPr>
      <w:r>
        <w:rPr>
          <w:rFonts w:ascii="Arial" w:hAnsi="Arial"/>
          <w:b w:val="0"/>
          <w:i w:val="0"/>
          <w:color w:val="000000"/>
          <w:sz w:val="21"/>
        </w:rPr>
        <w:t>Design for failure. Timeouts, retries, circuit breakers, dead-letter handling, and graceful degradation are not optional.</w:t>
      </w:r>
    </w:p>
    <w:p>
      <w:pPr>
        <w:pStyle w:val="ListNumber"/>
        <w:spacing w:after="80"/>
        <w:ind w:left="360"/>
      </w:pPr>
      <w:r>
        <w:rPr>
          <w:rFonts w:ascii="Arial" w:hAnsi="Arial"/>
          <w:b w:val="0"/>
          <w:i w:val="0"/>
          <w:color w:val="000000"/>
          <w:sz w:val="21"/>
        </w:rPr>
        <w:t>Optimize for change safety. Small pull requests, feature flags, canaries, and fast rollback matter more than dramatic release rituals.</w:t>
      </w:r>
    </w:p>
    <w:p>
      <w:pPr>
        <w:pStyle w:val="ListNumber"/>
        <w:spacing w:after="80"/>
        <w:ind w:left="360"/>
      </w:pPr>
      <w:r>
        <w:rPr>
          <w:rFonts w:ascii="Arial" w:hAnsi="Arial"/>
          <w:b w:val="0"/>
          <w:i w:val="0"/>
          <w:color w:val="000000"/>
          <w:sz w:val="21"/>
        </w:rPr>
        <w:t>Measure what matters. Use leading indicators such as review latency, escaped defects, flaky test rate, p95 latency, and change failure rate.</w:t>
      </w:r>
    </w:p>
    <w:p>
      <w:pPr>
        <w:pStyle w:val="Heading1"/>
        <w:keepNext/>
        <w:spacing w:before="240" w:after="80"/>
      </w:pPr>
      <w:r>
        <w:t>3. Reference SDLC and governance model</w:t>
      </w:r>
    </w:p>
    <w:p>
      <w:pPr>
        <w:spacing w:after="140" w:line="240" w:lineRule="auto"/>
      </w:pPr>
      <w:r>
        <w:rPr>
          <w:rFonts w:ascii="Arial" w:hAnsi="Arial"/>
          <w:b w:val="0"/>
          <w:i w:val="0"/>
          <w:color w:val="000000"/>
          <w:sz w:val="21"/>
        </w:rPr>
        <w:t>A mature enterprise delivery model aligns architecture review, coding standards, automated checks, release evidence, and operational readiness around the same workflow. The table below defines a practical stage model.</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584"/>
            <w:vAlign w:val="center"/>
            <w:shd w:fill="2F5597"/>
          </w:tcPr>
          <w:p>
            <w:pPr>
              <w:spacing w:after="0" w:before="0"/>
            </w:pPr>
            <w:r/>
            <w:r>
              <w:rPr>
                <w:rFonts w:ascii="Arial" w:hAnsi="Arial"/>
                <w:b/>
                <w:color w:val="FFFFFF"/>
                <w:sz w:val="20"/>
              </w:rPr>
              <w:t>Stage</w:t>
            </w:r>
          </w:p>
        </w:tc>
        <w:tc>
          <w:tcPr>
            <w:tcW w:type="dxa" w:w="2592"/>
            <w:vAlign w:val="center"/>
            <w:shd w:fill="2F5597"/>
          </w:tcPr>
          <w:p>
            <w:pPr>
              <w:spacing w:after="0" w:before="0"/>
            </w:pPr>
            <w:r/>
            <w:r>
              <w:rPr>
                <w:rFonts w:ascii="Arial" w:hAnsi="Arial"/>
                <w:b/>
                <w:color w:val="FFFFFF"/>
                <w:sz w:val="20"/>
              </w:rPr>
              <w:t>Primary objective</w:t>
            </w:r>
          </w:p>
        </w:tc>
        <w:tc>
          <w:tcPr>
            <w:tcW w:type="dxa" w:w="3312"/>
            <w:vAlign w:val="center"/>
            <w:shd w:fill="2F5597"/>
          </w:tcPr>
          <w:p>
            <w:pPr>
              <w:spacing w:after="0" w:before="0"/>
            </w:pPr>
            <w:r/>
            <w:r>
              <w:rPr>
                <w:rFonts w:ascii="Arial" w:hAnsi="Arial"/>
                <w:b/>
                <w:color w:val="FFFFFF"/>
                <w:sz w:val="20"/>
              </w:rPr>
              <w:t>Mandatory controls</w:t>
            </w:r>
          </w:p>
        </w:tc>
        <w:tc>
          <w:tcPr>
            <w:tcW w:type="dxa" w:w="2592"/>
            <w:vAlign w:val="center"/>
            <w:shd w:fill="2F5597"/>
          </w:tcPr>
          <w:p>
            <w:pPr>
              <w:spacing w:after="0" w:before="0"/>
            </w:pPr>
            <w:r/>
            <w:r>
              <w:rPr>
                <w:rFonts w:ascii="Arial" w:hAnsi="Arial"/>
                <w:b/>
                <w:color w:val="FFFFFF"/>
                <w:sz w:val="20"/>
              </w:rPr>
              <w:t>Exit criteria</w:t>
            </w:r>
          </w:p>
        </w:tc>
      </w:tr>
      <w:tr>
        <w:tc>
          <w:tcPr>
            <w:tcW w:type="dxa" w:w="2484"/>
            <w:vAlign w:val="center"/>
          </w:tcPr>
          <w:p>
            <w:pPr>
              <w:spacing w:after="0" w:before="0"/>
            </w:pPr>
            <w:r/>
            <w:r>
              <w:rPr>
                <w:rFonts w:ascii="Arial" w:hAnsi="Arial"/>
                <w:b w:val="0"/>
                <w:color w:val="000000"/>
                <w:sz w:val="18"/>
              </w:rPr>
              <w:t>Plan</w:t>
            </w:r>
          </w:p>
        </w:tc>
        <w:tc>
          <w:tcPr>
            <w:tcW w:type="dxa" w:w="2484"/>
            <w:vAlign w:val="center"/>
          </w:tcPr>
          <w:p>
            <w:pPr>
              <w:spacing w:after="0" w:before="0"/>
            </w:pPr>
            <w:r/>
            <w:r>
              <w:rPr>
                <w:rFonts w:ascii="Arial" w:hAnsi="Arial"/>
                <w:b w:val="0"/>
                <w:color w:val="000000"/>
                <w:sz w:val="18"/>
              </w:rPr>
              <w:t>Clarify risk, scope, data sensitivity, and dependencies.</w:t>
            </w:r>
          </w:p>
        </w:tc>
        <w:tc>
          <w:tcPr>
            <w:tcW w:type="dxa" w:w="2484"/>
            <w:vAlign w:val="center"/>
          </w:tcPr>
          <w:p>
            <w:pPr>
              <w:spacing w:after="0" w:before="0"/>
            </w:pPr>
            <w:r/>
            <w:r>
              <w:rPr>
                <w:rFonts w:ascii="Arial" w:hAnsi="Arial"/>
                <w:b w:val="0"/>
                <w:color w:val="000000"/>
                <w:sz w:val="18"/>
              </w:rPr>
              <w:t>Threat model, ADRs, backlog refinement, data classification.</w:t>
            </w:r>
          </w:p>
        </w:tc>
        <w:tc>
          <w:tcPr>
            <w:tcW w:type="dxa" w:w="2484"/>
            <w:vAlign w:val="center"/>
          </w:tcPr>
          <w:p>
            <w:pPr>
              <w:spacing w:after="0" w:before="0"/>
            </w:pPr>
            <w:r/>
            <w:r>
              <w:rPr>
                <w:rFonts w:ascii="Arial" w:hAnsi="Arial"/>
                <w:b w:val="0"/>
                <w:color w:val="000000"/>
                <w:sz w:val="18"/>
              </w:rPr>
              <w:t>Approved design and risk profile.</w:t>
            </w:r>
          </w:p>
        </w:tc>
      </w:tr>
      <w:tr>
        <w:tc>
          <w:tcPr>
            <w:tcW w:type="dxa" w:w="2484"/>
            <w:vAlign w:val="center"/>
          </w:tcPr>
          <w:p>
            <w:pPr>
              <w:spacing w:after="0" w:before="0"/>
            </w:pPr>
            <w:r/>
            <w:r>
              <w:rPr>
                <w:rFonts w:ascii="Arial" w:hAnsi="Arial"/>
                <w:b w:val="0"/>
                <w:color w:val="000000"/>
                <w:sz w:val="18"/>
              </w:rPr>
              <w:t>Build</w:t>
            </w:r>
          </w:p>
        </w:tc>
        <w:tc>
          <w:tcPr>
            <w:tcW w:type="dxa" w:w="2484"/>
            <w:vAlign w:val="center"/>
          </w:tcPr>
          <w:p>
            <w:pPr>
              <w:spacing w:after="0" w:before="0"/>
            </w:pPr>
            <w:r/>
            <w:r>
              <w:rPr>
                <w:rFonts w:ascii="Arial" w:hAnsi="Arial"/>
                <w:b w:val="0"/>
                <w:color w:val="000000"/>
                <w:sz w:val="18"/>
              </w:rPr>
              <w:t>Implement the change in small, reviewable units.</w:t>
            </w:r>
          </w:p>
        </w:tc>
        <w:tc>
          <w:tcPr>
            <w:tcW w:type="dxa" w:w="2484"/>
            <w:vAlign w:val="center"/>
          </w:tcPr>
          <w:p>
            <w:pPr>
              <w:spacing w:after="0" w:before="0"/>
            </w:pPr>
            <w:r/>
            <w:r>
              <w:rPr>
                <w:rFonts w:ascii="Arial" w:hAnsi="Arial"/>
                <w:b w:val="0"/>
                <w:color w:val="000000"/>
                <w:sz w:val="18"/>
              </w:rPr>
              <w:t>Linting, type checks, unit tests, pre-commit hooks, secure defaults.</w:t>
            </w:r>
          </w:p>
        </w:tc>
        <w:tc>
          <w:tcPr>
            <w:tcW w:type="dxa" w:w="2484"/>
            <w:vAlign w:val="center"/>
          </w:tcPr>
          <w:p>
            <w:pPr>
              <w:spacing w:after="0" w:before="0"/>
            </w:pPr>
            <w:r/>
            <w:r>
              <w:rPr>
                <w:rFonts w:ascii="Arial" w:hAnsi="Arial"/>
                <w:b w:val="0"/>
                <w:color w:val="000000"/>
                <w:sz w:val="18"/>
              </w:rPr>
              <w:t>All local quality checks pass.</w:t>
            </w:r>
          </w:p>
        </w:tc>
      </w:tr>
      <w:tr>
        <w:tc>
          <w:tcPr>
            <w:tcW w:type="dxa" w:w="2484"/>
            <w:vAlign w:val="center"/>
          </w:tcPr>
          <w:p>
            <w:pPr>
              <w:spacing w:after="0" w:before="0"/>
            </w:pPr>
            <w:r/>
            <w:r>
              <w:rPr>
                <w:rFonts w:ascii="Arial" w:hAnsi="Arial"/>
                <w:b w:val="0"/>
                <w:color w:val="000000"/>
                <w:sz w:val="18"/>
              </w:rPr>
              <w:t>Verify</w:t>
            </w:r>
          </w:p>
        </w:tc>
        <w:tc>
          <w:tcPr>
            <w:tcW w:type="dxa" w:w="2484"/>
            <w:vAlign w:val="center"/>
          </w:tcPr>
          <w:p>
            <w:pPr>
              <w:spacing w:after="0" w:before="0"/>
            </w:pPr>
            <w:r/>
            <w:r>
              <w:rPr>
                <w:rFonts w:ascii="Arial" w:hAnsi="Arial"/>
                <w:b w:val="0"/>
                <w:color w:val="000000"/>
                <w:sz w:val="18"/>
              </w:rPr>
              <w:t>Prove behavior, resilience, and security.</w:t>
            </w:r>
          </w:p>
        </w:tc>
        <w:tc>
          <w:tcPr>
            <w:tcW w:type="dxa" w:w="2484"/>
            <w:vAlign w:val="center"/>
          </w:tcPr>
          <w:p>
            <w:pPr>
              <w:spacing w:after="0" w:before="0"/>
            </w:pPr>
            <w:r/>
            <w:r>
              <w:rPr>
                <w:rFonts w:ascii="Arial" w:hAnsi="Arial"/>
                <w:b w:val="0"/>
                <w:color w:val="000000"/>
                <w:sz w:val="18"/>
              </w:rPr>
              <w:t>Integration tests, Playwright flows, scans, coverage, performance checks.</w:t>
            </w:r>
          </w:p>
        </w:tc>
        <w:tc>
          <w:tcPr>
            <w:tcW w:type="dxa" w:w="2484"/>
            <w:vAlign w:val="center"/>
          </w:tcPr>
          <w:p>
            <w:pPr>
              <w:spacing w:after="0" w:before="0"/>
            </w:pPr>
            <w:r/>
            <w:r>
              <w:rPr>
                <w:rFonts w:ascii="Arial" w:hAnsi="Arial"/>
                <w:b w:val="0"/>
                <w:color w:val="000000"/>
                <w:sz w:val="18"/>
              </w:rPr>
              <w:t>Policy gate is green.</w:t>
            </w:r>
          </w:p>
        </w:tc>
      </w:tr>
      <w:tr>
        <w:tc>
          <w:tcPr>
            <w:tcW w:type="dxa" w:w="2484"/>
            <w:vAlign w:val="center"/>
          </w:tcPr>
          <w:p>
            <w:pPr>
              <w:spacing w:after="0" w:before="0"/>
            </w:pPr>
            <w:r/>
            <w:r>
              <w:rPr>
                <w:rFonts w:ascii="Arial" w:hAnsi="Arial"/>
                <w:b w:val="0"/>
                <w:color w:val="000000"/>
                <w:sz w:val="18"/>
              </w:rPr>
              <w:t>Release</w:t>
            </w:r>
          </w:p>
        </w:tc>
        <w:tc>
          <w:tcPr>
            <w:tcW w:type="dxa" w:w="2484"/>
            <w:vAlign w:val="center"/>
          </w:tcPr>
          <w:p>
            <w:pPr>
              <w:spacing w:after="0" w:before="0"/>
            </w:pPr>
            <w:r/>
            <w:r>
              <w:rPr>
                <w:rFonts w:ascii="Arial" w:hAnsi="Arial"/>
                <w:b w:val="0"/>
                <w:color w:val="000000"/>
                <w:sz w:val="18"/>
              </w:rPr>
              <w:t>Package and promote with provenance.</w:t>
            </w:r>
          </w:p>
        </w:tc>
        <w:tc>
          <w:tcPr>
            <w:tcW w:type="dxa" w:w="2484"/>
            <w:vAlign w:val="center"/>
          </w:tcPr>
          <w:p>
            <w:pPr>
              <w:spacing w:after="0" w:before="0"/>
            </w:pPr>
            <w:r/>
            <w:r>
              <w:rPr>
                <w:rFonts w:ascii="Arial" w:hAnsi="Arial"/>
                <w:b w:val="0"/>
                <w:color w:val="000000"/>
                <w:sz w:val="18"/>
              </w:rPr>
              <w:t>Immutable artifacts, SBOM, attestation, signed release notes, approvals.</w:t>
            </w:r>
          </w:p>
        </w:tc>
        <w:tc>
          <w:tcPr>
            <w:tcW w:type="dxa" w:w="2484"/>
            <w:vAlign w:val="center"/>
          </w:tcPr>
          <w:p>
            <w:pPr>
              <w:spacing w:after="0" w:before="0"/>
            </w:pPr>
            <w:r/>
            <w:r>
              <w:rPr>
                <w:rFonts w:ascii="Arial" w:hAnsi="Arial"/>
                <w:b w:val="0"/>
                <w:color w:val="000000"/>
                <w:sz w:val="18"/>
              </w:rPr>
              <w:t>Promotable artifact created.</w:t>
            </w:r>
          </w:p>
        </w:tc>
      </w:tr>
      <w:tr>
        <w:tc>
          <w:tcPr>
            <w:tcW w:type="dxa" w:w="2484"/>
            <w:vAlign w:val="center"/>
          </w:tcPr>
          <w:p>
            <w:pPr>
              <w:spacing w:after="0" w:before="0"/>
            </w:pPr>
            <w:r/>
            <w:r>
              <w:rPr>
                <w:rFonts w:ascii="Arial" w:hAnsi="Arial"/>
                <w:b w:val="0"/>
                <w:color w:val="000000"/>
                <w:sz w:val="18"/>
              </w:rPr>
              <w:t>Operate</w:t>
            </w:r>
          </w:p>
        </w:tc>
        <w:tc>
          <w:tcPr>
            <w:tcW w:type="dxa" w:w="2484"/>
            <w:vAlign w:val="center"/>
          </w:tcPr>
          <w:p>
            <w:pPr>
              <w:spacing w:after="0" w:before="0"/>
            </w:pPr>
            <w:r/>
            <w:r>
              <w:rPr>
                <w:rFonts w:ascii="Arial" w:hAnsi="Arial"/>
                <w:b w:val="0"/>
                <w:color w:val="000000"/>
                <w:sz w:val="18"/>
              </w:rPr>
              <w:t>Run safely and learn continuously.</w:t>
            </w:r>
          </w:p>
        </w:tc>
        <w:tc>
          <w:tcPr>
            <w:tcW w:type="dxa" w:w="2484"/>
            <w:vAlign w:val="center"/>
          </w:tcPr>
          <w:p>
            <w:pPr>
              <w:spacing w:after="0" w:before="0"/>
            </w:pPr>
            <w:r/>
            <w:r>
              <w:rPr>
                <w:rFonts w:ascii="Arial" w:hAnsi="Arial"/>
                <w:b w:val="0"/>
                <w:color w:val="000000"/>
                <w:sz w:val="18"/>
              </w:rPr>
              <w:t>Telemetry, alerts, runbooks, incident review, rollback, audit logs.</w:t>
            </w:r>
          </w:p>
        </w:tc>
        <w:tc>
          <w:tcPr>
            <w:tcW w:type="dxa" w:w="2484"/>
            <w:vAlign w:val="center"/>
          </w:tcPr>
          <w:p>
            <w:pPr>
              <w:spacing w:after="0" w:before="0"/>
            </w:pPr>
            <w:r/>
            <w:r>
              <w:rPr>
                <w:rFonts w:ascii="Arial" w:hAnsi="Arial"/>
                <w:b w:val="0"/>
                <w:color w:val="000000"/>
                <w:sz w:val="18"/>
              </w:rPr>
              <w:t>Service meets SLOs and governance needs.</w:t>
            </w:r>
          </w:p>
        </w:tc>
      </w:tr>
    </w:tbl>
    <w:tbl>
      <w:tblPr>
        <w:tblW w:type="auto" w:w="0"/>
        <w:jc w:val="center"/>
        <w:tblLayout w:type="fixed"/>
        <w:tblLook w:firstColumn="1" w:firstRow="1" w:lastColumn="0" w:lastRow="0" w:noHBand="0" w:noVBand="1" w:val="04A0"/>
      </w:tblPr>
      <w:tblGrid>
        <w:gridCol w:w="9936"/>
      </w:tblGrid>
      <w:tr>
        <w:tc>
          <w:tcPr>
            <w:tcW w:type="dxa" w:w="9792"/>
            <w:shd w:fill="EEF4FB"/>
            <w:vAlign w:val="center"/>
          </w:tcPr>
          <w:p>
            <w:pPr>
              <w:spacing w:after="40"/>
            </w:pPr>
            <w:r>
              <w:rPr>
                <w:rFonts w:ascii="Arial" w:hAnsi="Arial"/>
                <w:b/>
                <w:i w:val="0"/>
                <w:color w:val="1F4E79"/>
                <w:sz w:val="21"/>
              </w:rPr>
              <w:t>Governance rule</w:t>
            </w:r>
          </w:p>
          <w:p>
            <w:pPr>
              <w:spacing w:after="0"/>
            </w:pPr>
            <w:r>
              <w:rPr>
                <w:rFonts w:ascii="Arial" w:hAnsi="Arial"/>
                <w:b w:val="0"/>
                <w:i w:val="0"/>
                <w:color w:val="000000"/>
                <w:sz w:val="19"/>
              </w:rPr>
              <w:t>The same change should not have to be re-explained in five different systems. Pull request metadata, ticket links, deployment identifiers, artifact hashes, runtime versions, and incident references should be connected through automation.</w:t>
            </w:r>
          </w:p>
        </w:tc>
      </w:tr>
    </w:tbl>
    <w:p>
      <w:pPr>
        <w:spacing w:after="40"/>
      </w:pPr>
    </w:p>
    <w:p>
      <w:pPr>
        <w:pStyle w:val="Heading1"/>
        <w:keepNext/>
        <w:spacing w:before="240" w:after="80"/>
      </w:pPr>
      <w:r>
        <w:t>4. Repository and architecture standards</w:t>
      </w:r>
    </w:p>
    <w:p>
      <w:pPr>
        <w:spacing w:after="140" w:line="240" w:lineRule="auto"/>
      </w:pPr>
      <w:r>
        <w:rPr>
          <w:rFonts w:ascii="Arial" w:hAnsi="Arial"/>
          <w:b w:val="0"/>
          <w:i w:val="0"/>
          <w:color w:val="000000"/>
          <w:sz w:val="21"/>
        </w:rPr>
        <w:t>Enterprise repositories should be shaped for readability, automation, and policy enforcement. Every repository should have clear ownership, predictable structure, and a minimal mandatory control set. At minimum, include a README, architecture decision records, CODEOWNERS, contribution standards, version pinning, environment policy, and a standard CI entry point.</w:t>
      </w:r>
    </w:p>
    <w:p>
      <w:pPr>
        <w:pStyle w:val="Heading2"/>
        <w:keepNext/>
        <w:spacing w:before="160" w:after="80"/>
      </w:pPr>
      <w:r>
        <w:t>Repository baseline</w:t>
      </w:r>
    </w:p>
    <w:p>
      <w:pPr>
        <w:pStyle w:val="ListBullet"/>
        <w:spacing w:after="80"/>
        <w:ind w:left="360"/>
      </w:pPr>
      <w:r>
        <w:rPr>
          <w:rFonts w:ascii="Arial" w:hAnsi="Arial"/>
          <w:b w:val="0"/>
          <w:i w:val="0"/>
          <w:color w:val="000000"/>
          <w:sz w:val="21"/>
        </w:rPr>
        <w:t>Use branch protection with required status checks, required reviews, and signed commits where feasible.</w:t>
      </w:r>
    </w:p>
    <w:p>
      <w:pPr>
        <w:pStyle w:val="ListBullet"/>
        <w:spacing w:after="80"/>
        <w:ind w:left="360"/>
      </w:pPr>
      <w:r>
        <w:rPr>
          <w:rFonts w:ascii="Arial" w:hAnsi="Arial"/>
          <w:b w:val="0"/>
          <w:i w:val="0"/>
          <w:color w:val="000000"/>
          <w:sz w:val="21"/>
        </w:rPr>
        <w:t>Store workflow files, deployment manifests, and infrastructure code under code review and CODEOWNERS protection.</w:t>
      </w:r>
    </w:p>
    <w:p>
      <w:pPr>
        <w:pStyle w:val="ListBullet"/>
        <w:spacing w:after="80"/>
        <w:ind w:left="360"/>
      </w:pPr>
      <w:r>
        <w:rPr>
          <w:rFonts w:ascii="Arial" w:hAnsi="Arial"/>
          <w:b w:val="0"/>
          <w:i w:val="0"/>
          <w:color w:val="000000"/>
          <w:sz w:val="21"/>
        </w:rPr>
        <w:t>Pin runtime and toolchain versions explicitly. Avoid floating dependencies in production builds.</w:t>
      </w:r>
    </w:p>
    <w:p>
      <w:pPr>
        <w:pStyle w:val="ListBullet"/>
        <w:spacing w:after="80"/>
        <w:ind w:left="360"/>
      </w:pPr>
      <w:r>
        <w:rPr>
          <w:rFonts w:ascii="Arial" w:hAnsi="Arial"/>
          <w:b w:val="0"/>
          <w:i w:val="0"/>
          <w:color w:val="000000"/>
          <w:sz w:val="21"/>
        </w:rPr>
        <w:t>Adopt reusable templates for issue intake, pull requests, and post-incident review.</w:t>
      </w:r>
    </w:p>
    <w:p>
      <w:pPr>
        <w:pStyle w:val="Heading2"/>
        <w:keepNext/>
        <w:spacing w:before="160" w:after="80"/>
      </w:pPr>
      <w:r>
        <w:t>Architecture baseline</w:t>
      </w:r>
    </w:p>
    <w:p>
      <w:pPr>
        <w:pStyle w:val="ListBullet"/>
        <w:spacing w:after="80"/>
        <w:ind w:left="360"/>
      </w:pPr>
      <w:r>
        <w:rPr>
          <w:rFonts w:ascii="Arial" w:hAnsi="Arial"/>
          <w:b w:val="0"/>
          <w:i w:val="0"/>
          <w:color w:val="000000"/>
          <w:sz w:val="21"/>
        </w:rPr>
        <w:t>Separate stateless application logic from infrastructure concerns and side effects whenever practical.</w:t>
      </w:r>
    </w:p>
    <w:p>
      <w:pPr>
        <w:pStyle w:val="ListBullet"/>
        <w:spacing w:after="80"/>
        <w:ind w:left="360"/>
      </w:pPr>
      <w:r>
        <w:rPr>
          <w:rFonts w:ascii="Arial" w:hAnsi="Arial"/>
          <w:b w:val="0"/>
          <w:i w:val="0"/>
          <w:color w:val="000000"/>
          <w:sz w:val="21"/>
        </w:rPr>
        <w:t>Use explicit boundaries for domains, APIs, queues, persistence, and external integrations.</w:t>
      </w:r>
    </w:p>
    <w:p>
      <w:pPr>
        <w:pStyle w:val="ListBullet"/>
        <w:spacing w:after="80"/>
        <w:ind w:left="360"/>
      </w:pPr>
      <w:r>
        <w:rPr>
          <w:rFonts w:ascii="Arial" w:hAnsi="Arial"/>
          <w:b w:val="0"/>
          <w:i w:val="0"/>
          <w:color w:val="000000"/>
          <w:sz w:val="21"/>
        </w:rPr>
        <w:t>Favor idempotent commands and event handling for retry-prone paths.</w:t>
      </w:r>
    </w:p>
    <w:p>
      <w:pPr>
        <w:pStyle w:val="ListBullet"/>
        <w:spacing w:after="80"/>
        <w:ind w:left="360"/>
      </w:pPr>
      <w:r>
        <w:rPr>
          <w:rFonts w:ascii="Arial" w:hAnsi="Arial"/>
          <w:b w:val="0"/>
          <w:i w:val="0"/>
          <w:color w:val="000000"/>
          <w:sz w:val="21"/>
        </w:rPr>
        <w:t>Define data retention, encryption, and audit requirements as part of service design, not after deployment.</w:t>
      </w:r>
    </w:p>
    <w:p>
      <w:pPr>
        <w:pStyle w:val="Heading1"/>
        <w:keepNext/>
        <w:spacing w:before="240" w:after="80"/>
      </w:pPr>
      <w:r>
        <w:t>5. Comprehensive error handling standard</w:t>
      </w:r>
    </w:p>
    <w:p>
      <w:pPr>
        <w:spacing w:after="140" w:line="240" w:lineRule="auto"/>
      </w:pPr>
      <w:r>
        <w:rPr>
          <w:rFonts w:ascii="Arial" w:hAnsi="Arial"/>
          <w:b w:val="0"/>
          <w:i w:val="0"/>
          <w:color w:val="000000"/>
          <w:sz w:val="21"/>
        </w:rPr>
        <w:t>Error handling is one of the clearest markers of engineering maturity. The objective is not to eliminate every fault, but to ensure that every fault is categorized, observable, recoverable when appropriate, and safe for users. Error behavior should be as deliberately designed as the happy path.</w:t>
      </w:r>
    </w:p>
    <w:p>
      <w:pPr>
        <w:pStyle w:val="Heading2"/>
        <w:keepNext/>
        <w:spacing w:before="160" w:after="80"/>
      </w:pPr>
      <w:r>
        <w:t>5.1 Error taxonomy</w:t>
      </w:r>
    </w:p>
    <w:p>
      <w:pPr>
        <w:spacing w:after="140" w:line="240" w:lineRule="auto"/>
      </w:pPr>
      <w:r>
        <w:rPr>
          <w:rFonts w:ascii="Arial" w:hAnsi="Arial"/>
          <w:b w:val="0"/>
          <w:i w:val="0"/>
          <w:color w:val="000000"/>
          <w:sz w:val="21"/>
        </w:rPr>
        <w:t>Use a shared taxonomy that distinguishes validation errors, domain rule violations, dependency failures, timeouts, authorization failures, concurrency conflicts, data integrity violations, and unexpected internal exceptions. This allows consistent logging, retry rules, alerting, and client behavior.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304"/>
            <w:vAlign w:val="center"/>
            <w:shd w:fill="1F4E79"/>
          </w:tcPr>
          <w:p>
            <w:pPr>
              <w:spacing w:after="0" w:before="0"/>
            </w:pPr>
            <w:r/>
            <w:r>
              <w:rPr>
                <w:rFonts w:ascii="Arial" w:hAnsi="Arial"/>
                <w:b/>
                <w:color w:val="FFFFFF"/>
                <w:sz w:val="20"/>
              </w:rPr>
              <w:t>Class</w:t>
            </w:r>
          </w:p>
        </w:tc>
        <w:tc>
          <w:tcPr>
            <w:tcW w:type="dxa" w:w="2880"/>
            <w:vAlign w:val="center"/>
            <w:shd w:fill="1F4E79"/>
          </w:tcPr>
          <w:p>
            <w:pPr>
              <w:spacing w:after="0" w:before="0"/>
            </w:pPr>
            <w:r/>
            <w:r>
              <w:rPr>
                <w:rFonts w:ascii="Arial" w:hAnsi="Arial"/>
                <w:b/>
                <w:color w:val="FFFFFF"/>
                <w:sz w:val="20"/>
              </w:rPr>
              <w:t>Examples</w:t>
            </w:r>
          </w:p>
        </w:tc>
        <w:tc>
          <w:tcPr>
            <w:tcW w:type="dxa" w:w="2016"/>
            <w:vAlign w:val="center"/>
            <w:shd w:fill="1F4E79"/>
          </w:tcPr>
          <w:p>
            <w:pPr>
              <w:spacing w:after="0" w:before="0"/>
            </w:pPr>
            <w:r/>
            <w:r>
              <w:rPr>
                <w:rFonts w:ascii="Arial" w:hAnsi="Arial"/>
                <w:b/>
                <w:color w:val="FFFFFF"/>
                <w:sz w:val="20"/>
              </w:rPr>
              <w:t>Retry?</w:t>
            </w:r>
          </w:p>
        </w:tc>
        <w:tc>
          <w:tcPr>
            <w:tcW w:type="dxa" w:w="2736"/>
            <w:vAlign w:val="center"/>
            <w:shd w:fill="1F4E79"/>
          </w:tcPr>
          <w:p>
            <w:pPr>
              <w:spacing w:after="0" w:before="0"/>
            </w:pPr>
            <w:r/>
            <w:r>
              <w:rPr>
                <w:rFonts w:ascii="Arial" w:hAnsi="Arial"/>
                <w:b/>
                <w:color w:val="FFFFFF"/>
                <w:sz w:val="20"/>
              </w:rPr>
              <w:t>Client response</w:t>
            </w:r>
          </w:p>
        </w:tc>
      </w:tr>
      <w:tr>
        <w:tc>
          <w:tcPr>
            <w:tcW w:type="dxa" w:w="2484"/>
            <w:vAlign w:val="center"/>
          </w:tcPr>
          <w:p>
            <w:pPr>
              <w:spacing w:after="0" w:before="0"/>
            </w:pPr>
            <w:r/>
            <w:r>
              <w:rPr>
                <w:rFonts w:ascii="Arial" w:hAnsi="Arial"/>
                <w:b w:val="0"/>
                <w:color w:val="000000"/>
                <w:sz w:val="18"/>
              </w:rPr>
              <w:t>Validation</w:t>
            </w:r>
          </w:p>
        </w:tc>
        <w:tc>
          <w:tcPr>
            <w:tcW w:type="dxa" w:w="2484"/>
            <w:vAlign w:val="center"/>
          </w:tcPr>
          <w:p>
            <w:pPr>
              <w:spacing w:after="0" w:before="0"/>
            </w:pPr>
            <w:r/>
            <w:r>
              <w:rPr>
                <w:rFonts w:ascii="Arial" w:hAnsi="Arial"/>
                <w:b w:val="0"/>
                <w:color w:val="000000"/>
                <w:sz w:val="18"/>
              </w:rPr>
              <w:t>Malformed input, missing fields, invalid format.</w:t>
            </w:r>
          </w:p>
        </w:tc>
        <w:tc>
          <w:tcPr>
            <w:tcW w:type="dxa" w:w="2484"/>
            <w:vAlign w:val="center"/>
          </w:tcPr>
          <w:p>
            <w:pPr>
              <w:spacing w:after="0" w:before="0"/>
            </w:pPr>
            <w:r/>
            <w:r>
              <w:rPr>
                <w:rFonts w:ascii="Arial" w:hAnsi="Arial"/>
                <w:b w:val="0"/>
                <w:color w:val="000000"/>
                <w:sz w:val="18"/>
              </w:rPr>
              <w:t>No</w:t>
            </w:r>
          </w:p>
        </w:tc>
        <w:tc>
          <w:tcPr>
            <w:tcW w:type="dxa" w:w="2484"/>
            <w:vAlign w:val="center"/>
          </w:tcPr>
          <w:p>
            <w:pPr>
              <w:spacing w:after="0" w:before="0"/>
            </w:pPr>
            <w:r/>
            <w:r>
              <w:rPr>
                <w:rFonts w:ascii="Arial" w:hAnsi="Arial"/>
                <w:b w:val="0"/>
                <w:color w:val="000000"/>
                <w:sz w:val="18"/>
              </w:rPr>
              <w:t>Return clear, user-safe message and field details.</w:t>
            </w:r>
          </w:p>
        </w:tc>
      </w:tr>
      <w:tr>
        <w:tc>
          <w:tcPr>
            <w:tcW w:type="dxa" w:w="2484"/>
            <w:vAlign w:val="center"/>
          </w:tcPr>
          <w:p>
            <w:pPr>
              <w:spacing w:after="0" w:before="0"/>
            </w:pPr>
            <w:r/>
            <w:r>
              <w:rPr>
                <w:rFonts w:ascii="Arial" w:hAnsi="Arial"/>
                <w:b w:val="0"/>
                <w:color w:val="000000"/>
                <w:sz w:val="18"/>
              </w:rPr>
              <w:t>Authorization</w:t>
            </w:r>
          </w:p>
        </w:tc>
        <w:tc>
          <w:tcPr>
            <w:tcW w:type="dxa" w:w="2484"/>
            <w:vAlign w:val="center"/>
          </w:tcPr>
          <w:p>
            <w:pPr>
              <w:spacing w:after="0" w:before="0"/>
            </w:pPr>
            <w:r/>
            <w:r>
              <w:rPr>
                <w:rFonts w:ascii="Arial" w:hAnsi="Arial"/>
                <w:b w:val="0"/>
                <w:color w:val="000000"/>
                <w:sz w:val="18"/>
              </w:rPr>
              <w:t>Missing role, token expired, forbidden action.</w:t>
            </w:r>
          </w:p>
        </w:tc>
        <w:tc>
          <w:tcPr>
            <w:tcW w:type="dxa" w:w="2484"/>
            <w:vAlign w:val="center"/>
          </w:tcPr>
          <w:p>
            <w:pPr>
              <w:spacing w:after="0" w:before="0"/>
            </w:pPr>
            <w:r/>
            <w:r>
              <w:rPr>
                <w:rFonts w:ascii="Arial" w:hAnsi="Arial"/>
                <w:b w:val="0"/>
                <w:color w:val="000000"/>
                <w:sz w:val="18"/>
              </w:rPr>
              <w:t>No</w:t>
            </w:r>
          </w:p>
        </w:tc>
        <w:tc>
          <w:tcPr>
            <w:tcW w:type="dxa" w:w="2484"/>
            <w:vAlign w:val="center"/>
          </w:tcPr>
          <w:p>
            <w:pPr>
              <w:spacing w:after="0" w:before="0"/>
            </w:pPr>
            <w:r/>
            <w:r>
              <w:rPr>
                <w:rFonts w:ascii="Arial" w:hAnsi="Arial"/>
                <w:b w:val="0"/>
                <w:color w:val="000000"/>
                <w:sz w:val="18"/>
              </w:rPr>
              <w:t>Return 401/403 equivalent without leaking internals.</w:t>
            </w:r>
          </w:p>
        </w:tc>
      </w:tr>
      <w:tr>
        <w:tc>
          <w:tcPr>
            <w:tcW w:type="dxa" w:w="2484"/>
            <w:vAlign w:val="center"/>
          </w:tcPr>
          <w:p>
            <w:pPr>
              <w:spacing w:after="0" w:before="0"/>
            </w:pPr>
            <w:r/>
            <w:r>
              <w:rPr>
                <w:rFonts w:ascii="Arial" w:hAnsi="Arial"/>
                <w:b w:val="0"/>
                <w:color w:val="000000"/>
                <w:sz w:val="18"/>
              </w:rPr>
              <w:t>Conflict</w:t>
            </w:r>
          </w:p>
        </w:tc>
        <w:tc>
          <w:tcPr>
            <w:tcW w:type="dxa" w:w="2484"/>
            <w:vAlign w:val="center"/>
          </w:tcPr>
          <w:p>
            <w:pPr>
              <w:spacing w:after="0" w:before="0"/>
            </w:pPr>
            <w:r/>
            <w:r>
              <w:rPr>
                <w:rFonts w:ascii="Arial" w:hAnsi="Arial"/>
                <w:b w:val="0"/>
                <w:color w:val="000000"/>
                <w:sz w:val="18"/>
              </w:rPr>
              <w:t>Optimistic lock failure, duplicate request, stale version.</w:t>
            </w:r>
          </w:p>
        </w:tc>
        <w:tc>
          <w:tcPr>
            <w:tcW w:type="dxa" w:w="2484"/>
            <w:vAlign w:val="center"/>
          </w:tcPr>
          <w:p>
            <w:pPr>
              <w:spacing w:after="0" w:before="0"/>
            </w:pPr>
            <w:r/>
            <w:r>
              <w:rPr>
                <w:rFonts w:ascii="Arial" w:hAnsi="Arial"/>
                <w:b w:val="0"/>
                <w:color w:val="000000"/>
                <w:sz w:val="18"/>
              </w:rPr>
              <w:t>Sometimes</w:t>
            </w:r>
          </w:p>
        </w:tc>
        <w:tc>
          <w:tcPr>
            <w:tcW w:type="dxa" w:w="2484"/>
            <w:vAlign w:val="center"/>
          </w:tcPr>
          <w:p>
            <w:pPr>
              <w:spacing w:after="0" w:before="0"/>
            </w:pPr>
            <w:r/>
            <w:r>
              <w:rPr>
                <w:rFonts w:ascii="Arial" w:hAnsi="Arial"/>
                <w:b w:val="0"/>
                <w:color w:val="000000"/>
                <w:sz w:val="18"/>
              </w:rPr>
              <w:t>Return conflict marker and recovery instruction.</w:t>
            </w:r>
          </w:p>
        </w:tc>
      </w:tr>
      <w:tr>
        <w:tc>
          <w:tcPr>
            <w:tcW w:type="dxa" w:w="2484"/>
            <w:vAlign w:val="center"/>
          </w:tcPr>
          <w:p>
            <w:pPr>
              <w:spacing w:after="0" w:before="0"/>
            </w:pPr>
            <w:r/>
            <w:r>
              <w:rPr>
                <w:rFonts w:ascii="Arial" w:hAnsi="Arial"/>
                <w:b w:val="0"/>
                <w:color w:val="000000"/>
                <w:sz w:val="18"/>
              </w:rPr>
              <w:t>Transient dependency</w:t>
            </w:r>
          </w:p>
        </w:tc>
        <w:tc>
          <w:tcPr>
            <w:tcW w:type="dxa" w:w="2484"/>
            <w:vAlign w:val="center"/>
          </w:tcPr>
          <w:p>
            <w:pPr>
              <w:spacing w:after="0" w:before="0"/>
            </w:pPr>
            <w:r/>
            <w:r>
              <w:rPr>
                <w:rFonts w:ascii="Arial" w:hAnsi="Arial"/>
                <w:b w:val="0"/>
                <w:color w:val="000000"/>
                <w:sz w:val="18"/>
              </w:rPr>
              <w:t>Network failure, temporary upstream error, resource contention.</w:t>
            </w:r>
          </w:p>
        </w:tc>
        <w:tc>
          <w:tcPr>
            <w:tcW w:type="dxa" w:w="2484"/>
            <w:vAlign w:val="center"/>
          </w:tcPr>
          <w:p>
            <w:pPr>
              <w:spacing w:after="0" w:before="0"/>
            </w:pPr>
            <w:r/>
            <w:r>
              <w:rPr>
                <w:rFonts w:ascii="Arial" w:hAnsi="Arial"/>
                <w:b w:val="0"/>
                <w:color w:val="000000"/>
                <w:sz w:val="18"/>
              </w:rPr>
              <w:t>Yes, bounded</w:t>
            </w:r>
          </w:p>
        </w:tc>
        <w:tc>
          <w:tcPr>
            <w:tcW w:type="dxa" w:w="2484"/>
            <w:vAlign w:val="center"/>
          </w:tcPr>
          <w:p>
            <w:pPr>
              <w:spacing w:after="0" w:before="0"/>
            </w:pPr>
            <w:r/>
            <w:r>
              <w:rPr>
                <w:rFonts w:ascii="Arial" w:hAnsi="Arial"/>
                <w:b w:val="0"/>
                <w:color w:val="000000"/>
                <w:sz w:val="18"/>
              </w:rPr>
              <w:t>Retry with backoff and idempotency controls.</w:t>
            </w:r>
          </w:p>
        </w:tc>
      </w:tr>
      <w:tr>
        <w:tc>
          <w:tcPr>
            <w:tcW w:type="dxa" w:w="2484"/>
            <w:vAlign w:val="center"/>
          </w:tcPr>
          <w:p>
            <w:pPr>
              <w:spacing w:after="0" w:before="0"/>
            </w:pPr>
            <w:r/>
            <w:r>
              <w:rPr>
                <w:rFonts w:ascii="Arial" w:hAnsi="Arial"/>
                <w:b w:val="0"/>
                <w:color w:val="000000"/>
                <w:sz w:val="18"/>
              </w:rPr>
              <w:t>Timeout</w:t>
            </w:r>
          </w:p>
        </w:tc>
        <w:tc>
          <w:tcPr>
            <w:tcW w:type="dxa" w:w="2484"/>
            <w:vAlign w:val="center"/>
          </w:tcPr>
          <w:p>
            <w:pPr>
              <w:spacing w:after="0" w:before="0"/>
            </w:pPr>
            <w:r/>
            <w:r>
              <w:rPr>
                <w:rFonts w:ascii="Arial" w:hAnsi="Arial"/>
                <w:b w:val="0"/>
                <w:color w:val="000000"/>
                <w:sz w:val="18"/>
              </w:rPr>
              <w:t>Slow query, hung worker, remote service latency spike.</w:t>
            </w:r>
          </w:p>
        </w:tc>
        <w:tc>
          <w:tcPr>
            <w:tcW w:type="dxa" w:w="2484"/>
            <w:vAlign w:val="center"/>
          </w:tcPr>
          <w:p>
            <w:pPr>
              <w:spacing w:after="0" w:before="0"/>
            </w:pPr>
            <w:r/>
            <w:r>
              <w:rPr>
                <w:rFonts w:ascii="Arial" w:hAnsi="Arial"/>
                <w:b w:val="0"/>
                <w:color w:val="000000"/>
                <w:sz w:val="18"/>
              </w:rPr>
              <w:t>Sometimes</w:t>
            </w:r>
          </w:p>
        </w:tc>
        <w:tc>
          <w:tcPr>
            <w:tcW w:type="dxa" w:w="2484"/>
            <w:vAlign w:val="center"/>
          </w:tcPr>
          <w:p>
            <w:pPr>
              <w:spacing w:after="0" w:before="0"/>
            </w:pPr>
            <w:r/>
            <w:r>
              <w:rPr>
                <w:rFonts w:ascii="Arial" w:hAnsi="Arial"/>
                <w:b w:val="0"/>
                <w:color w:val="000000"/>
                <w:sz w:val="18"/>
              </w:rPr>
              <w:t>Abort cleanly, emit timeout telemetry, degrade service if needed.</w:t>
            </w:r>
          </w:p>
        </w:tc>
      </w:tr>
      <w:tr>
        <w:tc>
          <w:tcPr>
            <w:tcW w:type="dxa" w:w="2484"/>
            <w:vAlign w:val="center"/>
          </w:tcPr>
          <w:p>
            <w:pPr>
              <w:spacing w:after="0" w:before="0"/>
            </w:pPr>
            <w:r/>
            <w:r>
              <w:rPr>
                <w:rFonts w:ascii="Arial" w:hAnsi="Arial"/>
                <w:b w:val="0"/>
                <w:color w:val="000000"/>
                <w:sz w:val="18"/>
              </w:rPr>
              <w:t>Unexpected internal</w:t>
            </w:r>
          </w:p>
        </w:tc>
        <w:tc>
          <w:tcPr>
            <w:tcW w:type="dxa" w:w="2484"/>
            <w:vAlign w:val="center"/>
          </w:tcPr>
          <w:p>
            <w:pPr>
              <w:spacing w:after="0" w:before="0"/>
            </w:pPr>
            <w:r/>
            <w:r>
              <w:rPr>
                <w:rFonts w:ascii="Arial" w:hAnsi="Arial"/>
                <w:b w:val="0"/>
                <w:color w:val="000000"/>
                <w:sz w:val="18"/>
              </w:rPr>
              <w:t>Null state, unhandled exception, invariant failure.</w:t>
            </w:r>
          </w:p>
        </w:tc>
        <w:tc>
          <w:tcPr>
            <w:tcW w:type="dxa" w:w="2484"/>
            <w:vAlign w:val="center"/>
          </w:tcPr>
          <w:p>
            <w:pPr>
              <w:spacing w:after="0" w:before="0"/>
            </w:pPr>
            <w:r/>
            <w:r>
              <w:rPr>
                <w:rFonts w:ascii="Arial" w:hAnsi="Arial"/>
                <w:b w:val="0"/>
                <w:color w:val="000000"/>
                <w:sz w:val="18"/>
              </w:rPr>
              <w:t>No until diagnosed</w:t>
            </w:r>
          </w:p>
        </w:tc>
        <w:tc>
          <w:tcPr>
            <w:tcW w:type="dxa" w:w="2484"/>
            <w:vAlign w:val="center"/>
          </w:tcPr>
          <w:p>
            <w:pPr>
              <w:spacing w:after="0" w:before="0"/>
            </w:pPr>
            <w:r/>
            <w:r>
              <w:rPr>
                <w:rFonts w:ascii="Arial" w:hAnsi="Arial"/>
                <w:b w:val="0"/>
                <w:color w:val="000000"/>
                <w:sz w:val="18"/>
              </w:rPr>
              <w:t>Return generic fault, capture full context securely.</w:t>
            </w:r>
          </w:p>
        </w:tc>
      </w:tr>
    </w:tbl>
    <w:p>
      <w:pPr>
        <w:pStyle w:val="Heading2"/>
        <w:keepNext/>
        <w:spacing w:before="160" w:after="80"/>
      </w:pPr>
      <w:r>
        <w:t>5.2 Error handling rules</w:t>
      </w:r>
    </w:p>
    <w:p>
      <w:pPr>
        <w:pStyle w:val="ListBullet"/>
        <w:spacing w:after="80"/>
        <w:ind w:left="360"/>
      </w:pPr>
      <w:r>
        <w:rPr>
          <w:rFonts w:ascii="Arial" w:hAnsi="Arial"/>
          <w:b w:val="0"/>
          <w:i w:val="0"/>
          <w:color w:val="000000"/>
          <w:sz w:val="21"/>
        </w:rPr>
        <w:t>Never swallow exceptions silently. Every catch block should either handle, transform, or rethrow with preserved context.</w:t>
      </w:r>
    </w:p>
    <w:p>
      <w:pPr>
        <w:pStyle w:val="ListBullet"/>
        <w:spacing w:after="80"/>
        <w:ind w:left="360"/>
      </w:pPr>
      <w:r>
        <w:rPr>
          <w:rFonts w:ascii="Arial" w:hAnsi="Arial"/>
          <w:b w:val="0"/>
          <w:i w:val="0"/>
          <w:color w:val="000000"/>
          <w:sz w:val="21"/>
        </w:rPr>
        <w:t>Emit structured error events with correlation identifiers, request metadata, actor, component, environment, and retry state.</w:t>
      </w:r>
    </w:p>
    <w:p>
      <w:pPr>
        <w:pStyle w:val="ListBullet"/>
        <w:spacing w:after="80"/>
        <w:ind w:left="360"/>
      </w:pPr>
      <w:r>
        <w:rPr>
          <w:rFonts w:ascii="Arial" w:hAnsi="Arial"/>
          <w:b w:val="0"/>
          <w:i w:val="0"/>
          <w:color w:val="000000"/>
          <w:sz w:val="21"/>
        </w:rPr>
        <w:t>Separate user-facing messages from internal diagnostic detail.</w:t>
      </w:r>
    </w:p>
    <w:p>
      <w:pPr>
        <w:pStyle w:val="ListBullet"/>
        <w:spacing w:after="80"/>
        <w:ind w:left="360"/>
      </w:pPr>
      <w:r>
        <w:rPr>
          <w:rFonts w:ascii="Arial" w:hAnsi="Arial"/>
          <w:b w:val="0"/>
          <w:i w:val="0"/>
          <w:color w:val="000000"/>
          <w:sz w:val="21"/>
        </w:rPr>
        <w:t>Use bounded retries with jitter, deadlines, and idempotency keys; never retry blindly.</w:t>
      </w:r>
    </w:p>
    <w:p>
      <w:pPr>
        <w:pStyle w:val="ListBullet"/>
        <w:spacing w:after="80"/>
        <w:ind w:left="360"/>
      </w:pPr>
      <w:r>
        <w:rPr>
          <w:rFonts w:ascii="Arial" w:hAnsi="Arial"/>
          <w:b w:val="0"/>
          <w:i w:val="0"/>
          <w:color w:val="000000"/>
          <w:sz w:val="21"/>
        </w:rPr>
        <w:t>Fail closed for authorization and data integrity questions; fail open only where explicitly justified and safe.</w:t>
      </w:r>
    </w:p>
    <w:p>
      <w:pPr>
        <w:pStyle w:val="ListBullet"/>
        <w:spacing w:after="80"/>
        <w:ind w:left="360"/>
      </w:pPr>
      <w:r>
        <w:rPr>
          <w:rFonts w:ascii="Arial" w:hAnsi="Arial"/>
          <w:b w:val="0"/>
          <w:i w:val="0"/>
          <w:color w:val="000000"/>
          <w:sz w:val="21"/>
        </w:rPr>
        <w:t>Standardize error envelopes for APIs and jobs so clients can react consistently.</w:t>
      </w:r>
    </w:p>
    <w:p>
      <w:pPr>
        <w:pStyle w:val="Heading2"/>
        <w:keepNext/>
        <w:spacing w:before="160" w:after="80"/>
      </w:pPr>
      <w:r>
        <w:t>5.3 Suggested error envelope</w:t>
      </w:r>
    </w:p>
    <w:p>
      <w:pPr>
        <w:pStyle w:val="CodeBlock"/>
        <w:spacing w:after="0"/>
        <w:ind w:left="504"/>
      </w:pPr>
      <w:r>
        <w:rPr>
          <w:rFonts w:ascii="Courier New" w:hAnsi="Courier New"/>
          <w:b w:val="0"/>
          <w:i w:val="0"/>
          <w:color w:val="000000"/>
          <w:sz w:val="17"/>
        </w:rPr>
        <w:t>{</w:t>
      </w:r>
    </w:p>
    <w:p>
      <w:pPr>
        <w:pStyle w:val="CodeBlock"/>
        <w:spacing w:after="0"/>
        <w:ind w:left="504"/>
      </w:pPr>
      <w:r>
        <w:rPr>
          <w:rFonts w:ascii="Courier New" w:hAnsi="Courier New"/>
          <w:b w:val="0"/>
          <w:i w:val="0"/>
          <w:color w:val="000000"/>
          <w:sz w:val="17"/>
        </w:rPr>
        <w:t xml:space="preserve">  "error_code": "DEPENDENCY_TIMEOUT",</w:t>
      </w:r>
    </w:p>
    <w:p>
      <w:pPr>
        <w:pStyle w:val="CodeBlock"/>
        <w:spacing w:after="0"/>
        <w:ind w:left="504"/>
      </w:pPr>
      <w:r>
        <w:rPr>
          <w:rFonts w:ascii="Courier New" w:hAnsi="Courier New"/>
          <w:b w:val="0"/>
          <w:i w:val="0"/>
          <w:color w:val="000000"/>
          <w:sz w:val="17"/>
        </w:rPr>
        <w:t xml:space="preserve">  "message": "A downstream dependency did not respond in time.",</w:t>
      </w:r>
    </w:p>
    <w:p>
      <w:pPr>
        <w:pStyle w:val="CodeBlock"/>
        <w:spacing w:after="0"/>
        <w:ind w:left="504"/>
      </w:pPr>
      <w:r>
        <w:rPr>
          <w:rFonts w:ascii="Courier New" w:hAnsi="Courier New"/>
          <w:b w:val="0"/>
          <w:i w:val="0"/>
          <w:color w:val="000000"/>
          <w:sz w:val="17"/>
        </w:rPr>
        <w:t xml:space="preserve">  "correlation_id": "&lt;trace-or-request-id&gt;",</w:t>
      </w:r>
    </w:p>
    <w:p>
      <w:pPr>
        <w:pStyle w:val="CodeBlock"/>
        <w:spacing w:after="0"/>
        <w:ind w:left="504"/>
      </w:pPr>
      <w:r>
        <w:rPr>
          <w:rFonts w:ascii="Courier New" w:hAnsi="Courier New"/>
          <w:b w:val="0"/>
          <w:i w:val="0"/>
          <w:color w:val="000000"/>
          <w:sz w:val="17"/>
        </w:rPr>
        <w:t xml:space="preserve">  "retryable": true,</w:t>
      </w:r>
    </w:p>
    <w:p>
      <w:pPr>
        <w:pStyle w:val="CodeBlock"/>
        <w:spacing w:after="0"/>
        <w:ind w:left="504"/>
      </w:pPr>
      <w:r>
        <w:rPr>
          <w:rFonts w:ascii="Courier New" w:hAnsi="Courier New"/>
          <w:b w:val="0"/>
          <w:i w:val="0"/>
          <w:color w:val="000000"/>
          <w:sz w:val="17"/>
        </w:rPr>
        <w:t xml:space="preserve">  "http_status": 504,</w:t>
      </w:r>
    </w:p>
    <w:p>
      <w:pPr>
        <w:pStyle w:val="CodeBlock"/>
        <w:spacing w:after="0"/>
        <w:ind w:left="504"/>
      </w:pPr>
      <w:r>
        <w:rPr>
          <w:rFonts w:ascii="Courier New" w:hAnsi="Courier New"/>
          <w:b w:val="0"/>
          <w:i w:val="0"/>
          <w:color w:val="000000"/>
          <w:sz w:val="17"/>
        </w:rPr>
        <w:t xml:space="preserve">  "details": [],</w:t>
      </w:r>
    </w:p>
    <w:p>
      <w:pPr>
        <w:pStyle w:val="CodeBlock"/>
        <w:spacing w:after="0"/>
        <w:ind w:left="504"/>
      </w:pPr>
      <w:r>
        <w:rPr>
          <w:rFonts w:ascii="Courier New" w:hAnsi="Courier New"/>
          <w:b w:val="0"/>
          <w:i w:val="0"/>
          <w:color w:val="000000"/>
          <w:sz w:val="17"/>
        </w:rPr>
        <w:t xml:space="preserve">  "timestamp": "2026-04-05T14:20:00Z"</w:t>
      </w:r>
    </w:p>
    <w:p>
      <w:pPr>
        <w:pStyle w:val="CodeBlock"/>
        <w:spacing w:after="0"/>
        <w:ind w:left="504"/>
      </w:pPr>
      <w:r>
        <w:rPr>
          <w:rFonts w:ascii="Courier New" w:hAnsi="Courier New"/>
          <w:b w:val="0"/>
          <w:i w:val="0"/>
          <w:color w:val="000000"/>
          <w:sz w:val="17"/>
        </w:rPr>
        <w:t>}</w:t>
      </w:r>
    </w:p>
    <w:tbl>
      <w:tblPr>
        <w:tblW w:type="auto" w:w="0"/>
        <w:jc w:val="center"/>
        <w:tblLayout w:type="fixed"/>
        <w:tblLook w:firstColumn="1" w:firstRow="1" w:lastColumn="0" w:lastRow="0" w:noHBand="0" w:noVBand="1" w:val="04A0"/>
      </w:tblPr>
      <w:tblGrid>
        <w:gridCol w:w="9936"/>
      </w:tblGrid>
      <w:tr>
        <w:tc>
          <w:tcPr>
            <w:tcW w:type="dxa" w:w="9792"/>
            <w:shd w:fill="EEF4FB"/>
            <w:vAlign w:val="center"/>
          </w:tcPr>
          <w:p>
            <w:pPr>
              <w:spacing w:after="40"/>
            </w:pPr>
            <w:r>
              <w:rPr>
                <w:rFonts w:ascii="Arial" w:hAnsi="Arial"/>
                <w:b/>
                <w:i w:val="0"/>
                <w:color w:val="1F4E79"/>
                <w:sz w:val="21"/>
              </w:rPr>
              <w:t>Policy choice</w:t>
            </w:r>
          </w:p>
          <w:p>
            <w:pPr>
              <w:spacing w:after="0"/>
            </w:pPr>
            <w:r>
              <w:rPr>
                <w:rFonts w:ascii="Arial" w:hAnsi="Arial"/>
                <w:b w:val="0"/>
                <w:i w:val="0"/>
                <w:color w:val="000000"/>
                <w:sz w:val="19"/>
              </w:rPr>
              <w:t>A production error without a correlation identifier is operational debt. Correlation IDs should flow from the user edge through APIs, asynchronous jobs, database spans, and logs.</w:t>
            </w:r>
          </w:p>
        </w:tc>
      </w:tr>
    </w:tbl>
    <w:p>
      <w:pPr>
        <w:spacing w:after="40"/>
      </w:pPr>
    </w:p>
    <w:p>
      <w:pPr>
        <w:pStyle w:val="Heading1"/>
        <w:keepNext/>
        <w:spacing w:before="240" w:after="80"/>
      </w:pPr>
      <w:r>
        <w:t>6. Audit logging, telemetry, and operational evidence</w:t>
      </w:r>
    </w:p>
    <w:p>
      <w:pPr>
        <w:spacing w:after="140" w:line="240" w:lineRule="auto"/>
      </w:pPr>
      <w:r>
        <w:rPr>
          <w:rFonts w:ascii="Arial" w:hAnsi="Arial"/>
          <w:b w:val="0"/>
          <w:i w:val="0"/>
          <w:color w:val="000000"/>
          <w:sz w:val="21"/>
        </w:rPr>
        <w:t>Audit logging and observability serve different purposes and should not be conflated. Audit logs answer who did what, when, from where, under what authority, and with what outcome. Operational telemetry answers what the system is doing, where latency is accumulating, and why failures are occurring. Both are required.</w:t>
      </w:r>
    </w:p>
    <w:p>
      <w:pPr>
        <w:pStyle w:val="Heading2"/>
        <w:keepNext/>
        <w:spacing w:before="160" w:after="80"/>
      </w:pPr>
      <w:r>
        <w:t>6.1 Audit logging standard</w:t>
      </w:r>
    </w:p>
    <w:p>
      <w:pPr>
        <w:pStyle w:val="ListBullet"/>
        <w:spacing w:after="80"/>
        <w:ind w:left="360"/>
      </w:pPr>
      <w:r>
        <w:rPr>
          <w:rFonts w:ascii="Arial" w:hAnsi="Arial"/>
          <w:b w:val="0"/>
          <w:i w:val="0"/>
          <w:color w:val="000000"/>
          <w:sz w:val="21"/>
        </w:rPr>
        <w:t>Log security-sensitive and compliance-relevant events: authentication, authorization changes, privilege elevation, configuration changes, data exports, approval actions, and destructive actions.</w:t>
      </w:r>
    </w:p>
    <w:p>
      <w:pPr>
        <w:pStyle w:val="ListBullet"/>
        <w:spacing w:after="80"/>
        <w:ind w:left="360"/>
      </w:pPr>
      <w:r>
        <w:rPr>
          <w:rFonts w:ascii="Arial" w:hAnsi="Arial"/>
          <w:b w:val="0"/>
          <w:i w:val="0"/>
          <w:color w:val="000000"/>
          <w:sz w:val="21"/>
        </w:rPr>
        <w:t>Make audit events append-oriented, immutable where required, and protected from ordinary application deletion paths.</w:t>
      </w:r>
    </w:p>
    <w:p>
      <w:pPr>
        <w:pStyle w:val="ListBullet"/>
        <w:spacing w:after="80"/>
        <w:ind w:left="360"/>
      </w:pPr>
      <w:r>
        <w:rPr>
          <w:rFonts w:ascii="Arial" w:hAnsi="Arial"/>
          <w:b w:val="0"/>
          <w:i w:val="0"/>
          <w:color w:val="000000"/>
          <w:sz w:val="21"/>
        </w:rPr>
        <w:t>Record actor identity, subject or resource, action, prior state when permitted, resulting state, outcome, timestamp, request origin, and approval context.</w:t>
      </w:r>
    </w:p>
    <w:p>
      <w:pPr>
        <w:pStyle w:val="ListBullet"/>
        <w:spacing w:after="80"/>
        <w:ind w:left="360"/>
      </w:pPr>
      <w:r>
        <w:rPr>
          <w:rFonts w:ascii="Arial" w:hAnsi="Arial"/>
          <w:b w:val="0"/>
          <w:i w:val="0"/>
          <w:color w:val="000000"/>
          <w:sz w:val="21"/>
        </w:rPr>
        <w:t>Redact secrets, personal data beyond necessity, and prohibited payload contents before log emission.</w:t>
      </w:r>
    </w:p>
    <w:p>
      <w:pPr>
        <w:pStyle w:val="ListBullet"/>
        <w:spacing w:after="80"/>
        <w:ind w:left="360"/>
      </w:pPr>
      <w:r>
        <w:rPr>
          <w:rFonts w:ascii="Arial" w:hAnsi="Arial"/>
          <w:b w:val="0"/>
          <w:i w:val="0"/>
          <w:color w:val="000000"/>
          <w:sz w:val="21"/>
        </w:rPr>
        <w:t>Define retention and access controls explicitly. Audit trails are sensitive data.</w:t>
      </w:r>
    </w:p>
    <w:p>
      <w:pPr>
        <w:pStyle w:val="Heading2"/>
        <w:keepNext/>
        <w:spacing w:before="160" w:after="80"/>
      </w:pPr>
      <w:r>
        <w:t>6.2 Observability standard</w:t>
      </w:r>
    </w:p>
    <w:p>
      <w:pPr>
        <w:pStyle w:val="ListBullet"/>
        <w:spacing w:after="80"/>
        <w:ind w:left="360"/>
      </w:pPr>
      <w:r>
        <w:rPr>
          <w:rFonts w:ascii="Arial" w:hAnsi="Arial"/>
          <w:b w:val="0"/>
          <w:i w:val="0"/>
          <w:color w:val="000000"/>
          <w:sz w:val="21"/>
        </w:rPr>
        <w:t>Use structured logs with a stable schema rather than free-form message-only logging.</w:t>
      </w:r>
    </w:p>
    <w:p>
      <w:pPr>
        <w:pStyle w:val="ListBullet"/>
        <w:spacing w:after="80"/>
        <w:ind w:left="360"/>
      </w:pPr>
      <w:r>
        <w:rPr>
          <w:rFonts w:ascii="Arial" w:hAnsi="Arial"/>
          <w:b w:val="0"/>
          <w:i w:val="0"/>
          <w:color w:val="000000"/>
          <w:sz w:val="21"/>
        </w:rPr>
        <w:t>Adopt traces, metrics, and logs together so production debugging is multi-signal rather than log-only.</w:t>
      </w:r>
    </w:p>
    <w:p>
      <w:pPr>
        <w:pStyle w:val="ListBullet"/>
        <w:spacing w:after="80"/>
        <w:ind w:left="360"/>
      </w:pPr>
      <w:r>
        <w:rPr>
          <w:rFonts w:ascii="Arial" w:hAnsi="Arial"/>
          <w:b w:val="0"/>
          <w:i w:val="0"/>
          <w:color w:val="000000"/>
          <w:sz w:val="21"/>
        </w:rPr>
        <w:t>Attach service, environment, deployment version, tenant or cohort where allowed, correlation ID, and operation name consistently.</w:t>
      </w:r>
    </w:p>
    <w:p>
      <w:pPr>
        <w:pStyle w:val="ListBullet"/>
        <w:spacing w:after="80"/>
        <w:ind w:left="360"/>
      </w:pPr>
      <w:r>
        <w:rPr>
          <w:rFonts w:ascii="Arial" w:hAnsi="Arial"/>
          <w:b w:val="0"/>
          <w:i w:val="0"/>
          <w:color w:val="000000"/>
          <w:sz w:val="21"/>
        </w:rPr>
        <w:t>Instrument critical paths first: authentication, checkout or order flow, patient or customer record mutations, batch jobs, external calls, and database hot paths.</w:t>
      </w:r>
    </w:p>
    <w:p>
      <w:pPr>
        <w:pStyle w:val="ListBullet"/>
        <w:spacing w:after="80"/>
        <w:ind w:left="360"/>
      </w:pPr>
      <w:r>
        <w:rPr>
          <w:rFonts w:ascii="Arial" w:hAnsi="Arial"/>
          <w:b w:val="0"/>
          <w:i w:val="0"/>
          <w:color w:val="000000"/>
          <w:sz w:val="21"/>
        </w:rPr>
        <w:t>Define alerting on symptoms and error budget burn, not only infrastructure raw metrics.</w:t>
      </w:r>
    </w:p>
    <w:p>
      <w:pPr>
        <w:spacing w:after="80"/>
      </w:pPr>
      <w:r>
        <w:rPr>
          <w:rFonts w:ascii="Arial" w:hAnsi="Arial"/>
          <w:b/>
          <w:i w:val="0"/>
          <w:color w:val="000000"/>
          <w:sz w:val="22"/>
        </w:rPr>
        <w:t>Recommended minimum log schema</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vAlign w:val="center"/>
            <w:shd w:fill="2F5597"/>
          </w:tcPr>
          <w:p>
            <w:pPr>
              <w:spacing w:after="0" w:before="0"/>
            </w:pPr>
            <w:r/>
            <w:r>
              <w:rPr>
                <w:rFonts w:ascii="Arial" w:hAnsi="Arial"/>
                <w:b/>
                <w:color w:val="FFFFFF"/>
                <w:sz w:val="20"/>
              </w:rPr>
              <w:t>Field</w:t>
            </w:r>
          </w:p>
        </w:tc>
        <w:tc>
          <w:tcPr>
            <w:tcW w:type="dxa" w:w="3168"/>
            <w:vAlign w:val="center"/>
            <w:shd w:fill="2F5597"/>
          </w:tcPr>
          <w:p>
            <w:pPr>
              <w:spacing w:after="0" w:before="0"/>
            </w:pPr>
            <w:r/>
            <w:r>
              <w:rPr>
                <w:rFonts w:ascii="Arial" w:hAnsi="Arial"/>
                <w:b/>
                <w:color w:val="FFFFFF"/>
                <w:sz w:val="20"/>
              </w:rPr>
              <w:t>Purpose</w:t>
            </w:r>
          </w:p>
        </w:tc>
        <w:tc>
          <w:tcPr>
            <w:tcW w:type="dxa" w:w="4320"/>
            <w:vAlign w:val="center"/>
            <w:shd w:fill="2F5597"/>
          </w:tcPr>
          <w:p>
            <w:pPr>
              <w:spacing w:after="0" w:before="0"/>
            </w:pPr>
            <w:r/>
            <w:r>
              <w:rPr>
                <w:rFonts w:ascii="Arial" w:hAnsi="Arial"/>
                <w:b/>
                <w:color w:val="FFFFFF"/>
                <w:sz w:val="20"/>
              </w:rPr>
              <w:t>Notes</w:t>
            </w:r>
          </w:p>
        </w:tc>
      </w:tr>
      <w:tr>
        <w:tc>
          <w:tcPr>
            <w:tcW w:type="dxa" w:w="3312"/>
            <w:vAlign w:val="center"/>
          </w:tcPr>
          <w:p>
            <w:pPr>
              <w:spacing w:after="0" w:before="0"/>
            </w:pPr>
            <w:r/>
            <w:r>
              <w:rPr>
                <w:rFonts w:ascii="Arial" w:hAnsi="Arial"/>
                <w:b w:val="0"/>
                <w:color w:val="000000"/>
                <w:sz w:val="18"/>
              </w:rPr>
              <w:t>timestamp</w:t>
            </w:r>
          </w:p>
        </w:tc>
        <w:tc>
          <w:tcPr>
            <w:tcW w:type="dxa" w:w="3312"/>
            <w:vAlign w:val="center"/>
          </w:tcPr>
          <w:p>
            <w:pPr>
              <w:spacing w:after="0" w:before="0"/>
            </w:pPr>
            <w:r/>
            <w:r>
              <w:rPr>
                <w:rFonts w:ascii="Arial" w:hAnsi="Arial"/>
                <w:b w:val="0"/>
                <w:color w:val="000000"/>
                <w:sz w:val="18"/>
              </w:rPr>
              <w:t>Ordering and timeline reconstruction</w:t>
            </w:r>
          </w:p>
        </w:tc>
        <w:tc>
          <w:tcPr>
            <w:tcW w:type="dxa" w:w="3312"/>
            <w:vAlign w:val="center"/>
          </w:tcPr>
          <w:p>
            <w:pPr>
              <w:spacing w:after="0" w:before="0"/>
            </w:pPr>
            <w:r/>
            <w:r>
              <w:rPr>
                <w:rFonts w:ascii="Arial" w:hAnsi="Arial"/>
                <w:b w:val="0"/>
                <w:color w:val="000000"/>
                <w:sz w:val="18"/>
              </w:rPr>
              <w:t>Use UTC and precise server time.</w:t>
            </w:r>
          </w:p>
        </w:tc>
      </w:tr>
      <w:tr>
        <w:tc>
          <w:tcPr>
            <w:tcW w:type="dxa" w:w="3312"/>
            <w:vAlign w:val="center"/>
          </w:tcPr>
          <w:p>
            <w:pPr>
              <w:spacing w:after="0" w:before="0"/>
            </w:pPr>
            <w:r/>
            <w:r>
              <w:rPr>
                <w:rFonts w:ascii="Arial" w:hAnsi="Arial"/>
                <w:b w:val="0"/>
                <w:color w:val="000000"/>
                <w:sz w:val="18"/>
              </w:rPr>
              <w:t>level</w:t>
            </w:r>
          </w:p>
        </w:tc>
        <w:tc>
          <w:tcPr>
            <w:tcW w:type="dxa" w:w="3312"/>
            <w:vAlign w:val="center"/>
          </w:tcPr>
          <w:p>
            <w:pPr>
              <w:spacing w:after="0" w:before="0"/>
            </w:pPr>
            <w:r/>
            <w:r>
              <w:rPr>
                <w:rFonts w:ascii="Arial" w:hAnsi="Arial"/>
                <w:b w:val="0"/>
                <w:color w:val="000000"/>
                <w:sz w:val="18"/>
              </w:rPr>
              <w:t>Filtering and alert routing</w:t>
            </w:r>
          </w:p>
        </w:tc>
        <w:tc>
          <w:tcPr>
            <w:tcW w:type="dxa" w:w="3312"/>
            <w:vAlign w:val="center"/>
          </w:tcPr>
          <w:p>
            <w:pPr>
              <w:spacing w:after="0" w:before="0"/>
            </w:pPr>
            <w:r/>
            <w:r>
              <w:rPr>
                <w:rFonts w:ascii="Arial" w:hAnsi="Arial"/>
                <w:b w:val="0"/>
                <w:color w:val="000000"/>
                <w:sz w:val="18"/>
              </w:rPr>
              <w:t>Use a restrained level vocabulary.</w:t>
            </w:r>
          </w:p>
        </w:tc>
      </w:tr>
      <w:tr>
        <w:tc>
          <w:tcPr>
            <w:tcW w:type="dxa" w:w="3312"/>
            <w:vAlign w:val="center"/>
          </w:tcPr>
          <w:p>
            <w:pPr>
              <w:spacing w:after="0" w:before="0"/>
            </w:pPr>
            <w:r/>
            <w:r>
              <w:rPr>
                <w:rFonts w:ascii="Arial" w:hAnsi="Arial"/>
                <w:b w:val="0"/>
                <w:color w:val="000000"/>
                <w:sz w:val="18"/>
              </w:rPr>
              <w:t>service / component</w:t>
            </w:r>
          </w:p>
        </w:tc>
        <w:tc>
          <w:tcPr>
            <w:tcW w:type="dxa" w:w="3312"/>
            <w:vAlign w:val="center"/>
          </w:tcPr>
          <w:p>
            <w:pPr>
              <w:spacing w:after="0" w:before="0"/>
            </w:pPr>
            <w:r/>
            <w:r>
              <w:rPr>
                <w:rFonts w:ascii="Arial" w:hAnsi="Arial"/>
                <w:b w:val="0"/>
                <w:color w:val="000000"/>
                <w:sz w:val="18"/>
              </w:rPr>
              <w:t>Source identification</w:t>
            </w:r>
          </w:p>
        </w:tc>
        <w:tc>
          <w:tcPr>
            <w:tcW w:type="dxa" w:w="3312"/>
            <w:vAlign w:val="center"/>
          </w:tcPr>
          <w:p>
            <w:pPr>
              <w:spacing w:after="0" w:before="0"/>
            </w:pPr>
            <w:r/>
            <w:r>
              <w:rPr>
                <w:rFonts w:ascii="Arial" w:hAnsi="Arial"/>
                <w:b w:val="0"/>
                <w:color w:val="000000"/>
                <w:sz w:val="18"/>
              </w:rPr>
              <w:t>Do not infer from hostnames alone.</w:t>
            </w:r>
          </w:p>
        </w:tc>
      </w:tr>
      <w:tr>
        <w:tc>
          <w:tcPr>
            <w:tcW w:type="dxa" w:w="3312"/>
            <w:vAlign w:val="center"/>
          </w:tcPr>
          <w:p>
            <w:pPr>
              <w:spacing w:after="0" w:before="0"/>
            </w:pPr>
            <w:r/>
            <w:r>
              <w:rPr>
                <w:rFonts w:ascii="Arial" w:hAnsi="Arial"/>
                <w:b w:val="0"/>
                <w:color w:val="000000"/>
                <w:sz w:val="18"/>
              </w:rPr>
              <w:t>trace_id / span_id</w:t>
            </w:r>
          </w:p>
        </w:tc>
        <w:tc>
          <w:tcPr>
            <w:tcW w:type="dxa" w:w="3312"/>
            <w:vAlign w:val="center"/>
          </w:tcPr>
          <w:p>
            <w:pPr>
              <w:spacing w:after="0" w:before="0"/>
            </w:pPr>
            <w:r/>
            <w:r>
              <w:rPr>
                <w:rFonts w:ascii="Arial" w:hAnsi="Arial"/>
                <w:b w:val="0"/>
                <w:color w:val="000000"/>
                <w:sz w:val="18"/>
              </w:rPr>
              <w:t>Cross-signal correlation</w:t>
            </w:r>
          </w:p>
        </w:tc>
        <w:tc>
          <w:tcPr>
            <w:tcW w:type="dxa" w:w="3312"/>
            <w:vAlign w:val="center"/>
          </w:tcPr>
          <w:p>
            <w:pPr>
              <w:spacing w:after="0" w:before="0"/>
            </w:pPr>
            <w:r/>
            <w:r>
              <w:rPr>
                <w:rFonts w:ascii="Arial" w:hAnsi="Arial"/>
                <w:b w:val="0"/>
                <w:color w:val="000000"/>
                <w:sz w:val="18"/>
              </w:rPr>
              <w:t>Mandatory for request-path logs.</w:t>
            </w:r>
          </w:p>
        </w:tc>
      </w:tr>
      <w:tr>
        <w:tc>
          <w:tcPr>
            <w:tcW w:type="dxa" w:w="3312"/>
            <w:vAlign w:val="center"/>
          </w:tcPr>
          <w:p>
            <w:pPr>
              <w:spacing w:after="0" w:before="0"/>
            </w:pPr>
            <w:r/>
            <w:r>
              <w:rPr>
                <w:rFonts w:ascii="Arial" w:hAnsi="Arial"/>
                <w:b w:val="0"/>
                <w:color w:val="000000"/>
                <w:sz w:val="18"/>
              </w:rPr>
              <w:t>actor / subject</w:t>
            </w:r>
          </w:p>
        </w:tc>
        <w:tc>
          <w:tcPr>
            <w:tcW w:type="dxa" w:w="3312"/>
            <w:vAlign w:val="center"/>
          </w:tcPr>
          <w:p>
            <w:pPr>
              <w:spacing w:after="0" w:before="0"/>
            </w:pPr>
            <w:r/>
            <w:r>
              <w:rPr>
                <w:rFonts w:ascii="Arial" w:hAnsi="Arial"/>
                <w:b w:val="0"/>
                <w:color w:val="000000"/>
                <w:sz w:val="18"/>
              </w:rPr>
              <w:t>Audit accountability</w:t>
            </w:r>
          </w:p>
        </w:tc>
        <w:tc>
          <w:tcPr>
            <w:tcW w:type="dxa" w:w="3312"/>
            <w:vAlign w:val="center"/>
          </w:tcPr>
          <w:p>
            <w:pPr>
              <w:spacing w:after="0" w:before="0"/>
            </w:pPr>
            <w:r/>
            <w:r>
              <w:rPr>
                <w:rFonts w:ascii="Arial" w:hAnsi="Arial"/>
                <w:b w:val="0"/>
                <w:color w:val="000000"/>
                <w:sz w:val="18"/>
              </w:rPr>
              <w:t>Use stable identifiers, not display names only.</w:t>
            </w:r>
          </w:p>
        </w:tc>
      </w:tr>
      <w:tr>
        <w:tc>
          <w:tcPr>
            <w:tcW w:type="dxa" w:w="3312"/>
            <w:vAlign w:val="center"/>
          </w:tcPr>
          <w:p>
            <w:pPr>
              <w:spacing w:after="0" w:before="0"/>
            </w:pPr>
            <w:r/>
            <w:r>
              <w:rPr>
                <w:rFonts w:ascii="Arial" w:hAnsi="Arial"/>
                <w:b w:val="0"/>
                <w:color w:val="000000"/>
                <w:sz w:val="18"/>
              </w:rPr>
              <w:t>event_name</w:t>
            </w:r>
          </w:p>
        </w:tc>
        <w:tc>
          <w:tcPr>
            <w:tcW w:type="dxa" w:w="3312"/>
            <w:vAlign w:val="center"/>
          </w:tcPr>
          <w:p>
            <w:pPr>
              <w:spacing w:after="0" w:before="0"/>
            </w:pPr>
            <w:r/>
            <w:r>
              <w:rPr>
                <w:rFonts w:ascii="Arial" w:hAnsi="Arial"/>
                <w:b w:val="0"/>
                <w:color w:val="000000"/>
                <w:sz w:val="18"/>
              </w:rPr>
              <w:t>Machine-readable event grouping</w:t>
            </w:r>
          </w:p>
        </w:tc>
        <w:tc>
          <w:tcPr>
            <w:tcW w:type="dxa" w:w="3312"/>
            <w:vAlign w:val="center"/>
          </w:tcPr>
          <w:p>
            <w:pPr>
              <w:spacing w:after="0" w:before="0"/>
            </w:pPr>
            <w:r/>
            <w:r>
              <w:rPr>
                <w:rFonts w:ascii="Arial" w:hAnsi="Arial"/>
                <w:b w:val="0"/>
                <w:color w:val="000000"/>
                <w:sz w:val="18"/>
              </w:rPr>
              <w:t>Examples: user.login.failed, order.approved.</w:t>
            </w:r>
          </w:p>
        </w:tc>
      </w:tr>
      <w:tr>
        <w:tc>
          <w:tcPr>
            <w:tcW w:type="dxa" w:w="3312"/>
            <w:vAlign w:val="center"/>
          </w:tcPr>
          <w:p>
            <w:pPr>
              <w:spacing w:after="0" w:before="0"/>
            </w:pPr>
            <w:r/>
            <w:r>
              <w:rPr>
                <w:rFonts w:ascii="Arial" w:hAnsi="Arial"/>
                <w:b w:val="0"/>
                <w:color w:val="000000"/>
                <w:sz w:val="18"/>
              </w:rPr>
              <w:t>outcome</w:t>
            </w:r>
          </w:p>
        </w:tc>
        <w:tc>
          <w:tcPr>
            <w:tcW w:type="dxa" w:w="3312"/>
            <w:vAlign w:val="center"/>
          </w:tcPr>
          <w:p>
            <w:pPr>
              <w:spacing w:after="0" w:before="0"/>
            </w:pPr>
            <w:r/>
            <w:r>
              <w:rPr>
                <w:rFonts w:ascii="Arial" w:hAnsi="Arial"/>
                <w:b w:val="0"/>
                <w:color w:val="000000"/>
                <w:sz w:val="18"/>
              </w:rPr>
              <w:t>Success, denial, retry, failure</w:t>
            </w:r>
          </w:p>
        </w:tc>
        <w:tc>
          <w:tcPr>
            <w:tcW w:type="dxa" w:w="3312"/>
            <w:vAlign w:val="center"/>
          </w:tcPr>
          <w:p>
            <w:pPr>
              <w:spacing w:after="0" w:before="0"/>
            </w:pPr>
            <w:r/>
            <w:r>
              <w:rPr>
                <w:rFonts w:ascii="Arial" w:hAnsi="Arial"/>
                <w:b w:val="0"/>
                <w:color w:val="000000"/>
                <w:sz w:val="18"/>
              </w:rPr>
              <w:t>Essential for compliance and triage.</w:t>
            </w:r>
          </w:p>
        </w:tc>
      </w:tr>
      <w:tr>
        <w:tc>
          <w:tcPr>
            <w:tcW w:type="dxa" w:w="3312"/>
            <w:vAlign w:val="center"/>
          </w:tcPr>
          <w:p>
            <w:pPr>
              <w:spacing w:after="0" w:before="0"/>
            </w:pPr>
            <w:r/>
            <w:r>
              <w:rPr>
                <w:rFonts w:ascii="Arial" w:hAnsi="Arial"/>
                <w:b w:val="0"/>
                <w:color w:val="000000"/>
                <w:sz w:val="18"/>
              </w:rPr>
              <w:t>error_code</w:t>
            </w:r>
          </w:p>
        </w:tc>
        <w:tc>
          <w:tcPr>
            <w:tcW w:type="dxa" w:w="3312"/>
            <w:vAlign w:val="center"/>
          </w:tcPr>
          <w:p>
            <w:pPr>
              <w:spacing w:after="0" w:before="0"/>
            </w:pPr>
            <w:r/>
            <w:r>
              <w:rPr>
                <w:rFonts w:ascii="Arial" w:hAnsi="Arial"/>
                <w:b w:val="0"/>
                <w:color w:val="000000"/>
                <w:sz w:val="18"/>
              </w:rPr>
              <w:t>Consistent diagnostics</w:t>
            </w:r>
          </w:p>
        </w:tc>
        <w:tc>
          <w:tcPr>
            <w:tcW w:type="dxa" w:w="3312"/>
            <w:vAlign w:val="center"/>
          </w:tcPr>
          <w:p>
            <w:pPr>
              <w:spacing w:after="0" w:before="0"/>
            </w:pPr>
            <w:r/>
            <w:r>
              <w:rPr>
                <w:rFonts w:ascii="Arial" w:hAnsi="Arial"/>
                <w:b w:val="0"/>
                <w:color w:val="000000"/>
                <w:sz w:val="18"/>
              </w:rPr>
              <w:t>Map to shared taxonomy.</w:t>
            </w:r>
          </w:p>
        </w:tc>
      </w:tr>
      <w:tr>
        <w:tc>
          <w:tcPr>
            <w:tcW w:type="dxa" w:w="3312"/>
            <w:vAlign w:val="center"/>
          </w:tcPr>
          <w:p>
            <w:pPr>
              <w:spacing w:after="0" w:before="0"/>
            </w:pPr>
            <w:r/>
            <w:r>
              <w:rPr>
                <w:rFonts w:ascii="Arial" w:hAnsi="Arial"/>
                <w:b w:val="0"/>
                <w:color w:val="000000"/>
                <w:sz w:val="18"/>
              </w:rPr>
              <w:t>metadata</w:t>
            </w:r>
          </w:p>
        </w:tc>
        <w:tc>
          <w:tcPr>
            <w:tcW w:type="dxa" w:w="3312"/>
            <w:vAlign w:val="center"/>
          </w:tcPr>
          <w:p>
            <w:pPr>
              <w:spacing w:after="0" w:before="0"/>
            </w:pPr>
            <w:r/>
            <w:r>
              <w:rPr>
                <w:rFonts w:ascii="Arial" w:hAnsi="Arial"/>
                <w:b w:val="0"/>
                <w:color w:val="000000"/>
                <w:sz w:val="18"/>
              </w:rPr>
              <w:t>Structured context payload</w:t>
            </w:r>
          </w:p>
        </w:tc>
        <w:tc>
          <w:tcPr>
            <w:tcW w:type="dxa" w:w="3312"/>
            <w:vAlign w:val="center"/>
          </w:tcPr>
          <w:p>
            <w:pPr>
              <w:spacing w:after="0" w:before="0"/>
            </w:pPr>
            <w:r/>
            <w:r>
              <w:rPr>
                <w:rFonts w:ascii="Arial" w:hAnsi="Arial"/>
                <w:b w:val="0"/>
                <w:color w:val="000000"/>
                <w:sz w:val="18"/>
              </w:rPr>
              <w:t>Avoid arbitrary blobs that change weekly.</w:t>
            </w:r>
          </w:p>
        </w:tc>
      </w:tr>
    </w:tbl>
    <w:p>
      <w:pPr>
        <w:pStyle w:val="Heading1"/>
        <w:keepNext/>
        <w:spacing w:before="240" w:after="80"/>
      </w:pPr>
      <w:r>
        <w:t>7. Testing strategy and meaningful coverage</w:t>
      </w:r>
    </w:p>
    <w:p>
      <w:pPr>
        <w:spacing w:after="140" w:line="240" w:lineRule="auto"/>
      </w:pPr>
      <w:r>
        <w:rPr>
          <w:rFonts w:ascii="Arial" w:hAnsi="Arial"/>
          <w:b w:val="0"/>
          <w:i w:val="0"/>
          <w:color w:val="000000"/>
          <w:sz w:val="21"/>
        </w:rPr>
        <w:t>Complete test coverage should be defined behaviorally and by risk, not merely by line percentage. A system can report one hundred percent line coverage and still miss privilege escalation, race conditions, flaky browser flows, migration failures, and performance regressions. The correct goal is complete coverage of critical behavior, critical error paths, and critical controls.</w:t>
      </w:r>
    </w:p>
    <w:p>
      <w:pPr>
        <w:pStyle w:val="Heading2"/>
        <w:keepNext/>
        <w:spacing w:before="160" w:after="80"/>
      </w:pPr>
      <w:r>
        <w:t>7.1 Test portfolio</w:t>
      </w:r>
    </w:p>
    <w:p>
      <w:pPr>
        <w:pStyle w:val="ListBullet"/>
        <w:spacing w:after="80"/>
        <w:ind w:left="360"/>
      </w:pPr>
      <w:r>
        <w:rPr>
          <w:rFonts w:ascii="Arial" w:hAnsi="Arial"/>
          <w:b w:val="0"/>
          <w:i w:val="0"/>
          <w:color w:val="000000"/>
          <w:sz w:val="21"/>
        </w:rPr>
        <w:t>Unit tests validate deterministic business logic and edge cases quickly.</w:t>
      </w:r>
    </w:p>
    <w:p>
      <w:pPr>
        <w:pStyle w:val="ListBullet"/>
        <w:spacing w:after="80"/>
        <w:ind w:left="360"/>
      </w:pPr>
      <w:r>
        <w:rPr>
          <w:rFonts w:ascii="Arial" w:hAnsi="Arial"/>
          <w:b w:val="0"/>
          <w:i w:val="0"/>
          <w:color w:val="000000"/>
          <w:sz w:val="21"/>
        </w:rPr>
        <w:t>Component or service tests validate adapters, persistence, and integration boundaries in isolation.</w:t>
      </w:r>
    </w:p>
    <w:p>
      <w:pPr>
        <w:pStyle w:val="ListBullet"/>
        <w:spacing w:after="80"/>
        <w:ind w:left="360"/>
      </w:pPr>
      <w:r>
        <w:rPr>
          <w:rFonts w:ascii="Arial" w:hAnsi="Arial"/>
          <w:b w:val="0"/>
          <w:i w:val="0"/>
          <w:color w:val="000000"/>
          <w:sz w:val="21"/>
        </w:rPr>
        <w:t>Integration tests validate contracts across databases, queues, caches, and external services.</w:t>
      </w:r>
    </w:p>
    <w:p>
      <w:pPr>
        <w:pStyle w:val="ListBullet"/>
        <w:spacing w:after="80"/>
        <w:ind w:left="360"/>
      </w:pPr>
      <w:r>
        <w:rPr>
          <w:rFonts w:ascii="Arial" w:hAnsi="Arial"/>
          <w:b w:val="0"/>
          <w:i w:val="0"/>
          <w:color w:val="000000"/>
          <w:sz w:val="21"/>
        </w:rPr>
        <w:t>End-to-end tests validate the most important user journeys and cross-system handoffs.</w:t>
      </w:r>
    </w:p>
    <w:p>
      <w:pPr>
        <w:pStyle w:val="ListBullet"/>
        <w:spacing w:after="80"/>
        <w:ind w:left="360"/>
      </w:pPr>
      <w:r>
        <w:rPr>
          <w:rFonts w:ascii="Arial" w:hAnsi="Arial"/>
          <w:b w:val="0"/>
          <w:i w:val="0"/>
          <w:color w:val="000000"/>
          <w:sz w:val="21"/>
        </w:rPr>
        <w:t>Security tests validate access control, data handling, headers, validation, and dependency posture.</w:t>
      </w:r>
    </w:p>
    <w:p>
      <w:pPr>
        <w:pStyle w:val="ListBullet"/>
        <w:spacing w:after="80"/>
        <w:ind w:left="360"/>
      </w:pPr>
      <w:r>
        <w:rPr>
          <w:rFonts w:ascii="Arial" w:hAnsi="Arial"/>
          <w:b w:val="0"/>
          <w:i w:val="0"/>
          <w:color w:val="000000"/>
          <w:sz w:val="21"/>
        </w:rPr>
        <w:t>Performance tests validate latency, throughput, concurrency, and resource efficiency under expected load profiles.</w:t>
      </w:r>
    </w:p>
    <w:p>
      <w:pPr>
        <w:pStyle w:val="Heading2"/>
        <w:keepNext/>
        <w:spacing w:before="160" w:after="80"/>
      </w:pPr>
      <w:r>
        <w:t>7.2 Coverage policy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736"/>
            <w:vAlign w:val="center"/>
            <w:shd w:fill="1F4E79"/>
          </w:tcPr>
          <w:p>
            <w:pPr>
              <w:spacing w:after="0" w:before="0"/>
            </w:pPr>
            <w:r/>
            <w:r>
              <w:rPr>
                <w:rFonts w:ascii="Arial" w:hAnsi="Arial"/>
                <w:b/>
                <w:color w:val="FFFFFF"/>
                <w:sz w:val="20"/>
              </w:rPr>
              <w:t>Area</w:t>
            </w:r>
          </w:p>
        </w:tc>
        <w:tc>
          <w:tcPr>
            <w:tcW w:type="dxa" w:w="1728"/>
            <w:vAlign w:val="center"/>
            <w:shd w:fill="1F4E79"/>
          </w:tcPr>
          <w:p>
            <w:pPr>
              <w:spacing w:after="0" w:before="0"/>
            </w:pPr>
            <w:r/>
            <w:r>
              <w:rPr>
                <w:rFonts w:ascii="Arial" w:hAnsi="Arial"/>
                <w:b/>
                <w:color w:val="FFFFFF"/>
                <w:sz w:val="20"/>
              </w:rPr>
              <w:t>Suggested floor</w:t>
            </w:r>
          </w:p>
        </w:tc>
        <w:tc>
          <w:tcPr>
            <w:tcW w:type="dxa" w:w="3456"/>
            <w:vAlign w:val="center"/>
            <w:shd w:fill="1F4E79"/>
          </w:tcPr>
          <w:p>
            <w:pPr>
              <w:spacing w:after="0" w:before="0"/>
            </w:pPr>
            <w:r/>
            <w:r>
              <w:rPr>
                <w:rFonts w:ascii="Arial" w:hAnsi="Arial"/>
                <w:b/>
                <w:color w:val="FFFFFF"/>
                <w:sz w:val="20"/>
              </w:rPr>
              <w:t>Additional requirement</w:t>
            </w:r>
          </w:p>
        </w:tc>
        <w:tc>
          <w:tcPr>
            <w:tcW w:type="dxa" w:w="1872"/>
            <w:vAlign w:val="center"/>
            <w:shd w:fill="1F4E79"/>
          </w:tcPr>
          <w:p>
            <w:pPr>
              <w:spacing w:after="0" w:before="0"/>
            </w:pPr>
            <w:r/>
            <w:r>
              <w:rPr>
                <w:rFonts w:ascii="Arial" w:hAnsi="Arial"/>
                <w:b/>
                <w:color w:val="FFFFFF"/>
                <w:sz w:val="20"/>
              </w:rPr>
              <w:t>Release block?</w:t>
            </w:r>
          </w:p>
        </w:tc>
      </w:tr>
      <w:tr>
        <w:tc>
          <w:tcPr>
            <w:tcW w:type="dxa" w:w="2484"/>
            <w:vAlign w:val="center"/>
          </w:tcPr>
          <w:p>
            <w:pPr>
              <w:spacing w:after="0" w:before="0"/>
            </w:pPr>
            <w:r/>
            <w:r>
              <w:rPr>
                <w:rFonts w:ascii="Arial" w:hAnsi="Arial"/>
                <w:b w:val="0"/>
                <w:color w:val="000000"/>
                <w:sz w:val="18"/>
              </w:rPr>
              <w:t>Pure domain logic</w:t>
            </w:r>
          </w:p>
        </w:tc>
        <w:tc>
          <w:tcPr>
            <w:tcW w:type="dxa" w:w="2484"/>
            <w:vAlign w:val="center"/>
          </w:tcPr>
          <w:p>
            <w:pPr>
              <w:spacing w:after="0" w:before="0"/>
            </w:pPr>
            <w:r/>
            <w:r>
              <w:rPr>
                <w:rFonts w:ascii="Arial" w:hAnsi="Arial"/>
                <w:b w:val="0"/>
                <w:color w:val="000000"/>
                <w:sz w:val="18"/>
              </w:rPr>
              <w:t>90%+ branch</w:t>
            </w:r>
          </w:p>
        </w:tc>
        <w:tc>
          <w:tcPr>
            <w:tcW w:type="dxa" w:w="2484"/>
            <w:vAlign w:val="center"/>
          </w:tcPr>
          <w:p>
            <w:pPr>
              <w:spacing w:after="0" w:before="0"/>
            </w:pPr>
            <w:r/>
            <w:r>
              <w:rPr>
                <w:rFonts w:ascii="Arial" w:hAnsi="Arial"/>
                <w:b w:val="0"/>
                <w:color w:val="000000"/>
                <w:sz w:val="18"/>
              </w:rPr>
              <w:t>Property tests for critical calculations or rules.</w:t>
            </w:r>
          </w:p>
        </w:tc>
        <w:tc>
          <w:tcPr>
            <w:tcW w:type="dxa" w:w="2484"/>
            <w:vAlign w:val="center"/>
          </w:tcPr>
          <w:p>
            <w:pPr>
              <w:spacing w:after="0" w:before="0"/>
            </w:pPr>
            <w:r/>
            <w:r>
              <w:rPr>
                <w:rFonts w:ascii="Arial" w:hAnsi="Arial"/>
                <w:b w:val="0"/>
                <w:color w:val="000000"/>
                <w:sz w:val="18"/>
              </w:rPr>
              <w:t>Yes</w:t>
            </w:r>
          </w:p>
        </w:tc>
      </w:tr>
      <w:tr>
        <w:tc>
          <w:tcPr>
            <w:tcW w:type="dxa" w:w="2484"/>
            <w:vAlign w:val="center"/>
          </w:tcPr>
          <w:p>
            <w:pPr>
              <w:spacing w:after="0" w:before="0"/>
            </w:pPr>
            <w:r/>
            <w:r>
              <w:rPr>
                <w:rFonts w:ascii="Arial" w:hAnsi="Arial"/>
                <w:b w:val="0"/>
                <w:color w:val="000000"/>
                <w:sz w:val="18"/>
              </w:rPr>
              <w:t>Adapters and services</w:t>
            </w:r>
          </w:p>
        </w:tc>
        <w:tc>
          <w:tcPr>
            <w:tcW w:type="dxa" w:w="2484"/>
            <w:vAlign w:val="center"/>
          </w:tcPr>
          <w:p>
            <w:pPr>
              <w:spacing w:after="0" w:before="0"/>
            </w:pPr>
            <w:r/>
            <w:r>
              <w:rPr>
                <w:rFonts w:ascii="Arial" w:hAnsi="Arial"/>
                <w:b w:val="0"/>
                <w:color w:val="000000"/>
                <w:sz w:val="18"/>
              </w:rPr>
              <w:t>80%+ branch</w:t>
            </w:r>
          </w:p>
        </w:tc>
        <w:tc>
          <w:tcPr>
            <w:tcW w:type="dxa" w:w="2484"/>
            <w:vAlign w:val="center"/>
          </w:tcPr>
          <w:p>
            <w:pPr>
              <w:spacing w:after="0" w:before="0"/>
            </w:pPr>
            <w:r/>
            <w:r>
              <w:rPr>
                <w:rFonts w:ascii="Arial" w:hAnsi="Arial"/>
                <w:b w:val="0"/>
                <w:color w:val="000000"/>
                <w:sz w:val="18"/>
              </w:rPr>
              <w:t>Failure-path tests and dependency fakes.</w:t>
            </w:r>
          </w:p>
        </w:tc>
        <w:tc>
          <w:tcPr>
            <w:tcW w:type="dxa" w:w="2484"/>
            <w:vAlign w:val="center"/>
          </w:tcPr>
          <w:p>
            <w:pPr>
              <w:spacing w:after="0" w:before="0"/>
            </w:pPr>
            <w:r/>
            <w:r>
              <w:rPr>
                <w:rFonts w:ascii="Arial" w:hAnsi="Arial"/>
                <w:b w:val="0"/>
                <w:color w:val="000000"/>
                <w:sz w:val="18"/>
              </w:rPr>
              <w:t>Yes</w:t>
            </w:r>
          </w:p>
        </w:tc>
      </w:tr>
      <w:tr>
        <w:tc>
          <w:tcPr>
            <w:tcW w:type="dxa" w:w="2484"/>
            <w:vAlign w:val="center"/>
          </w:tcPr>
          <w:p>
            <w:pPr>
              <w:spacing w:after="0" w:before="0"/>
            </w:pPr>
            <w:r/>
            <w:r>
              <w:rPr>
                <w:rFonts w:ascii="Arial" w:hAnsi="Arial"/>
                <w:b w:val="0"/>
                <w:color w:val="000000"/>
                <w:sz w:val="18"/>
              </w:rPr>
              <w:t>APIs</w:t>
            </w:r>
          </w:p>
        </w:tc>
        <w:tc>
          <w:tcPr>
            <w:tcW w:type="dxa" w:w="2484"/>
            <w:vAlign w:val="center"/>
          </w:tcPr>
          <w:p>
            <w:pPr>
              <w:spacing w:after="0" w:before="0"/>
            </w:pPr>
            <w:r/>
            <w:r>
              <w:rPr>
                <w:rFonts w:ascii="Arial" w:hAnsi="Arial"/>
                <w:b w:val="0"/>
                <w:color w:val="000000"/>
                <w:sz w:val="18"/>
              </w:rPr>
              <w:t>High coverage on auth, validation, serialization</w:t>
            </w:r>
          </w:p>
        </w:tc>
        <w:tc>
          <w:tcPr>
            <w:tcW w:type="dxa" w:w="2484"/>
            <w:vAlign w:val="center"/>
          </w:tcPr>
          <w:p>
            <w:pPr>
              <w:spacing w:after="0" w:before="0"/>
            </w:pPr>
            <w:r/>
            <w:r>
              <w:rPr>
                <w:rFonts w:ascii="Arial" w:hAnsi="Arial"/>
                <w:b w:val="0"/>
                <w:color w:val="000000"/>
                <w:sz w:val="18"/>
              </w:rPr>
              <w:t>Contract tests and schema snapshots.</w:t>
            </w:r>
          </w:p>
        </w:tc>
        <w:tc>
          <w:tcPr>
            <w:tcW w:type="dxa" w:w="2484"/>
            <w:vAlign w:val="center"/>
          </w:tcPr>
          <w:p>
            <w:pPr>
              <w:spacing w:after="0" w:before="0"/>
            </w:pPr>
            <w:r/>
            <w:r>
              <w:rPr>
                <w:rFonts w:ascii="Arial" w:hAnsi="Arial"/>
                <w:b w:val="0"/>
                <w:color w:val="000000"/>
                <w:sz w:val="18"/>
              </w:rPr>
              <w:t>Yes</w:t>
            </w:r>
          </w:p>
        </w:tc>
      </w:tr>
      <w:tr>
        <w:tc>
          <w:tcPr>
            <w:tcW w:type="dxa" w:w="2484"/>
            <w:vAlign w:val="center"/>
          </w:tcPr>
          <w:p>
            <w:pPr>
              <w:spacing w:after="0" w:before="0"/>
            </w:pPr>
            <w:r/>
            <w:r>
              <w:rPr>
                <w:rFonts w:ascii="Arial" w:hAnsi="Arial"/>
                <w:b w:val="0"/>
                <w:color w:val="000000"/>
                <w:sz w:val="18"/>
              </w:rPr>
              <w:t>UI critical journeys</w:t>
            </w:r>
          </w:p>
        </w:tc>
        <w:tc>
          <w:tcPr>
            <w:tcW w:type="dxa" w:w="2484"/>
            <w:vAlign w:val="center"/>
          </w:tcPr>
          <w:p>
            <w:pPr>
              <w:spacing w:after="0" w:before="0"/>
            </w:pPr>
            <w:r/>
            <w:r>
              <w:rPr>
                <w:rFonts w:ascii="Arial" w:hAnsi="Arial"/>
                <w:b w:val="0"/>
                <w:color w:val="000000"/>
                <w:sz w:val="18"/>
              </w:rPr>
              <w:t>Scenario coverage, not blanket percentage</w:t>
            </w:r>
          </w:p>
        </w:tc>
        <w:tc>
          <w:tcPr>
            <w:tcW w:type="dxa" w:w="2484"/>
            <w:vAlign w:val="center"/>
          </w:tcPr>
          <w:p>
            <w:pPr>
              <w:spacing w:after="0" w:before="0"/>
            </w:pPr>
            <w:r/>
            <w:r>
              <w:rPr>
                <w:rFonts w:ascii="Arial" w:hAnsi="Arial"/>
                <w:b w:val="0"/>
                <w:color w:val="000000"/>
                <w:sz w:val="18"/>
              </w:rPr>
              <w:t>Cross-browser Playwright tests for top flows.</w:t>
            </w:r>
          </w:p>
        </w:tc>
        <w:tc>
          <w:tcPr>
            <w:tcW w:type="dxa" w:w="2484"/>
            <w:vAlign w:val="center"/>
          </w:tcPr>
          <w:p>
            <w:pPr>
              <w:spacing w:after="0" w:before="0"/>
            </w:pPr>
            <w:r/>
            <w:r>
              <w:rPr>
                <w:rFonts w:ascii="Arial" w:hAnsi="Arial"/>
                <w:b w:val="0"/>
                <w:color w:val="000000"/>
                <w:sz w:val="18"/>
              </w:rPr>
              <w:t>Yes</w:t>
            </w:r>
          </w:p>
        </w:tc>
      </w:tr>
      <w:tr>
        <w:tc>
          <w:tcPr>
            <w:tcW w:type="dxa" w:w="2484"/>
            <w:vAlign w:val="center"/>
          </w:tcPr>
          <w:p>
            <w:pPr>
              <w:spacing w:after="0" w:before="0"/>
            </w:pPr>
            <w:r/>
            <w:r>
              <w:rPr>
                <w:rFonts w:ascii="Arial" w:hAnsi="Arial"/>
                <w:b w:val="0"/>
                <w:color w:val="000000"/>
                <w:sz w:val="18"/>
              </w:rPr>
              <w:t>Security-sensitive paths</w:t>
            </w:r>
          </w:p>
        </w:tc>
        <w:tc>
          <w:tcPr>
            <w:tcW w:type="dxa" w:w="2484"/>
            <w:vAlign w:val="center"/>
          </w:tcPr>
          <w:p>
            <w:pPr>
              <w:spacing w:after="0" w:before="0"/>
            </w:pPr>
            <w:r/>
            <w:r>
              <w:rPr>
                <w:rFonts w:ascii="Arial" w:hAnsi="Arial"/>
                <w:b w:val="0"/>
                <w:color w:val="000000"/>
                <w:sz w:val="18"/>
              </w:rPr>
              <w:t>Near-complete behavior coverage</w:t>
            </w:r>
          </w:p>
        </w:tc>
        <w:tc>
          <w:tcPr>
            <w:tcW w:type="dxa" w:w="2484"/>
            <w:vAlign w:val="center"/>
          </w:tcPr>
          <w:p>
            <w:pPr>
              <w:spacing w:after="0" w:before="0"/>
            </w:pPr>
            <w:r/>
            <w:r>
              <w:rPr>
                <w:rFonts w:ascii="Arial" w:hAnsi="Arial"/>
                <w:b w:val="0"/>
                <w:color w:val="000000"/>
                <w:sz w:val="18"/>
              </w:rPr>
              <w:t>Negative tests, privilege tests, abuse cases.</w:t>
            </w:r>
          </w:p>
        </w:tc>
        <w:tc>
          <w:tcPr>
            <w:tcW w:type="dxa" w:w="2484"/>
            <w:vAlign w:val="center"/>
          </w:tcPr>
          <w:p>
            <w:pPr>
              <w:spacing w:after="0" w:before="0"/>
            </w:pPr>
            <w:r/>
            <w:r>
              <w:rPr>
                <w:rFonts w:ascii="Arial" w:hAnsi="Arial"/>
                <w:b w:val="0"/>
                <w:color w:val="000000"/>
                <w:sz w:val="18"/>
              </w:rPr>
              <w:t>Yes</w:t>
            </w:r>
          </w:p>
        </w:tc>
      </w:tr>
    </w:tbl>
    <w:p>
      <w:pPr>
        <w:pStyle w:val="Heading2"/>
        <w:keepNext/>
        <w:spacing w:before="160" w:after="80"/>
      </w:pPr>
      <w:r>
        <w:t>7.3 Anti-flakiness rules</w:t>
      </w:r>
    </w:p>
    <w:p>
      <w:pPr>
        <w:pStyle w:val="ListBullet"/>
        <w:spacing w:after="80"/>
        <w:ind w:left="360"/>
      </w:pPr>
      <w:r>
        <w:rPr>
          <w:rFonts w:ascii="Arial" w:hAnsi="Arial"/>
          <w:b w:val="0"/>
          <w:i w:val="0"/>
          <w:color w:val="000000"/>
          <w:sz w:val="21"/>
        </w:rPr>
        <w:t>Quarantine flaky tests only with ticketed ownership and expiry dates.</w:t>
      </w:r>
    </w:p>
    <w:p>
      <w:pPr>
        <w:pStyle w:val="ListBullet"/>
        <w:spacing w:after="80"/>
        <w:ind w:left="360"/>
      </w:pPr>
      <w:r>
        <w:rPr>
          <w:rFonts w:ascii="Arial" w:hAnsi="Arial"/>
          <w:b w:val="0"/>
          <w:i w:val="0"/>
          <w:color w:val="000000"/>
          <w:sz w:val="21"/>
        </w:rPr>
        <w:t>Do not use hard sleeps where a condition, event, or explicit state assertion is available.</w:t>
      </w:r>
    </w:p>
    <w:p>
      <w:pPr>
        <w:pStyle w:val="ListBullet"/>
        <w:spacing w:after="80"/>
        <w:ind w:left="360"/>
      </w:pPr>
      <w:r>
        <w:rPr>
          <w:rFonts w:ascii="Arial" w:hAnsi="Arial"/>
          <w:b w:val="0"/>
          <w:i w:val="0"/>
          <w:color w:val="000000"/>
          <w:sz w:val="21"/>
        </w:rPr>
        <w:t>Stabilize test data and test environments; non-deterministic fixtures create false alarms.</w:t>
      </w:r>
    </w:p>
    <w:p>
      <w:pPr>
        <w:pStyle w:val="ListBullet"/>
        <w:spacing w:after="80"/>
        <w:ind w:left="360"/>
      </w:pPr>
      <w:r>
        <w:rPr>
          <w:rFonts w:ascii="Arial" w:hAnsi="Arial"/>
          <w:b w:val="0"/>
          <w:i w:val="0"/>
          <w:color w:val="000000"/>
          <w:sz w:val="21"/>
        </w:rPr>
        <w:t>Measure flaky test rate and mean time to repair for broken tests as first-class quality metrics.</w:t>
      </w:r>
    </w:p>
    <w:p>
      <w:pPr>
        <w:pStyle w:val="ListBullet"/>
        <w:spacing w:after="80"/>
        <w:ind w:left="360"/>
      </w:pPr>
      <w:r>
        <w:rPr>
          <w:rFonts w:ascii="Arial" w:hAnsi="Arial"/>
          <w:b w:val="0"/>
          <w:i w:val="0"/>
          <w:color w:val="000000"/>
          <w:sz w:val="21"/>
        </w:rPr>
        <w:t>Use mutation testing or targeted fault injection on critical logic to validate test quality, not just quantity.</w:t>
      </w:r>
    </w:p>
    <w:p>
      <w:pPr>
        <w:pStyle w:val="Heading1"/>
        <w:keepNext/>
        <w:spacing w:before="240" w:after="80"/>
      </w:pPr>
      <w:r>
        <w:t>8. Automated GUI and web testing with Playwright</w:t>
      </w:r>
    </w:p>
    <w:p>
      <w:pPr>
        <w:spacing w:after="140" w:line="240" w:lineRule="auto"/>
      </w:pPr>
      <w:r>
        <w:rPr>
          <w:rFonts w:ascii="Arial" w:hAnsi="Arial"/>
          <w:b w:val="0"/>
          <w:i w:val="0"/>
          <w:color w:val="000000"/>
          <w:sz w:val="21"/>
        </w:rPr>
        <w:t>Playwright should be used for the small set of web flows that justify true browser-level validation: login, session continuity, privileged actions, checkout or order completion, high-value form submission, accessibility-sensitive interactions, and cross-browser regression. The point is not to move all testing into the browser; the point is to validate the user-facing contract with a resilient framework and rich debugging artifacts.</w:t>
      </w:r>
    </w:p>
    <w:p>
      <w:pPr>
        <w:pStyle w:val="Heading2"/>
        <w:keepNext/>
        <w:spacing w:before="160" w:after="80"/>
      </w:pPr>
      <w:r>
        <w:t>8.1 Playwright design rules</w:t>
      </w:r>
    </w:p>
    <w:p>
      <w:pPr>
        <w:pStyle w:val="ListBullet"/>
        <w:spacing w:after="80"/>
        <w:ind w:left="360"/>
      </w:pPr>
      <w:r>
        <w:rPr>
          <w:rFonts w:ascii="Arial" w:hAnsi="Arial"/>
          <w:b w:val="0"/>
          <w:i w:val="0"/>
          <w:color w:val="000000"/>
          <w:sz w:val="21"/>
        </w:rPr>
        <w:t>Use locators built from roles, labels, and stable semantics rather than brittle CSS chains.</w:t>
      </w:r>
    </w:p>
    <w:p>
      <w:pPr>
        <w:pStyle w:val="ListBullet"/>
        <w:spacing w:after="80"/>
        <w:ind w:left="360"/>
      </w:pPr>
      <w:r>
        <w:rPr>
          <w:rFonts w:ascii="Arial" w:hAnsi="Arial"/>
          <w:b w:val="0"/>
          <w:i w:val="0"/>
          <w:color w:val="000000"/>
          <w:sz w:val="21"/>
        </w:rPr>
        <w:t>Rely on auto-waiting and retrying assertions instead of sleeps.</w:t>
      </w:r>
    </w:p>
    <w:p>
      <w:pPr>
        <w:pStyle w:val="ListBullet"/>
        <w:spacing w:after="80"/>
        <w:ind w:left="360"/>
      </w:pPr>
      <w:r>
        <w:rPr>
          <w:rFonts w:ascii="Arial" w:hAnsi="Arial"/>
          <w:b w:val="0"/>
          <w:i w:val="0"/>
          <w:color w:val="000000"/>
          <w:sz w:val="21"/>
        </w:rPr>
        <w:t>Keep tests small and intention-revealing; page object models are helpful when they reduce duplication without hiding meaning.</w:t>
      </w:r>
    </w:p>
    <w:p>
      <w:pPr>
        <w:pStyle w:val="ListBullet"/>
        <w:spacing w:after="80"/>
        <w:ind w:left="360"/>
      </w:pPr>
      <w:r>
        <w:rPr>
          <w:rFonts w:ascii="Arial" w:hAnsi="Arial"/>
          <w:b w:val="0"/>
          <w:i w:val="0"/>
          <w:color w:val="000000"/>
          <w:sz w:val="21"/>
        </w:rPr>
        <w:t>Use isolated browser contexts, deterministic test accounts, and explicit authentication setup.</w:t>
      </w:r>
    </w:p>
    <w:p>
      <w:pPr>
        <w:pStyle w:val="ListBullet"/>
        <w:spacing w:after="80"/>
        <w:ind w:left="360"/>
      </w:pPr>
      <w:r>
        <w:rPr>
          <w:rFonts w:ascii="Arial" w:hAnsi="Arial"/>
          <w:b w:val="0"/>
          <w:i w:val="0"/>
          <w:color w:val="000000"/>
          <w:sz w:val="21"/>
        </w:rPr>
        <w:t>Capture trace, video, screenshot, console, and network artifacts on failure by default in CI.</w:t>
      </w:r>
    </w:p>
    <w:p>
      <w:pPr>
        <w:pStyle w:val="Heading2"/>
        <w:keepNext/>
        <w:spacing w:before="160" w:after="80"/>
      </w:pPr>
      <w:r>
        <w:t>8.2 Automated GUI debugging standard</w:t>
      </w:r>
    </w:p>
    <w:p>
      <w:pPr>
        <w:spacing w:after="140" w:line="240" w:lineRule="auto"/>
      </w:pPr>
      <w:r>
        <w:rPr>
          <w:rFonts w:ascii="Arial" w:hAnsi="Arial"/>
          <w:b w:val="0"/>
          <w:i w:val="0"/>
          <w:color w:val="000000"/>
          <w:sz w:val="21"/>
        </w:rPr>
        <w:t>Automated GUI debugging means that failures should generate evidence without requiring a human to reproduce the issue manually. A broken browser test should emit the failing locator, screenshot, trace, HTML report, console log, network failures, browser version, app version, commit SHA, and environment metadata.</w:t>
      </w:r>
    </w:p>
    <w:p>
      <w:pPr>
        <w:pStyle w:val="ListBullet"/>
        <w:spacing w:after="80"/>
        <w:ind w:left="360"/>
      </w:pPr>
      <w:r>
        <w:rPr>
          <w:rFonts w:ascii="Arial" w:hAnsi="Arial"/>
          <w:b w:val="0"/>
          <w:i w:val="0"/>
          <w:color w:val="000000"/>
          <w:sz w:val="21"/>
        </w:rPr>
        <w:t>Use UI Mode and the Playwright Inspector for local investigation.</w:t>
      </w:r>
    </w:p>
    <w:p>
      <w:pPr>
        <w:pStyle w:val="ListBullet"/>
        <w:spacing w:after="80"/>
        <w:ind w:left="360"/>
      </w:pPr>
      <w:r>
        <w:rPr>
          <w:rFonts w:ascii="Arial" w:hAnsi="Arial"/>
          <w:b w:val="0"/>
          <w:i w:val="0"/>
          <w:color w:val="000000"/>
          <w:sz w:val="21"/>
        </w:rPr>
        <w:t>Publish HTML reports and trace bundles as CI artifacts.</w:t>
      </w:r>
    </w:p>
    <w:p>
      <w:pPr>
        <w:pStyle w:val="ListBullet"/>
        <w:spacing w:after="80"/>
        <w:ind w:left="360"/>
      </w:pPr>
      <w:r>
        <w:rPr>
          <w:rFonts w:ascii="Arial" w:hAnsi="Arial"/>
          <w:b w:val="0"/>
          <w:i w:val="0"/>
          <w:color w:val="000000"/>
          <w:sz w:val="21"/>
        </w:rPr>
        <w:t>Name tests and steps so failures read like incident narratives, not cryptic stack dumps.</w:t>
      </w:r>
    </w:p>
    <w:p>
      <w:pPr>
        <w:pStyle w:val="ListBullet"/>
        <w:spacing w:after="80"/>
        <w:ind w:left="360"/>
      </w:pPr>
      <w:r>
        <w:rPr>
          <w:rFonts w:ascii="Arial" w:hAnsi="Arial"/>
          <w:b w:val="0"/>
          <w:i w:val="0"/>
          <w:color w:val="000000"/>
          <w:sz w:val="21"/>
        </w:rPr>
        <w:t>Mask secrets and personally sensitive data in screenshots, videos, and traces where applicable.</w:t>
      </w:r>
    </w:p>
    <w:p>
      <w:pPr>
        <w:pStyle w:val="ListBullet"/>
        <w:spacing w:after="80"/>
        <w:ind w:left="360"/>
      </w:pPr>
      <w:r>
        <w:rPr>
          <w:rFonts w:ascii="Arial" w:hAnsi="Arial"/>
          <w:b w:val="0"/>
          <w:i w:val="0"/>
          <w:color w:val="000000"/>
          <w:sz w:val="21"/>
        </w:rPr>
        <w:t>Tag tests by product area, dependency, and criticality to speed triage.</w:t>
      </w:r>
    </w:p>
    <w:p>
      <w:pPr>
        <w:pStyle w:val="Heading2"/>
        <w:keepNext/>
        <w:spacing w:before="160" w:after="80"/>
      </w:pPr>
      <w:r>
        <w:t>8.3 Sample Playwright policy configuration</w:t>
      </w:r>
    </w:p>
    <w:p>
      <w:pPr>
        <w:pStyle w:val="CodeBlock"/>
        <w:spacing w:after="0"/>
        <w:ind w:left="504"/>
      </w:pPr>
      <w:r>
        <w:rPr>
          <w:rFonts w:ascii="Courier New" w:hAnsi="Courier New"/>
          <w:b w:val="0"/>
          <w:i w:val="0"/>
          <w:color w:val="000000"/>
          <w:sz w:val="17"/>
        </w:rPr>
        <w:t>use: {</w:t>
      </w:r>
    </w:p>
    <w:p>
      <w:pPr>
        <w:pStyle w:val="CodeBlock"/>
        <w:spacing w:after="0"/>
        <w:ind w:left="504"/>
      </w:pPr>
      <w:r>
        <w:rPr>
          <w:rFonts w:ascii="Courier New" w:hAnsi="Courier New"/>
          <w:b w:val="0"/>
          <w:i w:val="0"/>
          <w:color w:val="000000"/>
          <w:sz w:val="17"/>
        </w:rPr>
        <w:t xml:space="preserve">  trace: "retain-on-failure",</w:t>
      </w:r>
    </w:p>
    <w:p>
      <w:pPr>
        <w:pStyle w:val="CodeBlock"/>
        <w:spacing w:after="0"/>
        <w:ind w:left="504"/>
      </w:pPr>
      <w:r>
        <w:rPr>
          <w:rFonts w:ascii="Courier New" w:hAnsi="Courier New"/>
          <w:b w:val="0"/>
          <w:i w:val="0"/>
          <w:color w:val="000000"/>
          <w:sz w:val="17"/>
        </w:rPr>
        <w:t xml:space="preserve">  screenshot: "only-on-failure",</w:t>
      </w:r>
    </w:p>
    <w:p>
      <w:pPr>
        <w:pStyle w:val="CodeBlock"/>
        <w:spacing w:after="0"/>
        <w:ind w:left="504"/>
      </w:pPr>
      <w:r>
        <w:rPr>
          <w:rFonts w:ascii="Courier New" w:hAnsi="Courier New"/>
          <w:b w:val="0"/>
          <w:i w:val="0"/>
          <w:color w:val="000000"/>
          <w:sz w:val="17"/>
        </w:rPr>
        <w:t xml:space="preserve">  video: "retain-on-failure",</w:t>
      </w:r>
    </w:p>
    <w:p>
      <w:pPr>
        <w:pStyle w:val="CodeBlock"/>
        <w:spacing w:after="0"/>
        <w:ind w:left="504"/>
      </w:pPr>
      <w:r>
        <w:rPr>
          <w:rFonts w:ascii="Courier New" w:hAnsi="Courier New"/>
          <w:b w:val="0"/>
          <w:i w:val="0"/>
          <w:color w:val="000000"/>
          <w:sz w:val="17"/>
        </w:rPr>
        <w:t xml:space="preserve">  actionTimeout: 10000,</w:t>
      </w:r>
    </w:p>
    <w:p>
      <w:pPr>
        <w:pStyle w:val="CodeBlock"/>
        <w:spacing w:after="0"/>
        <w:ind w:left="504"/>
      </w:pPr>
      <w:r>
        <w:rPr>
          <w:rFonts w:ascii="Courier New" w:hAnsi="Courier New"/>
          <w:b w:val="0"/>
          <w:i w:val="0"/>
          <w:color w:val="000000"/>
          <w:sz w:val="17"/>
        </w:rPr>
        <w:t xml:space="preserve">  navigationTimeout: 30000</w:t>
      </w:r>
    </w:p>
    <w:p>
      <w:pPr>
        <w:pStyle w:val="CodeBlock"/>
        <w:spacing w:after="0"/>
        <w:ind w:left="504"/>
      </w:pPr>
      <w:r>
        <w:rPr>
          <w:rFonts w:ascii="Courier New" w:hAnsi="Courier New"/>
          <w:b w:val="0"/>
          <w:i w:val="0"/>
          <w:color w:val="000000"/>
          <w:sz w:val="17"/>
        </w:rPr>
        <w:t>}</w:t>
      </w:r>
    </w:p>
    <w:tbl>
      <w:tblPr>
        <w:tblW w:type="auto" w:w="0"/>
        <w:jc w:val="center"/>
        <w:tblLayout w:type="fixed"/>
        <w:tblLook w:firstColumn="1" w:firstRow="1" w:lastColumn="0" w:lastRow="0" w:noHBand="0" w:noVBand="1" w:val="04A0"/>
      </w:tblPr>
      <w:tblGrid>
        <w:gridCol w:w="9936"/>
      </w:tblGrid>
      <w:tr>
        <w:tc>
          <w:tcPr>
            <w:tcW w:type="dxa" w:w="9792"/>
            <w:shd w:fill="EEF4FB"/>
            <w:vAlign w:val="center"/>
          </w:tcPr>
          <w:p>
            <w:pPr>
              <w:spacing w:after="40"/>
            </w:pPr>
            <w:r>
              <w:rPr>
                <w:rFonts w:ascii="Arial" w:hAnsi="Arial"/>
                <w:b/>
                <w:i w:val="0"/>
                <w:color w:val="1F4E79"/>
                <w:sz w:val="21"/>
              </w:rPr>
              <w:t>Browser test limit</w:t>
            </w:r>
          </w:p>
          <w:p>
            <w:pPr>
              <w:spacing w:after="0"/>
            </w:pPr>
            <w:r>
              <w:rPr>
                <w:rFonts w:ascii="Arial" w:hAnsi="Arial"/>
                <w:b w:val="0"/>
                <w:i w:val="0"/>
                <w:color w:val="000000"/>
                <w:sz w:val="19"/>
              </w:rPr>
              <w:t>A healthy enterprise suite usually keeps true end-to-end browser tests focused and high-value. Most business logic should still be verified below the UI to preserve speed and signal quality.</w:t>
            </w:r>
          </w:p>
        </w:tc>
      </w:tr>
    </w:tbl>
    <w:p>
      <w:pPr>
        <w:spacing w:after="40"/>
      </w:pPr>
    </w:p>
    <w:p>
      <w:pPr>
        <w:pStyle w:val="Heading1"/>
        <w:keepNext/>
        <w:spacing w:before="240" w:after="80"/>
      </w:pPr>
      <w:r>
        <w:t>9. CI/CD architecture with GitHub Actions</w:t>
      </w:r>
    </w:p>
    <w:p>
      <w:pPr>
        <w:spacing w:after="140" w:line="240" w:lineRule="auto"/>
      </w:pPr>
      <w:r>
        <w:rPr>
          <w:rFonts w:ascii="Arial" w:hAnsi="Arial"/>
          <w:b w:val="0"/>
          <w:i w:val="0"/>
          <w:color w:val="000000"/>
          <w:sz w:val="21"/>
        </w:rPr>
        <w:t>GitHub Actions can serve as the enterprise control plane for build, test, scan, package, attestation, and deployment - provided workflows are treated as production code. The strongest pattern is a small set of reusable workflows maintained by a platform team and consumed by application repositories with narrow inputs and policy defaults.</w:t>
      </w:r>
    </w:p>
    <w:p>
      <w:pPr>
        <w:pStyle w:val="Heading2"/>
        <w:keepNext/>
        <w:spacing w:before="160" w:after="80"/>
      </w:pPr>
      <w:r>
        <w:t>9.1 Workflow architecture</w:t>
      </w:r>
    </w:p>
    <w:p>
      <w:pPr>
        <w:pStyle w:val="ListBullet"/>
        <w:spacing w:after="80"/>
        <w:ind w:left="360"/>
      </w:pPr>
      <w:r>
        <w:rPr>
          <w:rFonts w:ascii="Arial" w:hAnsi="Arial"/>
          <w:b w:val="0"/>
          <w:i w:val="0"/>
          <w:color w:val="000000"/>
          <w:sz w:val="21"/>
        </w:rPr>
        <w:t>Separate fast pull request checks from heavier scheduled, nightly, or release-time jobs.</w:t>
      </w:r>
    </w:p>
    <w:p>
      <w:pPr>
        <w:pStyle w:val="ListBullet"/>
        <w:spacing w:after="80"/>
        <w:ind w:left="360"/>
      </w:pPr>
      <w:r>
        <w:rPr>
          <w:rFonts w:ascii="Arial" w:hAnsi="Arial"/>
          <w:b w:val="0"/>
          <w:i w:val="0"/>
          <w:color w:val="000000"/>
          <w:sz w:val="21"/>
        </w:rPr>
        <w:t>Use reusable workflows for common quality gates, release packaging, deployment, and attestations.</w:t>
      </w:r>
    </w:p>
    <w:p>
      <w:pPr>
        <w:pStyle w:val="ListBullet"/>
        <w:spacing w:after="80"/>
        <w:ind w:left="360"/>
      </w:pPr>
      <w:r>
        <w:rPr>
          <w:rFonts w:ascii="Arial" w:hAnsi="Arial"/>
          <w:b w:val="0"/>
          <w:i w:val="0"/>
          <w:color w:val="000000"/>
          <w:sz w:val="21"/>
        </w:rPr>
        <w:t>Pin third-party actions to immutable commit SHAs and limit token permissions per job.</w:t>
      </w:r>
    </w:p>
    <w:p>
      <w:pPr>
        <w:pStyle w:val="ListBullet"/>
        <w:spacing w:after="80"/>
        <w:ind w:left="360"/>
      </w:pPr>
      <w:r>
        <w:rPr>
          <w:rFonts w:ascii="Arial" w:hAnsi="Arial"/>
          <w:b w:val="0"/>
          <w:i w:val="0"/>
          <w:color w:val="000000"/>
          <w:sz w:val="21"/>
        </w:rPr>
        <w:t>Use concurrency controls to prevent overlapping deploys or redundant expensive runs.</w:t>
      </w:r>
    </w:p>
    <w:p>
      <w:pPr>
        <w:pStyle w:val="ListBullet"/>
        <w:spacing w:after="80"/>
        <w:ind w:left="360"/>
      </w:pPr>
      <w:r>
        <w:rPr>
          <w:rFonts w:ascii="Arial" w:hAnsi="Arial"/>
          <w:b w:val="0"/>
          <w:i w:val="0"/>
          <w:color w:val="000000"/>
          <w:sz w:val="21"/>
        </w:rPr>
        <w:t>Authenticate to cloud providers with OIDC and short-lived credentials instead of long-lived static secrets.</w:t>
      </w:r>
    </w:p>
    <w:p>
      <w:pPr>
        <w:pStyle w:val="Heading2"/>
        <w:keepNext/>
        <w:spacing w:before="160" w:after="80"/>
      </w:pPr>
      <w:r>
        <w:t>9.2 Recommended pipeline stages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440"/>
            <w:vAlign w:val="center"/>
            <w:shd w:fill="2F5597"/>
          </w:tcPr>
          <w:p>
            <w:pPr>
              <w:spacing w:after="0" w:before="0"/>
            </w:pPr>
            <w:r/>
            <w:r>
              <w:rPr>
                <w:rFonts w:ascii="Arial" w:hAnsi="Arial"/>
                <w:b/>
                <w:color w:val="FFFFFF"/>
                <w:sz w:val="20"/>
              </w:rPr>
              <w:t>Order</w:t>
            </w:r>
          </w:p>
        </w:tc>
        <w:tc>
          <w:tcPr>
            <w:tcW w:type="dxa" w:w="2304"/>
            <w:vAlign w:val="center"/>
            <w:shd w:fill="2F5597"/>
          </w:tcPr>
          <w:p>
            <w:pPr>
              <w:spacing w:after="0" w:before="0"/>
            </w:pPr>
            <w:r/>
            <w:r>
              <w:rPr>
                <w:rFonts w:ascii="Arial" w:hAnsi="Arial"/>
                <w:b/>
                <w:color w:val="FFFFFF"/>
                <w:sz w:val="20"/>
              </w:rPr>
              <w:t>Stage</w:t>
            </w:r>
          </w:p>
        </w:tc>
        <w:tc>
          <w:tcPr>
            <w:tcW w:type="dxa" w:w="2160"/>
            <w:vAlign w:val="center"/>
            <w:shd w:fill="2F5597"/>
          </w:tcPr>
          <w:p>
            <w:pPr>
              <w:spacing w:after="0" w:before="0"/>
            </w:pPr>
            <w:r/>
            <w:r>
              <w:rPr>
                <w:rFonts w:ascii="Arial" w:hAnsi="Arial"/>
                <w:b/>
                <w:color w:val="FFFFFF"/>
                <w:sz w:val="20"/>
              </w:rPr>
              <w:t>Purpose</w:t>
            </w:r>
          </w:p>
        </w:tc>
        <w:tc>
          <w:tcPr>
            <w:tcW w:type="dxa" w:w="2160"/>
            <w:vAlign w:val="center"/>
            <w:shd w:fill="2F5597"/>
          </w:tcPr>
          <w:p>
            <w:pPr>
              <w:spacing w:after="0" w:before="0"/>
            </w:pPr>
            <w:r/>
            <w:r>
              <w:rPr>
                <w:rFonts w:ascii="Arial" w:hAnsi="Arial"/>
                <w:b/>
                <w:color w:val="FFFFFF"/>
                <w:sz w:val="20"/>
              </w:rPr>
              <w:t>Typical tools</w:t>
            </w:r>
          </w:p>
        </w:tc>
        <w:tc>
          <w:tcPr>
            <w:tcW w:type="dxa" w:w="2016"/>
            <w:vAlign w:val="center"/>
            <w:shd w:fill="2F5597"/>
          </w:tcPr>
          <w:p>
            <w:pPr>
              <w:spacing w:after="0" w:before="0"/>
            </w:pPr>
            <w:r/>
            <w:r>
              <w:rPr>
                <w:rFonts w:ascii="Arial" w:hAnsi="Arial"/>
                <w:b/>
                <w:color w:val="FFFFFF"/>
                <w:sz w:val="20"/>
              </w:rPr>
              <w:t>Fail closed?</w:t>
            </w:r>
          </w:p>
        </w:tc>
      </w:tr>
      <w:tr>
        <w:tc>
          <w:tcPr>
            <w:tcW w:type="dxa" w:w="1987"/>
            <w:vAlign w:val="center"/>
          </w:tcPr>
          <w:p>
            <w:pPr>
              <w:spacing w:after="0" w:before="0"/>
            </w:pPr>
            <w:r/>
            <w:r>
              <w:rPr>
                <w:rFonts w:ascii="Arial" w:hAnsi="Arial"/>
                <w:b w:val="0"/>
                <w:color w:val="000000"/>
                <w:sz w:val="18"/>
              </w:rPr>
              <w:t>1</w:t>
            </w:r>
          </w:p>
        </w:tc>
        <w:tc>
          <w:tcPr>
            <w:tcW w:type="dxa" w:w="1987"/>
            <w:vAlign w:val="center"/>
          </w:tcPr>
          <w:p>
            <w:pPr>
              <w:spacing w:after="0" w:before="0"/>
            </w:pPr>
            <w:r/>
            <w:r>
              <w:rPr>
                <w:rFonts w:ascii="Arial" w:hAnsi="Arial"/>
                <w:b w:val="0"/>
                <w:color w:val="000000"/>
                <w:sz w:val="18"/>
              </w:rPr>
              <w:t>Lint and type</w:t>
            </w:r>
          </w:p>
        </w:tc>
        <w:tc>
          <w:tcPr>
            <w:tcW w:type="dxa" w:w="1987"/>
            <w:vAlign w:val="center"/>
          </w:tcPr>
          <w:p>
            <w:pPr>
              <w:spacing w:after="0" w:before="0"/>
            </w:pPr>
            <w:r/>
            <w:r>
              <w:rPr>
                <w:rFonts w:ascii="Arial" w:hAnsi="Arial"/>
                <w:b w:val="0"/>
                <w:color w:val="000000"/>
                <w:sz w:val="18"/>
              </w:rPr>
              <w:t>Fast feedback on correctness and style.</w:t>
            </w:r>
          </w:p>
        </w:tc>
        <w:tc>
          <w:tcPr>
            <w:tcW w:type="dxa" w:w="1987"/>
            <w:vAlign w:val="center"/>
          </w:tcPr>
          <w:p>
            <w:pPr>
              <w:spacing w:after="0" w:before="0"/>
            </w:pPr>
            <w:r/>
            <w:r>
              <w:rPr>
                <w:rFonts w:ascii="Arial" w:hAnsi="Arial"/>
                <w:b w:val="0"/>
                <w:color w:val="000000"/>
                <w:sz w:val="18"/>
              </w:rPr>
              <w:t>linters, formatters, type checks</w:t>
            </w:r>
          </w:p>
        </w:tc>
        <w:tc>
          <w:tcPr>
            <w:tcW w:type="dxa" w:w="1987"/>
            <w:vAlign w:val="center"/>
          </w:tcPr>
          <w:p>
            <w:pPr>
              <w:spacing w:after="0" w:before="0"/>
            </w:pPr>
            <w:r/>
            <w:r>
              <w:rPr>
                <w:rFonts w:ascii="Arial" w:hAnsi="Arial"/>
                <w:b w:val="0"/>
                <w:color w:val="000000"/>
                <w:sz w:val="18"/>
              </w:rPr>
              <w:t>Yes</w:t>
            </w:r>
          </w:p>
        </w:tc>
      </w:tr>
      <w:tr>
        <w:tc>
          <w:tcPr>
            <w:tcW w:type="dxa" w:w="1987"/>
            <w:vAlign w:val="center"/>
          </w:tcPr>
          <w:p>
            <w:pPr>
              <w:spacing w:after="0" w:before="0"/>
            </w:pPr>
            <w:r/>
            <w:r>
              <w:rPr>
                <w:rFonts w:ascii="Arial" w:hAnsi="Arial"/>
                <w:b w:val="0"/>
                <w:color w:val="000000"/>
                <w:sz w:val="18"/>
              </w:rPr>
              <w:t>2</w:t>
            </w:r>
          </w:p>
        </w:tc>
        <w:tc>
          <w:tcPr>
            <w:tcW w:type="dxa" w:w="1987"/>
            <w:vAlign w:val="center"/>
          </w:tcPr>
          <w:p>
            <w:pPr>
              <w:spacing w:after="0" w:before="0"/>
            </w:pPr>
            <w:r/>
            <w:r>
              <w:rPr>
                <w:rFonts w:ascii="Arial" w:hAnsi="Arial"/>
                <w:b w:val="0"/>
                <w:color w:val="000000"/>
                <w:sz w:val="18"/>
              </w:rPr>
              <w:t>Unit and component tests</w:t>
            </w:r>
          </w:p>
        </w:tc>
        <w:tc>
          <w:tcPr>
            <w:tcW w:type="dxa" w:w="1987"/>
            <w:vAlign w:val="center"/>
          </w:tcPr>
          <w:p>
            <w:pPr>
              <w:spacing w:after="0" w:before="0"/>
            </w:pPr>
            <w:r/>
            <w:r>
              <w:rPr>
                <w:rFonts w:ascii="Arial" w:hAnsi="Arial"/>
                <w:b w:val="0"/>
                <w:color w:val="000000"/>
                <w:sz w:val="18"/>
              </w:rPr>
              <w:t>Validate logic and adapters.</w:t>
            </w:r>
          </w:p>
        </w:tc>
        <w:tc>
          <w:tcPr>
            <w:tcW w:type="dxa" w:w="1987"/>
            <w:vAlign w:val="center"/>
          </w:tcPr>
          <w:p>
            <w:pPr>
              <w:spacing w:after="0" w:before="0"/>
            </w:pPr>
            <w:r/>
            <w:r>
              <w:rPr>
                <w:rFonts w:ascii="Arial" w:hAnsi="Arial"/>
                <w:b w:val="0"/>
                <w:color w:val="000000"/>
                <w:sz w:val="18"/>
              </w:rPr>
              <w:t>language test runner</w:t>
            </w:r>
          </w:p>
        </w:tc>
        <w:tc>
          <w:tcPr>
            <w:tcW w:type="dxa" w:w="1987"/>
            <w:vAlign w:val="center"/>
          </w:tcPr>
          <w:p>
            <w:pPr>
              <w:spacing w:after="0" w:before="0"/>
            </w:pPr>
            <w:r/>
            <w:r>
              <w:rPr>
                <w:rFonts w:ascii="Arial" w:hAnsi="Arial"/>
                <w:b w:val="0"/>
                <w:color w:val="000000"/>
                <w:sz w:val="18"/>
              </w:rPr>
              <w:t>Yes</w:t>
            </w:r>
          </w:p>
        </w:tc>
      </w:tr>
      <w:tr>
        <w:tc>
          <w:tcPr>
            <w:tcW w:type="dxa" w:w="1987"/>
            <w:vAlign w:val="center"/>
          </w:tcPr>
          <w:p>
            <w:pPr>
              <w:spacing w:after="0" w:before="0"/>
            </w:pPr>
            <w:r/>
            <w:r>
              <w:rPr>
                <w:rFonts w:ascii="Arial" w:hAnsi="Arial"/>
                <w:b w:val="0"/>
                <w:color w:val="000000"/>
                <w:sz w:val="18"/>
              </w:rPr>
              <w:t>3</w:t>
            </w:r>
          </w:p>
        </w:tc>
        <w:tc>
          <w:tcPr>
            <w:tcW w:type="dxa" w:w="1987"/>
            <w:vAlign w:val="center"/>
          </w:tcPr>
          <w:p>
            <w:pPr>
              <w:spacing w:after="0" w:before="0"/>
            </w:pPr>
            <w:r/>
            <w:r>
              <w:rPr>
                <w:rFonts w:ascii="Arial" w:hAnsi="Arial"/>
                <w:b w:val="0"/>
                <w:color w:val="000000"/>
                <w:sz w:val="18"/>
              </w:rPr>
              <w:t>Security scans</w:t>
            </w:r>
          </w:p>
        </w:tc>
        <w:tc>
          <w:tcPr>
            <w:tcW w:type="dxa" w:w="1987"/>
            <w:vAlign w:val="center"/>
          </w:tcPr>
          <w:p>
            <w:pPr>
              <w:spacing w:after="0" w:before="0"/>
            </w:pPr>
            <w:r/>
            <w:r>
              <w:rPr>
                <w:rFonts w:ascii="Arial" w:hAnsi="Arial"/>
                <w:b w:val="0"/>
                <w:color w:val="000000"/>
                <w:sz w:val="18"/>
              </w:rPr>
              <w:t>Find code and dependency risks.</w:t>
            </w:r>
          </w:p>
        </w:tc>
        <w:tc>
          <w:tcPr>
            <w:tcW w:type="dxa" w:w="1987"/>
            <w:vAlign w:val="center"/>
          </w:tcPr>
          <w:p>
            <w:pPr>
              <w:spacing w:after="0" w:before="0"/>
            </w:pPr>
            <w:r/>
            <w:r>
              <w:rPr>
                <w:rFonts w:ascii="Arial" w:hAnsi="Arial"/>
                <w:b w:val="0"/>
                <w:color w:val="000000"/>
                <w:sz w:val="18"/>
              </w:rPr>
              <w:t>CodeQL, secrets scan, SCA</w:t>
            </w:r>
          </w:p>
        </w:tc>
        <w:tc>
          <w:tcPr>
            <w:tcW w:type="dxa" w:w="1987"/>
            <w:vAlign w:val="center"/>
          </w:tcPr>
          <w:p>
            <w:pPr>
              <w:spacing w:after="0" w:before="0"/>
            </w:pPr>
            <w:r/>
            <w:r>
              <w:rPr>
                <w:rFonts w:ascii="Arial" w:hAnsi="Arial"/>
                <w:b w:val="0"/>
                <w:color w:val="000000"/>
                <w:sz w:val="18"/>
              </w:rPr>
              <w:t>Yes</w:t>
            </w:r>
          </w:p>
        </w:tc>
      </w:tr>
      <w:tr>
        <w:tc>
          <w:tcPr>
            <w:tcW w:type="dxa" w:w="1987"/>
            <w:vAlign w:val="center"/>
          </w:tcPr>
          <w:p>
            <w:pPr>
              <w:spacing w:after="0" w:before="0"/>
            </w:pPr>
            <w:r/>
            <w:r>
              <w:rPr>
                <w:rFonts w:ascii="Arial" w:hAnsi="Arial"/>
                <w:b w:val="0"/>
                <w:color w:val="000000"/>
                <w:sz w:val="18"/>
              </w:rPr>
              <w:t>4</w:t>
            </w:r>
          </w:p>
        </w:tc>
        <w:tc>
          <w:tcPr>
            <w:tcW w:type="dxa" w:w="1987"/>
            <w:vAlign w:val="center"/>
          </w:tcPr>
          <w:p>
            <w:pPr>
              <w:spacing w:after="0" w:before="0"/>
            </w:pPr>
            <w:r/>
            <w:r>
              <w:rPr>
                <w:rFonts w:ascii="Arial" w:hAnsi="Arial"/>
                <w:b w:val="0"/>
                <w:color w:val="000000"/>
                <w:sz w:val="18"/>
              </w:rPr>
              <w:t>Build package</w:t>
            </w:r>
          </w:p>
        </w:tc>
        <w:tc>
          <w:tcPr>
            <w:tcW w:type="dxa" w:w="1987"/>
            <w:vAlign w:val="center"/>
          </w:tcPr>
          <w:p>
            <w:pPr>
              <w:spacing w:after="0" w:before="0"/>
            </w:pPr>
            <w:r/>
            <w:r>
              <w:rPr>
                <w:rFonts w:ascii="Arial" w:hAnsi="Arial"/>
                <w:b w:val="0"/>
                <w:color w:val="000000"/>
                <w:sz w:val="18"/>
              </w:rPr>
              <w:t>Create immutable artifact.</w:t>
            </w:r>
          </w:p>
        </w:tc>
        <w:tc>
          <w:tcPr>
            <w:tcW w:type="dxa" w:w="1987"/>
            <w:vAlign w:val="center"/>
          </w:tcPr>
          <w:p>
            <w:pPr>
              <w:spacing w:after="0" w:before="0"/>
            </w:pPr>
            <w:r/>
            <w:r>
              <w:rPr>
                <w:rFonts w:ascii="Arial" w:hAnsi="Arial"/>
                <w:b w:val="0"/>
                <w:color w:val="000000"/>
                <w:sz w:val="18"/>
              </w:rPr>
              <w:t>build system, container build</w:t>
            </w:r>
          </w:p>
        </w:tc>
        <w:tc>
          <w:tcPr>
            <w:tcW w:type="dxa" w:w="1987"/>
            <w:vAlign w:val="center"/>
          </w:tcPr>
          <w:p>
            <w:pPr>
              <w:spacing w:after="0" w:before="0"/>
            </w:pPr>
            <w:r/>
            <w:r>
              <w:rPr>
                <w:rFonts w:ascii="Arial" w:hAnsi="Arial"/>
                <w:b w:val="0"/>
                <w:color w:val="000000"/>
                <w:sz w:val="18"/>
              </w:rPr>
              <w:t>Yes</w:t>
            </w:r>
          </w:p>
        </w:tc>
      </w:tr>
      <w:tr>
        <w:tc>
          <w:tcPr>
            <w:tcW w:type="dxa" w:w="1987"/>
            <w:vAlign w:val="center"/>
          </w:tcPr>
          <w:p>
            <w:pPr>
              <w:spacing w:after="0" w:before="0"/>
            </w:pPr>
            <w:r/>
            <w:r>
              <w:rPr>
                <w:rFonts w:ascii="Arial" w:hAnsi="Arial"/>
                <w:b w:val="0"/>
                <w:color w:val="000000"/>
                <w:sz w:val="18"/>
              </w:rPr>
              <w:t>5</w:t>
            </w:r>
          </w:p>
        </w:tc>
        <w:tc>
          <w:tcPr>
            <w:tcW w:type="dxa" w:w="1987"/>
            <w:vAlign w:val="center"/>
          </w:tcPr>
          <w:p>
            <w:pPr>
              <w:spacing w:after="0" w:before="0"/>
            </w:pPr>
            <w:r/>
            <w:r>
              <w:rPr>
                <w:rFonts w:ascii="Arial" w:hAnsi="Arial"/>
                <w:b w:val="0"/>
                <w:color w:val="000000"/>
                <w:sz w:val="18"/>
              </w:rPr>
              <w:t>SBOM and provenance</w:t>
            </w:r>
          </w:p>
        </w:tc>
        <w:tc>
          <w:tcPr>
            <w:tcW w:type="dxa" w:w="1987"/>
            <w:vAlign w:val="center"/>
          </w:tcPr>
          <w:p>
            <w:pPr>
              <w:spacing w:after="0" w:before="0"/>
            </w:pPr>
            <w:r/>
            <w:r>
              <w:rPr>
                <w:rFonts w:ascii="Arial" w:hAnsi="Arial"/>
                <w:b w:val="0"/>
                <w:color w:val="000000"/>
                <w:sz w:val="18"/>
              </w:rPr>
              <w:t>Create release evidence.</w:t>
            </w:r>
          </w:p>
        </w:tc>
        <w:tc>
          <w:tcPr>
            <w:tcW w:type="dxa" w:w="1987"/>
            <w:vAlign w:val="center"/>
          </w:tcPr>
          <w:p>
            <w:pPr>
              <w:spacing w:after="0" w:before="0"/>
            </w:pPr>
            <w:r/>
            <w:r>
              <w:rPr>
                <w:rFonts w:ascii="Arial" w:hAnsi="Arial"/>
                <w:b w:val="0"/>
                <w:color w:val="000000"/>
                <w:sz w:val="18"/>
              </w:rPr>
              <w:t>CycloneDX, attestations</w:t>
            </w:r>
          </w:p>
        </w:tc>
        <w:tc>
          <w:tcPr>
            <w:tcW w:type="dxa" w:w="1987"/>
            <w:vAlign w:val="center"/>
          </w:tcPr>
          <w:p>
            <w:pPr>
              <w:spacing w:after="0" w:before="0"/>
            </w:pPr>
            <w:r/>
            <w:r>
              <w:rPr>
                <w:rFonts w:ascii="Arial" w:hAnsi="Arial"/>
                <w:b w:val="0"/>
                <w:color w:val="000000"/>
                <w:sz w:val="18"/>
              </w:rPr>
              <w:t>Yes</w:t>
            </w:r>
          </w:p>
        </w:tc>
      </w:tr>
      <w:tr>
        <w:tc>
          <w:tcPr>
            <w:tcW w:type="dxa" w:w="1987"/>
            <w:vAlign w:val="center"/>
          </w:tcPr>
          <w:p>
            <w:pPr>
              <w:spacing w:after="0" w:before="0"/>
            </w:pPr>
            <w:r/>
            <w:r>
              <w:rPr>
                <w:rFonts w:ascii="Arial" w:hAnsi="Arial"/>
                <w:b w:val="0"/>
                <w:color w:val="000000"/>
                <w:sz w:val="18"/>
              </w:rPr>
              <w:t>6</w:t>
            </w:r>
          </w:p>
        </w:tc>
        <w:tc>
          <w:tcPr>
            <w:tcW w:type="dxa" w:w="1987"/>
            <w:vAlign w:val="center"/>
          </w:tcPr>
          <w:p>
            <w:pPr>
              <w:spacing w:after="0" w:before="0"/>
            </w:pPr>
            <w:r/>
            <w:r>
              <w:rPr>
                <w:rFonts w:ascii="Arial" w:hAnsi="Arial"/>
                <w:b w:val="0"/>
                <w:color w:val="000000"/>
                <w:sz w:val="18"/>
              </w:rPr>
              <w:t>Integration and browser</w:t>
            </w:r>
          </w:p>
        </w:tc>
        <w:tc>
          <w:tcPr>
            <w:tcW w:type="dxa" w:w="1987"/>
            <w:vAlign w:val="center"/>
          </w:tcPr>
          <w:p>
            <w:pPr>
              <w:spacing w:after="0" w:before="0"/>
            </w:pPr>
            <w:r/>
            <w:r>
              <w:rPr>
                <w:rFonts w:ascii="Arial" w:hAnsi="Arial"/>
                <w:b w:val="0"/>
                <w:color w:val="000000"/>
                <w:sz w:val="18"/>
              </w:rPr>
              <w:t>Validate behavior in realistic environment.</w:t>
            </w:r>
          </w:p>
        </w:tc>
        <w:tc>
          <w:tcPr>
            <w:tcW w:type="dxa" w:w="1987"/>
            <w:vAlign w:val="center"/>
          </w:tcPr>
          <w:p>
            <w:pPr>
              <w:spacing w:after="0" w:before="0"/>
            </w:pPr>
            <w:r/>
            <w:r>
              <w:rPr>
                <w:rFonts w:ascii="Arial" w:hAnsi="Arial"/>
                <w:b w:val="0"/>
                <w:color w:val="000000"/>
                <w:sz w:val="18"/>
              </w:rPr>
              <w:t>integration runner, Playwright</w:t>
            </w:r>
          </w:p>
        </w:tc>
        <w:tc>
          <w:tcPr>
            <w:tcW w:type="dxa" w:w="1987"/>
            <w:vAlign w:val="center"/>
          </w:tcPr>
          <w:p>
            <w:pPr>
              <w:spacing w:after="0" w:before="0"/>
            </w:pPr>
            <w:r/>
            <w:r>
              <w:rPr>
                <w:rFonts w:ascii="Arial" w:hAnsi="Arial"/>
                <w:b w:val="0"/>
                <w:color w:val="000000"/>
                <w:sz w:val="18"/>
              </w:rPr>
              <w:t>Yes for protected branches</w:t>
            </w:r>
          </w:p>
        </w:tc>
      </w:tr>
      <w:tr>
        <w:tc>
          <w:tcPr>
            <w:tcW w:type="dxa" w:w="1987"/>
            <w:vAlign w:val="center"/>
          </w:tcPr>
          <w:p>
            <w:pPr>
              <w:spacing w:after="0" w:before="0"/>
            </w:pPr>
            <w:r/>
            <w:r>
              <w:rPr>
                <w:rFonts w:ascii="Arial" w:hAnsi="Arial"/>
                <w:b w:val="0"/>
                <w:color w:val="000000"/>
                <w:sz w:val="18"/>
              </w:rPr>
              <w:t>7</w:t>
            </w:r>
          </w:p>
        </w:tc>
        <w:tc>
          <w:tcPr>
            <w:tcW w:type="dxa" w:w="1987"/>
            <w:vAlign w:val="center"/>
          </w:tcPr>
          <w:p>
            <w:pPr>
              <w:spacing w:after="0" w:before="0"/>
            </w:pPr>
            <w:r/>
            <w:r>
              <w:rPr>
                <w:rFonts w:ascii="Arial" w:hAnsi="Arial"/>
                <w:b w:val="0"/>
                <w:color w:val="000000"/>
                <w:sz w:val="18"/>
              </w:rPr>
              <w:t>Deploy and verify</w:t>
            </w:r>
          </w:p>
        </w:tc>
        <w:tc>
          <w:tcPr>
            <w:tcW w:type="dxa" w:w="1987"/>
            <w:vAlign w:val="center"/>
          </w:tcPr>
          <w:p>
            <w:pPr>
              <w:spacing w:after="0" w:before="0"/>
            </w:pPr>
            <w:r/>
            <w:r>
              <w:rPr>
                <w:rFonts w:ascii="Arial" w:hAnsi="Arial"/>
                <w:b w:val="0"/>
                <w:color w:val="000000"/>
                <w:sz w:val="18"/>
              </w:rPr>
              <w:t>Promote safely with health checks.</w:t>
            </w:r>
          </w:p>
        </w:tc>
        <w:tc>
          <w:tcPr>
            <w:tcW w:type="dxa" w:w="1987"/>
            <w:vAlign w:val="center"/>
          </w:tcPr>
          <w:p>
            <w:pPr>
              <w:spacing w:after="0" w:before="0"/>
            </w:pPr>
            <w:r/>
            <w:r>
              <w:rPr>
                <w:rFonts w:ascii="Arial" w:hAnsi="Arial"/>
                <w:b w:val="0"/>
                <w:color w:val="000000"/>
                <w:sz w:val="18"/>
              </w:rPr>
              <w:t>deploy action, smoke tests</w:t>
            </w:r>
          </w:p>
        </w:tc>
        <w:tc>
          <w:tcPr>
            <w:tcW w:type="dxa" w:w="1987"/>
            <w:vAlign w:val="center"/>
          </w:tcPr>
          <w:p>
            <w:pPr>
              <w:spacing w:after="0" w:before="0"/>
            </w:pPr>
            <w:r/>
            <w:r>
              <w:rPr>
                <w:rFonts w:ascii="Arial" w:hAnsi="Arial"/>
                <w:b w:val="0"/>
                <w:color w:val="000000"/>
                <w:sz w:val="18"/>
              </w:rPr>
              <w:t>Yes</w:t>
            </w:r>
          </w:p>
        </w:tc>
      </w:tr>
    </w:tbl>
    <w:p>
      <w:pPr>
        <w:pStyle w:val="Heading2"/>
        <w:keepNext/>
        <w:spacing w:before="160" w:after="80"/>
      </w:pPr>
      <w:r>
        <w:t>9.3 Sample reusable workflow sketch</w:t>
      </w:r>
    </w:p>
    <w:p>
      <w:pPr>
        <w:pStyle w:val="CodeBlock"/>
        <w:spacing w:after="0"/>
        <w:ind w:left="504"/>
      </w:pPr>
      <w:r>
        <w:rPr>
          <w:rFonts w:ascii="Courier New" w:hAnsi="Courier New"/>
          <w:b w:val="0"/>
          <w:i w:val="0"/>
          <w:color w:val="000000"/>
          <w:sz w:val="17"/>
        </w:rPr>
        <w:t>name: ci</w:t>
      </w:r>
    </w:p>
    <w:p>
      <w:pPr>
        <w:pStyle w:val="CodeBlock"/>
        <w:spacing w:after="0"/>
        <w:ind w:left="504"/>
      </w:pPr>
      <w:r>
        <w:rPr>
          <w:rFonts w:ascii="Courier New" w:hAnsi="Courier New"/>
          <w:b w:val="0"/>
          <w:i w:val="0"/>
          <w:color w:val="000000"/>
          <w:sz w:val="17"/>
        </w:rPr>
        <w:t>on: [pull_request, push]</w:t>
      </w:r>
    </w:p>
    <w:p>
      <w:pPr>
        <w:pStyle w:val="CodeBlock"/>
        <w:spacing w:after="0"/>
        <w:ind w:left="504"/>
      </w:pPr>
      <w:r>
        <w:rPr>
          <w:rFonts w:ascii="Courier New" w:hAnsi="Courier New"/>
          <w:b w:val="0"/>
          <w:i w:val="0"/>
          <w:color w:val="000000"/>
          <w:sz w:val="17"/>
        </w:rPr>
        <w:t>permissions:</w:t>
      </w:r>
    </w:p>
    <w:p>
      <w:pPr>
        <w:pStyle w:val="CodeBlock"/>
        <w:spacing w:after="0"/>
        <w:ind w:left="504"/>
      </w:pPr>
      <w:r>
        <w:rPr>
          <w:rFonts w:ascii="Courier New" w:hAnsi="Courier New"/>
          <w:b w:val="0"/>
          <w:i w:val="0"/>
          <w:color w:val="000000"/>
          <w:sz w:val="17"/>
        </w:rPr>
        <w:t xml:space="preserve">  contents: read</w:t>
      </w:r>
    </w:p>
    <w:p>
      <w:pPr>
        <w:pStyle w:val="CodeBlock"/>
        <w:spacing w:after="0"/>
        <w:ind w:left="504"/>
      </w:pPr>
      <w:r>
        <w:rPr>
          <w:rFonts w:ascii="Courier New" w:hAnsi="Courier New"/>
          <w:b w:val="0"/>
          <w:i w:val="0"/>
          <w:color w:val="000000"/>
          <w:sz w:val="17"/>
        </w:rPr>
        <w:t>jobs:</w:t>
      </w:r>
    </w:p>
    <w:p>
      <w:pPr>
        <w:pStyle w:val="CodeBlock"/>
        <w:spacing w:after="0"/>
        <w:ind w:left="504"/>
      </w:pPr>
      <w:r>
        <w:rPr>
          <w:rFonts w:ascii="Courier New" w:hAnsi="Courier New"/>
          <w:b w:val="0"/>
          <w:i w:val="0"/>
          <w:color w:val="000000"/>
          <w:sz w:val="17"/>
        </w:rPr>
        <w:t xml:space="preserve">  quality:</w:t>
      </w:r>
    </w:p>
    <w:p>
      <w:pPr>
        <w:pStyle w:val="CodeBlock"/>
        <w:spacing w:after="0"/>
        <w:ind w:left="504"/>
      </w:pPr>
      <w:r>
        <w:rPr>
          <w:rFonts w:ascii="Courier New" w:hAnsi="Courier New"/>
          <w:b w:val="0"/>
          <w:i w:val="0"/>
          <w:color w:val="000000"/>
          <w:sz w:val="17"/>
        </w:rPr>
        <w:t xml:space="preserve">    uses: org/.github/.github/workflows/reusable-ci.yml@&lt;sha&gt;</w:t>
      </w:r>
    </w:p>
    <w:p>
      <w:pPr>
        <w:pStyle w:val="CodeBlock"/>
        <w:spacing w:after="0"/>
        <w:ind w:left="504"/>
      </w:pPr>
      <w:r>
        <w:rPr>
          <w:rFonts w:ascii="Courier New" w:hAnsi="Courier New"/>
          <w:b w:val="0"/>
          <w:i w:val="0"/>
          <w:color w:val="000000"/>
          <w:sz w:val="17"/>
        </w:rPr>
        <w:t xml:space="preserve">    with:</w:t>
      </w:r>
    </w:p>
    <w:p>
      <w:pPr>
        <w:pStyle w:val="CodeBlock"/>
        <w:spacing w:after="0"/>
        <w:ind w:left="504"/>
      </w:pPr>
      <w:r>
        <w:rPr>
          <w:rFonts w:ascii="Courier New" w:hAnsi="Courier New"/>
          <w:b w:val="0"/>
          <w:i w:val="0"/>
          <w:color w:val="000000"/>
          <w:sz w:val="17"/>
        </w:rPr>
        <w:t xml:space="preserve">      run_playwright: true</w:t>
      </w:r>
    </w:p>
    <w:p>
      <w:pPr>
        <w:pStyle w:val="CodeBlock"/>
        <w:spacing w:after="0"/>
        <w:ind w:left="504"/>
      </w:pPr>
      <w:r>
        <w:rPr>
          <w:rFonts w:ascii="Courier New" w:hAnsi="Courier New"/>
          <w:b w:val="0"/>
          <w:i w:val="0"/>
          <w:color w:val="000000"/>
          <w:sz w:val="17"/>
        </w:rPr>
        <w:t xml:space="preserve">      run_codeql: true</w:t>
      </w:r>
    </w:p>
    <w:p>
      <w:pPr>
        <w:pStyle w:val="Heading1"/>
        <w:keepNext/>
        <w:spacing w:before="240" w:after="80"/>
      </w:pPr>
      <w:r>
        <w:t>10. Security engineering and supply chain integrity</w:t>
      </w:r>
    </w:p>
    <w:p>
      <w:pPr>
        <w:spacing w:after="140" w:line="240" w:lineRule="auto"/>
      </w:pPr>
      <w:r>
        <w:rPr>
          <w:rFonts w:ascii="Arial" w:hAnsi="Arial"/>
          <w:b w:val="0"/>
          <w:i w:val="0"/>
          <w:color w:val="000000"/>
          <w:sz w:val="21"/>
        </w:rPr>
        <w:t>Security should be expressed as an engineering system, not as a separate review ritual at the end. A secure enterprise delivery practice starts with design-time threat awareness, continues through implementation controls and build hardening, and ends with deploy-time verification and runtime monitoring.</w:t>
      </w:r>
    </w:p>
    <w:p>
      <w:pPr>
        <w:pStyle w:val="Heading2"/>
        <w:keepNext/>
        <w:spacing w:before="160" w:after="80"/>
      </w:pPr>
      <w:r>
        <w:t>10.1 Core security controls</w:t>
      </w:r>
    </w:p>
    <w:p>
      <w:pPr>
        <w:pStyle w:val="ListBullet"/>
        <w:spacing w:after="80"/>
        <w:ind w:left="360"/>
      </w:pPr>
      <w:r>
        <w:rPr>
          <w:rFonts w:ascii="Arial" w:hAnsi="Arial"/>
          <w:b w:val="0"/>
          <w:i w:val="0"/>
          <w:color w:val="000000"/>
          <w:sz w:val="21"/>
        </w:rPr>
        <w:t>Use a secure development framework and verification standard as the baseline for team controls.</w:t>
      </w:r>
    </w:p>
    <w:p>
      <w:pPr>
        <w:pStyle w:val="ListBullet"/>
        <w:spacing w:after="80"/>
        <w:ind w:left="360"/>
      </w:pPr>
      <w:r>
        <w:rPr>
          <w:rFonts w:ascii="Arial" w:hAnsi="Arial"/>
          <w:b w:val="0"/>
          <w:i w:val="0"/>
          <w:color w:val="000000"/>
          <w:sz w:val="21"/>
        </w:rPr>
        <w:t>Perform lightweight threat modeling on any change affecting data flows, identity, privileges, integrations, or novel infrastructure.</w:t>
      </w:r>
    </w:p>
    <w:p>
      <w:pPr>
        <w:pStyle w:val="ListBullet"/>
        <w:spacing w:after="80"/>
        <w:ind w:left="360"/>
      </w:pPr>
      <w:r>
        <w:rPr>
          <w:rFonts w:ascii="Arial" w:hAnsi="Arial"/>
          <w:b w:val="0"/>
          <w:i w:val="0"/>
          <w:color w:val="000000"/>
          <w:sz w:val="21"/>
        </w:rPr>
        <w:t>Enforce secrets handling rules across source code, logs, screenshots, artifacts, and build outputs.</w:t>
      </w:r>
    </w:p>
    <w:p>
      <w:pPr>
        <w:pStyle w:val="ListBullet"/>
        <w:spacing w:after="80"/>
        <w:ind w:left="360"/>
      </w:pPr>
      <w:r>
        <w:rPr>
          <w:rFonts w:ascii="Arial" w:hAnsi="Arial"/>
          <w:b w:val="0"/>
          <w:i w:val="0"/>
          <w:color w:val="000000"/>
          <w:sz w:val="21"/>
        </w:rPr>
        <w:t>Integrate SAST, dependency scanning, code scanning, and dependency review into pull requests and release pipelines.</w:t>
      </w:r>
    </w:p>
    <w:p>
      <w:pPr>
        <w:pStyle w:val="ListBullet"/>
        <w:spacing w:after="80"/>
        <w:ind w:left="360"/>
      </w:pPr>
      <w:r>
        <w:rPr>
          <w:rFonts w:ascii="Arial" w:hAnsi="Arial"/>
          <w:b w:val="0"/>
          <w:i w:val="0"/>
          <w:color w:val="000000"/>
          <w:sz w:val="21"/>
        </w:rPr>
        <w:t>Use SBOMs, artifact attestations, and version-pinned builds to improve supply chain transparency and release trust.</w:t>
      </w:r>
    </w:p>
    <w:p>
      <w:pPr>
        <w:pStyle w:val="ListBullet"/>
        <w:spacing w:after="80"/>
        <w:ind w:left="360"/>
      </w:pPr>
      <w:r>
        <w:rPr>
          <w:rFonts w:ascii="Arial" w:hAnsi="Arial"/>
          <w:b w:val="0"/>
          <w:i w:val="0"/>
          <w:color w:val="000000"/>
          <w:sz w:val="21"/>
        </w:rPr>
        <w:t>Require approvals and protected environments for production deployments and high-risk configuration changes.</w:t>
      </w:r>
    </w:p>
    <w:p>
      <w:pPr>
        <w:pStyle w:val="Heading2"/>
        <w:keepNext/>
        <w:spacing w:before="160" w:after="80"/>
      </w:pPr>
      <w:r>
        <w:t>10.2 Security by layer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016"/>
            <w:vAlign w:val="center"/>
            <w:shd w:fill="1F4E79"/>
          </w:tcPr>
          <w:p>
            <w:pPr>
              <w:spacing w:after="0" w:before="0"/>
            </w:pPr>
            <w:r/>
            <w:r>
              <w:rPr>
                <w:rFonts w:ascii="Arial" w:hAnsi="Arial"/>
                <w:b/>
                <w:color w:val="FFFFFF"/>
                <w:sz w:val="20"/>
              </w:rPr>
              <w:t>Layer</w:t>
            </w:r>
          </w:p>
        </w:tc>
        <w:tc>
          <w:tcPr>
            <w:tcW w:type="dxa" w:w="2880"/>
            <w:vAlign w:val="center"/>
            <w:shd w:fill="1F4E79"/>
          </w:tcPr>
          <w:p>
            <w:pPr>
              <w:spacing w:after="0" w:before="0"/>
            </w:pPr>
            <w:r/>
            <w:r>
              <w:rPr>
                <w:rFonts w:ascii="Arial" w:hAnsi="Arial"/>
                <w:b/>
                <w:color w:val="FFFFFF"/>
                <w:sz w:val="20"/>
              </w:rPr>
              <w:t>Primary risks</w:t>
            </w:r>
          </w:p>
        </w:tc>
        <w:tc>
          <w:tcPr>
            <w:tcW w:type="dxa" w:w="2880"/>
            <w:vAlign w:val="center"/>
            <w:shd w:fill="1F4E79"/>
          </w:tcPr>
          <w:p>
            <w:pPr>
              <w:spacing w:after="0" w:before="0"/>
            </w:pPr>
            <w:r/>
            <w:r>
              <w:rPr>
                <w:rFonts w:ascii="Arial" w:hAnsi="Arial"/>
                <w:b/>
                <w:color w:val="FFFFFF"/>
                <w:sz w:val="20"/>
              </w:rPr>
              <w:t>Control examples</w:t>
            </w:r>
          </w:p>
        </w:tc>
        <w:tc>
          <w:tcPr>
            <w:tcW w:type="dxa" w:w="2304"/>
            <w:vAlign w:val="center"/>
            <w:shd w:fill="1F4E79"/>
          </w:tcPr>
          <w:p>
            <w:pPr>
              <w:spacing w:after="0" w:before="0"/>
            </w:pPr>
            <w:r/>
            <w:r>
              <w:rPr>
                <w:rFonts w:ascii="Arial" w:hAnsi="Arial"/>
                <w:b/>
                <w:color w:val="FFFFFF"/>
                <w:sz w:val="20"/>
              </w:rPr>
              <w:t>Owner</w:t>
            </w:r>
          </w:p>
        </w:tc>
      </w:tr>
      <w:tr>
        <w:tc>
          <w:tcPr>
            <w:tcW w:type="dxa" w:w="2484"/>
            <w:vAlign w:val="center"/>
          </w:tcPr>
          <w:p>
            <w:pPr>
              <w:spacing w:after="0" w:before="0"/>
            </w:pPr>
            <w:r/>
            <w:r>
              <w:rPr>
                <w:rFonts w:ascii="Arial" w:hAnsi="Arial"/>
                <w:b w:val="0"/>
                <w:color w:val="000000"/>
                <w:sz w:val="18"/>
              </w:rPr>
              <w:t>Application</w:t>
            </w:r>
          </w:p>
        </w:tc>
        <w:tc>
          <w:tcPr>
            <w:tcW w:type="dxa" w:w="2484"/>
            <w:vAlign w:val="center"/>
          </w:tcPr>
          <w:p>
            <w:pPr>
              <w:spacing w:after="0" w:before="0"/>
            </w:pPr>
            <w:r/>
            <w:r>
              <w:rPr>
                <w:rFonts w:ascii="Arial" w:hAnsi="Arial"/>
                <w:b w:val="0"/>
                <w:color w:val="000000"/>
                <w:sz w:val="18"/>
              </w:rPr>
              <w:t>Injection, authz failures, logic abuse</w:t>
            </w:r>
          </w:p>
        </w:tc>
        <w:tc>
          <w:tcPr>
            <w:tcW w:type="dxa" w:w="2484"/>
            <w:vAlign w:val="center"/>
          </w:tcPr>
          <w:p>
            <w:pPr>
              <w:spacing w:after="0" w:before="0"/>
            </w:pPr>
            <w:r/>
            <w:r>
              <w:rPr>
                <w:rFonts w:ascii="Arial" w:hAnsi="Arial"/>
                <w:b w:val="0"/>
                <w:color w:val="000000"/>
                <w:sz w:val="18"/>
              </w:rPr>
              <w:t>Validation, parameterization, ASVS checks, negative tests</w:t>
            </w:r>
          </w:p>
        </w:tc>
        <w:tc>
          <w:tcPr>
            <w:tcW w:type="dxa" w:w="2484"/>
            <w:vAlign w:val="center"/>
          </w:tcPr>
          <w:p>
            <w:pPr>
              <w:spacing w:after="0" w:before="0"/>
            </w:pPr>
            <w:r/>
            <w:r>
              <w:rPr>
                <w:rFonts w:ascii="Arial" w:hAnsi="Arial"/>
                <w:b w:val="0"/>
                <w:color w:val="000000"/>
                <w:sz w:val="18"/>
              </w:rPr>
              <w:t>App team</w:t>
            </w:r>
          </w:p>
        </w:tc>
      </w:tr>
      <w:tr>
        <w:tc>
          <w:tcPr>
            <w:tcW w:type="dxa" w:w="2484"/>
            <w:vAlign w:val="center"/>
          </w:tcPr>
          <w:p>
            <w:pPr>
              <w:spacing w:after="0" w:before="0"/>
            </w:pPr>
            <w:r/>
            <w:r>
              <w:rPr>
                <w:rFonts w:ascii="Arial" w:hAnsi="Arial"/>
                <w:b w:val="0"/>
                <w:color w:val="000000"/>
                <w:sz w:val="18"/>
              </w:rPr>
              <w:t>Dependencies</w:t>
            </w:r>
          </w:p>
        </w:tc>
        <w:tc>
          <w:tcPr>
            <w:tcW w:type="dxa" w:w="2484"/>
            <w:vAlign w:val="center"/>
          </w:tcPr>
          <w:p>
            <w:pPr>
              <w:spacing w:after="0" w:before="0"/>
            </w:pPr>
            <w:r/>
            <w:r>
              <w:rPr>
                <w:rFonts w:ascii="Arial" w:hAnsi="Arial"/>
                <w:b w:val="0"/>
                <w:color w:val="000000"/>
                <w:sz w:val="18"/>
              </w:rPr>
              <w:t>Vulnerable libraries, malicious updates</w:t>
            </w:r>
          </w:p>
        </w:tc>
        <w:tc>
          <w:tcPr>
            <w:tcW w:type="dxa" w:w="2484"/>
            <w:vAlign w:val="center"/>
          </w:tcPr>
          <w:p>
            <w:pPr>
              <w:spacing w:after="0" w:before="0"/>
            </w:pPr>
            <w:r/>
            <w:r>
              <w:rPr>
                <w:rFonts w:ascii="Arial" w:hAnsi="Arial"/>
                <w:b w:val="0"/>
                <w:color w:val="000000"/>
                <w:sz w:val="18"/>
              </w:rPr>
              <w:t>SCA, lockfiles, SBOM, review, update cadence</w:t>
            </w:r>
          </w:p>
        </w:tc>
        <w:tc>
          <w:tcPr>
            <w:tcW w:type="dxa" w:w="2484"/>
            <w:vAlign w:val="center"/>
          </w:tcPr>
          <w:p>
            <w:pPr>
              <w:spacing w:after="0" w:before="0"/>
            </w:pPr>
            <w:r/>
            <w:r>
              <w:rPr>
                <w:rFonts w:ascii="Arial" w:hAnsi="Arial"/>
                <w:b w:val="0"/>
                <w:color w:val="000000"/>
                <w:sz w:val="18"/>
              </w:rPr>
              <w:t>App + platform</w:t>
            </w:r>
          </w:p>
        </w:tc>
      </w:tr>
      <w:tr>
        <w:tc>
          <w:tcPr>
            <w:tcW w:type="dxa" w:w="2484"/>
            <w:vAlign w:val="center"/>
          </w:tcPr>
          <w:p>
            <w:pPr>
              <w:spacing w:after="0" w:before="0"/>
            </w:pPr>
            <w:r/>
            <w:r>
              <w:rPr>
                <w:rFonts w:ascii="Arial" w:hAnsi="Arial"/>
                <w:b w:val="0"/>
                <w:color w:val="000000"/>
                <w:sz w:val="18"/>
              </w:rPr>
              <w:t>Pipeline</w:t>
            </w:r>
          </w:p>
        </w:tc>
        <w:tc>
          <w:tcPr>
            <w:tcW w:type="dxa" w:w="2484"/>
            <w:vAlign w:val="center"/>
          </w:tcPr>
          <w:p>
            <w:pPr>
              <w:spacing w:after="0" w:before="0"/>
            </w:pPr>
            <w:r/>
            <w:r>
              <w:rPr>
                <w:rFonts w:ascii="Arial" w:hAnsi="Arial"/>
                <w:b w:val="0"/>
                <w:color w:val="000000"/>
                <w:sz w:val="18"/>
              </w:rPr>
              <w:t>Tampered builds, over-privileged runners</w:t>
            </w:r>
          </w:p>
        </w:tc>
        <w:tc>
          <w:tcPr>
            <w:tcW w:type="dxa" w:w="2484"/>
            <w:vAlign w:val="center"/>
          </w:tcPr>
          <w:p>
            <w:pPr>
              <w:spacing w:after="0" w:before="0"/>
            </w:pPr>
            <w:r/>
            <w:r>
              <w:rPr>
                <w:rFonts w:ascii="Arial" w:hAnsi="Arial"/>
                <w:b w:val="0"/>
                <w:color w:val="000000"/>
                <w:sz w:val="18"/>
              </w:rPr>
              <w:t>Pinned actions, least privilege, OIDC, attestations</w:t>
            </w:r>
          </w:p>
        </w:tc>
        <w:tc>
          <w:tcPr>
            <w:tcW w:type="dxa" w:w="2484"/>
            <w:vAlign w:val="center"/>
          </w:tcPr>
          <w:p>
            <w:pPr>
              <w:spacing w:after="0" w:before="0"/>
            </w:pPr>
            <w:r/>
            <w:r>
              <w:rPr>
                <w:rFonts w:ascii="Arial" w:hAnsi="Arial"/>
                <w:b w:val="0"/>
                <w:color w:val="000000"/>
                <w:sz w:val="18"/>
              </w:rPr>
              <w:t>Platform</w:t>
            </w:r>
          </w:p>
        </w:tc>
      </w:tr>
      <w:tr>
        <w:tc>
          <w:tcPr>
            <w:tcW w:type="dxa" w:w="2484"/>
            <w:vAlign w:val="center"/>
          </w:tcPr>
          <w:p>
            <w:pPr>
              <w:spacing w:after="0" w:before="0"/>
            </w:pPr>
            <w:r/>
            <w:r>
              <w:rPr>
                <w:rFonts w:ascii="Arial" w:hAnsi="Arial"/>
                <w:b w:val="0"/>
                <w:color w:val="000000"/>
                <w:sz w:val="18"/>
              </w:rPr>
              <w:t>Runtime</w:t>
            </w:r>
          </w:p>
        </w:tc>
        <w:tc>
          <w:tcPr>
            <w:tcW w:type="dxa" w:w="2484"/>
            <w:vAlign w:val="center"/>
          </w:tcPr>
          <w:p>
            <w:pPr>
              <w:spacing w:after="0" w:before="0"/>
            </w:pPr>
            <w:r/>
            <w:r>
              <w:rPr>
                <w:rFonts w:ascii="Arial" w:hAnsi="Arial"/>
                <w:b w:val="0"/>
                <w:color w:val="000000"/>
                <w:sz w:val="18"/>
              </w:rPr>
              <w:t>Drift, exposed secrets, insecure config</w:t>
            </w:r>
          </w:p>
        </w:tc>
        <w:tc>
          <w:tcPr>
            <w:tcW w:type="dxa" w:w="2484"/>
            <w:vAlign w:val="center"/>
          </w:tcPr>
          <w:p>
            <w:pPr>
              <w:spacing w:after="0" w:before="0"/>
            </w:pPr>
            <w:r/>
            <w:r>
              <w:rPr>
                <w:rFonts w:ascii="Arial" w:hAnsi="Arial"/>
                <w:b w:val="0"/>
                <w:color w:val="000000"/>
                <w:sz w:val="18"/>
              </w:rPr>
              <w:t>Policy enforcement, secret managers, audit logs, alerts</w:t>
            </w:r>
          </w:p>
        </w:tc>
        <w:tc>
          <w:tcPr>
            <w:tcW w:type="dxa" w:w="2484"/>
            <w:vAlign w:val="center"/>
          </w:tcPr>
          <w:p>
            <w:pPr>
              <w:spacing w:after="0" w:before="0"/>
            </w:pPr>
            <w:r/>
            <w:r>
              <w:rPr>
                <w:rFonts w:ascii="Arial" w:hAnsi="Arial"/>
                <w:b w:val="0"/>
                <w:color w:val="000000"/>
                <w:sz w:val="18"/>
              </w:rPr>
              <w:t>Platform + ops</w:t>
            </w:r>
          </w:p>
        </w:tc>
      </w:tr>
    </w:tbl>
    <w:p>
      <w:pPr>
        <w:pStyle w:val="Heading2"/>
        <w:keepNext/>
        <w:spacing w:before="160" w:after="80"/>
      </w:pPr>
      <w:r>
        <w:t>10.3 Supply chain checklist</w:t>
      </w:r>
    </w:p>
    <w:p>
      <w:pPr>
        <w:pStyle w:val="ListBullet"/>
        <w:spacing w:after="80"/>
        <w:ind w:left="360"/>
      </w:pPr>
      <w:r>
        <w:rPr>
          <w:rFonts w:ascii="Arial" w:hAnsi="Arial"/>
          <w:b w:val="0"/>
          <w:i w:val="0"/>
          <w:color w:val="000000"/>
          <w:sz w:val="21"/>
        </w:rPr>
        <w:t>Generate an SBOM for each release candidate and attach it to the artifact or release record.</w:t>
      </w:r>
    </w:p>
    <w:p>
      <w:pPr>
        <w:pStyle w:val="ListBullet"/>
        <w:spacing w:after="80"/>
        <w:ind w:left="360"/>
      </w:pPr>
      <w:r>
        <w:rPr>
          <w:rFonts w:ascii="Arial" w:hAnsi="Arial"/>
          <w:b w:val="0"/>
          <w:i w:val="0"/>
          <w:color w:val="000000"/>
          <w:sz w:val="21"/>
        </w:rPr>
        <w:t>Create artifact attestations for build provenance and verify them at deploy or admission time.</w:t>
      </w:r>
    </w:p>
    <w:p>
      <w:pPr>
        <w:pStyle w:val="ListBullet"/>
        <w:spacing w:after="80"/>
        <w:ind w:left="360"/>
      </w:pPr>
      <w:r>
        <w:rPr>
          <w:rFonts w:ascii="Arial" w:hAnsi="Arial"/>
          <w:b w:val="0"/>
          <w:i w:val="0"/>
          <w:color w:val="000000"/>
          <w:sz w:val="21"/>
        </w:rPr>
        <w:t>Limit workflow tokens to the minimum required permissions and isolate secrets behind environments.</w:t>
      </w:r>
    </w:p>
    <w:p>
      <w:pPr>
        <w:pStyle w:val="ListBullet"/>
        <w:spacing w:after="80"/>
        <w:ind w:left="360"/>
      </w:pPr>
      <w:r>
        <w:rPr>
          <w:rFonts w:ascii="Arial" w:hAnsi="Arial"/>
          <w:b w:val="0"/>
          <w:i w:val="0"/>
          <w:color w:val="000000"/>
          <w:sz w:val="21"/>
        </w:rPr>
        <w:t>Track both package dependencies and GitHub Action dependencies in dependency review.</w:t>
      </w:r>
    </w:p>
    <w:p>
      <w:pPr>
        <w:pStyle w:val="ListBullet"/>
        <w:spacing w:after="80"/>
        <w:ind w:left="360"/>
      </w:pPr>
      <w:r>
        <w:rPr>
          <w:rFonts w:ascii="Arial" w:hAnsi="Arial"/>
          <w:b w:val="0"/>
          <w:i w:val="0"/>
          <w:color w:val="000000"/>
          <w:sz w:val="21"/>
        </w:rPr>
        <w:t>Review and update third-party actions through a controlled allowlist process.</w:t>
      </w:r>
    </w:p>
    <w:p>
      <w:pPr>
        <w:pStyle w:val="Heading1"/>
        <w:keepNext/>
        <w:spacing w:before="240" w:after="80"/>
      </w:pPr>
      <w:r>
        <w:t>11. Performance engineering blueprint</w:t>
      </w:r>
    </w:p>
    <w:p>
      <w:pPr>
        <w:spacing w:after="140" w:line="240" w:lineRule="auto"/>
      </w:pPr>
      <w:r>
        <w:rPr>
          <w:rFonts w:ascii="Arial" w:hAnsi="Arial"/>
          <w:b w:val="0"/>
          <w:i w:val="0"/>
          <w:color w:val="000000"/>
          <w:sz w:val="21"/>
        </w:rPr>
        <w:t>High performance should be engineered through budgets, instrumentation, and regression gates, not by occasional heroics shortly before launch. Performance work must include backend latency, database efficiency, cache discipline, concurrency behavior, and browser experience.</w:t>
      </w:r>
    </w:p>
    <w:p>
      <w:pPr>
        <w:pStyle w:val="Heading2"/>
        <w:keepNext/>
        <w:spacing w:before="160" w:after="80"/>
      </w:pPr>
      <w:r>
        <w:t>11.1 Performance operating model</w:t>
      </w:r>
    </w:p>
    <w:p>
      <w:pPr>
        <w:pStyle w:val="ListBullet"/>
        <w:spacing w:after="80"/>
        <w:ind w:left="360"/>
      </w:pPr>
      <w:r>
        <w:rPr>
          <w:rFonts w:ascii="Arial" w:hAnsi="Arial"/>
          <w:b w:val="0"/>
          <w:i w:val="0"/>
          <w:color w:val="000000"/>
          <w:sz w:val="21"/>
        </w:rPr>
        <w:t>Define service-level objectives and performance budgets early. Treat them as release criteria.</w:t>
      </w:r>
    </w:p>
    <w:p>
      <w:pPr>
        <w:pStyle w:val="ListBullet"/>
        <w:spacing w:after="80"/>
        <w:ind w:left="360"/>
      </w:pPr>
      <w:r>
        <w:rPr>
          <w:rFonts w:ascii="Arial" w:hAnsi="Arial"/>
          <w:b w:val="0"/>
          <w:i w:val="0"/>
          <w:color w:val="000000"/>
          <w:sz w:val="21"/>
        </w:rPr>
        <w:t>Measure p50, p95, and p99 latency for critical operations and compare by build and release.</w:t>
      </w:r>
    </w:p>
    <w:p>
      <w:pPr>
        <w:pStyle w:val="ListBullet"/>
        <w:spacing w:after="80"/>
        <w:ind w:left="360"/>
      </w:pPr>
      <w:r>
        <w:rPr>
          <w:rFonts w:ascii="Arial" w:hAnsi="Arial"/>
          <w:b w:val="0"/>
          <w:i w:val="0"/>
          <w:color w:val="000000"/>
          <w:sz w:val="21"/>
        </w:rPr>
        <w:t>Profile before optimizing. The largest wins often come from hot queries, serialization overhead, remote call fan-out, and chatty client behavior.</w:t>
      </w:r>
    </w:p>
    <w:p>
      <w:pPr>
        <w:pStyle w:val="ListBullet"/>
        <w:spacing w:after="80"/>
        <w:ind w:left="360"/>
      </w:pPr>
      <w:r>
        <w:rPr>
          <w:rFonts w:ascii="Arial" w:hAnsi="Arial"/>
          <w:b w:val="0"/>
          <w:i w:val="0"/>
          <w:color w:val="000000"/>
          <w:sz w:val="21"/>
        </w:rPr>
        <w:t>Run load tests against realistic traffic mixes, data sizes, and concurrency profiles.</w:t>
      </w:r>
    </w:p>
    <w:p>
      <w:pPr>
        <w:pStyle w:val="ListBullet"/>
        <w:spacing w:after="80"/>
        <w:ind w:left="360"/>
      </w:pPr>
      <w:r>
        <w:rPr>
          <w:rFonts w:ascii="Arial" w:hAnsi="Arial"/>
          <w:b w:val="0"/>
          <w:i w:val="0"/>
          <w:color w:val="000000"/>
          <w:sz w:val="21"/>
        </w:rPr>
        <w:t>Add regression alarms when a new build exceeds approved budgets by a configured margin.</w:t>
      </w:r>
    </w:p>
    <w:p>
      <w:pPr>
        <w:pStyle w:val="Heading2"/>
        <w:keepNext/>
        <w:spacing w:before="160" w:after="80"/>
      </w:pPr>
      <w:r>
        <w:t>11.2 Recommended performance checklist</w:t>
      </w:r>
    </w:p>
    <w:p>
      <w:pPr>
        <w:pStyle w:val="ListBullet"/>
        <w:spacing w:after="80"/>
        <w:ind w:left="360"/>
      </w:pPr>
      <w:r>
        <w:rPr>
          <w:rFonts w:ascii="Arial" w:hAnsi="Arial"/>
          <w:b w:val="0"/>
          <w:i w:val="0"/>
          <w:color w:val="000000"/>
          <w:sz w:val="21"/>
        </w:rPr>
        <w:t>Database: indexes validated, query plans reviewed, N+1 patterns eliminated, migrations benchmarked.</w:t>
      </w:r>
    </w:p>
    <w:p>
      <w:pPr>
        <w:pStyle w:val="ListBullet"/>
        <w:spacing w:after="80"/>
        <w:ind w:left="360"/>
      </w:pPr>
      <w:r>
        <w:rPr>
          <w:rFonts w:ascii="Arial" w:hAnsi="Arial"/>
          <w:b w:val="0"/>
          <w:i w:val="0"/>
          <w:color w:val="000000"/>
          <w:sz w:val="21"/>
        </w:rPr>
        <w:t>API tier: timeouts defined, connection pools tuned, payload sizes constrained, compression chosen carefully.</w:t>
      </w:r>
    </w:p>
    <w:p>
      <w:pPr>
        <w:pStyle w:val="ListBullet"/>
        <w:spacing w:after="80"/>
        <w:ind w:left="360"/>
      </w:pPr>
      <w:r>
        <w:rPr>
          <w:rFonts w:ascii="Arial" w:hAnsi="Arial"/>
          <w:b w:val="0"/>
          <w:i w:val="0"/>
          <w:color w:val="000000"/>
          <w:sz w:val="21"/>
        </w:rPr>
        <w:t>Caching: cache keys versioned, TTLs explicit, stampede risk addressed, stale data behavior documented.</w:t>
      </w:r>
    </w:p>
    <w:p>
      <w:pPr>
        <w:pStyle w:val="ListBullet"/>
        <w:spacing w:after="80"/>
        <w:ind w:left="360"/>
      </w:pPr>
      <w:r>
        <w:rPr>
          <w:rFonts w:ascii="Arial" w:hAnsi="Arial"/>
          <w:b w:val="0"/>
          <w:i w:val="0"/>
          <w:color w:val="000000"/>
          <w:sz w:val="21"/>
        </w:rPr>
        <w:t>Front end: critical rendering path minimized, static assets compressed and cached, expensive scripts deferred or removed.</w:t>
      </w:r>
    </w:p>
    <w:p>
      <w:pPr>
        <w:pStyle w:val="ListBullet"/>
        <w:spacing w:after="80"/>
        <w:ind w:left="360"/>
      </w:pPr>
      <w:r>
        <w:rPr>
          <w:rFonts w:ascii="Arial" w:hAnsi="Arial"/>
          <w:b w:val="0"/>
          <w:i w:val="0"/>
          <w:color w:val="000000"/>
          <w:sz w:val="21"/>
        </w:rPr>
        <w:t>Jobs and workers: queue backpressure, retry cost, throughput ceilings, and idempotency behavior tested.</w:t>
      </w:r>
    </w:p>
    <w:p>
      <w:pPr>
        <w:pStyle w:val="Heading2"/>
        <w:keepNext/>
        <w:spacing w:before="160" w:after="80"/>
      </w:pPr>
      <w:r>
        <w:t>11.3 Example starting budgets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vAlign w:val="center"/>
            <w:shd w:fill="2F5597"/>
          </w:tcPr>
          <w:p>
            <w:pPr>
              <w:spacing w:after="0" w:before="0"/>
            </w:pPr>
            <w:r/>
            <w:r>
              <w:rPr>
                <w:rFonts w:ascii="Arial" w:hAnsi="Arial"/>
                <w:b/>
                <w:color w:val="FFFFFF"/>
                <w:sz w:val="20"/>
              </w:rPr>
              <w:t>Flow</w:t>
            </w:r>
          </w:p>
        </w:tc>
        <w:tc>
          <w:tcPr>
            <w:tcW w:type="dxa" w:w="3312"/>
            <w:vAlign w:val="center"/>
            <w:shd w:fill="2F5597"/>
          </w:tcPr>
          <w:p>
            <w:pPr>
              <w:spacing w:after="0" w:before="0"/>
            </w:pPr>
            <w:r/>
            <w:r>
              <w:rPr>
                <w:rFonts w:ascii="Arial" w:hAnsi="Arial"/>
                <w:b/>
                <w:color w:val="FFFFFF"/>
                <w:sz w:val="20"/>
              </w:rPr>
              <w:t>Example budget</w:t>
            </w:r>
          </w:p>
        </w:tc>
        <w:tc>
          <w:tcPr>
            <w:tcW w:type="dxa" w:w="3600"/>
            <w:vAlign w:val="center"/>
            <w:shd w:fill="2F5597"/>
          </w:tcPr>
          <w:p>
            <w:pPr>
              <w:spacing w:after="0" w:before="0"/>
            </w:pPr>
            <w:r/>
            <w:r>
              <w:rPr>
                <w:rFonts w:ascii="Arial" w:hAnsi="Arial"/>
                <w:b/>
                <w:color w:val="FFFFFF"/>
                <w:sz w:val="20"/>
              </w:rPr>
              <w:t>Measurement</w:t>
            </w:r>
          </w:p>
        </w:tc>
      </w:tr>
      <w:tr>
        <w:tc>
          <w:tcPr>
            <w:tcW w:type="dxa" w:w="3312"/>
            <w:vAlign w:val="center"/>
          </w:tcPr>
          <w:p>
            <w:pPr>
              <w:spacing w:after="0" w:before="0"/>
            </w:pPr>
            <w:r/>
            <w:r>
              <w:rPr>
                <w:rFonts w:ascii="Arial" w:hAnsi="Arial"/>
                <w:b w:val="0"/>
                <w:color w:val="000000"/>
                <w:sz w:val="18"/>
              </w:rPr>
              <w:t>Synchronous API read</w:t>
            </w:r>
          </w:p>
        </w:tc>
        <w:tc>
          <w:tcPr>
            <w:tcW w:type="dxa" w:w="3312"/>
            <w:vAlign w:val="center"/>
          </w:tcPr>
          <w:p>
            <w:pPr>
              <w:spacing w:after="0" w:before="0"/>
            </w:pPr>
            <w:r/>
            <w:r>
              <w:rPr>
                <w:rFonts w:ascii="Arial" w:hAnsi="Arial"/>
                <w:b w:val="0"/>
                <w:color w:val="000000"/>
                <w:sz w:val="18"/>
              </w:rPr>
              <w:t>p95 under 300 ms in normal load</w:t>
            </w:r>
          </w:p>
        </w:tc>
        <w:tc>
          <w:tcPr>
            <w:tcW w:type="dxa" w:w="3312"/>
            <w:vAlign w:val="center"/>
          </w:tcPr>
          <w:p>
            <w:pPr>
              <w:spacing w:after="0" w:before="0"/>
            </w:pPr>
            <w:r/>
            <w:r>
              <w:rPr>
                <w:rFonts w:ascii="Arial" w:hAnsi="Arial"/>
                <w:b w:val="0"/>
                <w:color w:val="000000"/>
                <w:sz w:val="18"/>
              </w:rPr>
              <w:t>APM traces plus synthetic checks</w:t>
            </w:r>
          </w:p>
        </w:tc>
      </w:tr>
      <w:tr>
        <w:tc>
          <w:tcPr>
            <w:tcW w:type="dxa" w:w="3312"/>
            <w:vAlign w:val="center"/>
          </w:tcPr>
          <w:p>
            <w:pPr>
              <w:spacing w:after="0" w:before="0"/>
            </w:pPr>
            <w:r/>
            <w:r>
              <w:rPr>
                <w:rFonts w:ascii="Arial" w:hAnsi="Arial"/>
                <w:b w:val="0"/>
                <w:color w:val="000000"/>
                <w:sz w:val="18"/>
              </w:rPr>
              <w:t>Critical page navigation</w:t>
            </w:r>
          </w:p>
        </w:tc>
        <w:tc>
          <w:tcPr>
            <w:tcW w:type="dxa" w:w="3312"/>
            <w:vAlign w:val="center"/>
          </w:tcPr>
          <w:p>
            <w:pPr>
              <w:spacing w:after="0" w:before="0"/>
            </w:pPr>
            <w:r/>
            <w:r>
              <w:rPr>
                <w:rFonts w:ascii="Arial" w:hAnsi="Arial"/>
                <w:b w:val="0"/>
                <w:color w:val="000000"/>
                <w:sz w:val="18"/>
              </w:rPr>
              <w:t>p95 under 2.5 s in realistic browser conditions</w:t>
            </w:r>
          </w:p>
        </w:tc>
        <w:tc>
          <w:tcPr>
            <w:tcW w:type="dxa" w:w="3312"/>
            <w:vAlign w:val="center"/>
          </w:tcPr>
          <w:p>
            <w:pPr>
              <w:spacing w:after="0" w:before="0"/>
            </w:pPr>
            <w:r/>
            <w:r>
              <w:rPr>
                <w:rFonts w:ascii="Arial" w:hAnsi="Arial"/>
                <w:b w:val="0"/>
                <w:color w:val="000000"/>
                <w:sz w:val="18"/>
              </w:rPr>
              <w:t>browser telemetry plus Playwright timing</w:t>
            </w:r>
          </w:p>
        </w:tc>
      </w:tr>
      <w:tr>
        <w:tc>
          <w:tcPr>
            <w:tcW w:type="dxa" w:w="3312"/>
            <w:vAlign w:val="center"/>
          </w:tcPr>
          <w:p>
            <w:pPr>
              <w:spacing w:after="0" w:before="0"/>
            </w:pPr>
            <w:r/>
            <w:r>
              <w:rPr>
                <w:rFonts w:ascii="Arial" w:hAnsi="Arial"/>
                <w:b w:val="0"/>
                <w:color w:val="000000"/>
                <w:sz w:val="18"/>
              </w:rPr>
              <w:t>Background job completion</w:t>
            </w:r>
          </w:p>
        </w:tc>
        <w:tc>
          <w:tcPr>
            <w:tcW w:type="dxa" w:w="3312"/>
            <w:vAlign w:val="center"/>
          </w:tcPr>
          <w:p>
            <w:pPr>
              <w:spacing w:after="0" w:before="0"/>
            </w:pPr>
            <w:r/>
            <w:r>
              <w:rPr>
                <w:rFonts w:ascii="Arial" w:hAnsi="Arial"/>
                <w:b w:val="0"/>
                <w:color w:val="000000"/>
                <w:sz w:val="18"/>
              </w:rPr>
              <w:t>95% within agreed SLA window</w:t>
            </w:r>
          </w:p>
        </w:tc>
        <w:tc>
          <w:tcPr>
            <w:tcW w:type="dxa" w:w="3312"/>
            <w:vAlign w:val="center"/>
          </w:tcPr>
          <w:p>
            <w:pPr>
              <w:spacing w:after="0" w:before="0"/>
            </w:pPr>
            <w:r/>
            <w:r>
              <w:rPr>
                <w:rFonts w:ascii="Arial" w:hAnsi="Arial"/>
                <w:b w:val="0"/>
                <w:color w:val="000000"/>
                <w:sz w:val="18"/>
              </w:rPr>
              <w:t>queue metrics and job events</w:t>
            </w:r>
          </w:p>
        </w:tc>
      </w:tr>
      <w:tr>
        <w:tc>
          <w:tcPr>
            <w:tcW w:type="dxa" w:w="3312"/>
            <w:vAlign w:val="center"/>
          </w:tcPr>
          <w:p>
            <w:pPr>
              <w:spacing w:after="0" w:before="0"/>
            </w:pPr>
            <w:r/>
            <w:r>
              <w:rPr>
                <w:rFonts w:ascii="Arial" w:hAnsi="Arial"/>
                <w:b w:val="0"/>
                <w:color w:val="000000"/>
                <w:sz w:val="18"/>
              </w:rPr>
              <w:t>Release smoke test</w:t>
            </w:r>
          </w:p>
        </w:tc>
        <w:tc>
          <w:tcPr>
            <w:tcW w:type="dxa" w:w="3312"/>
            <w:vAlign w:val="center"/>
          </w:tcPr>
          <w:p>
            <w:pPr>
              <w:spacing w:after="0" w:before="0"/>
            </w:pPr>
            <w:r/>
            <w:r>
              <w:rPr>
                <w:rFonts w:ascii="Arial" w:hAnsi="Arial"/>
                <w:b w:val="0"/>
                <w:color w:val="000000"/>
                <w:sz w:val="18"/>
              </w:rPr>
              <w:t>All critical smoke flows under fixed threshold</w:t>
            </w:r>
          </w:p>
        </w:tc>
        <w:tc>
          <w:tcPr>
            <w:tcW w:type="dxa" w:w="3312"/>
            <w:vAlign w:val="center"/>
          </w:tcPr>
          <w:p>
            <w:pPr>
              <w:spacing w:after="0" w:before="0"/>
            </w:pPr>
            <w:r/>
            <w:r>
              <w:rPr>
                <w:rFonts w:ascii="Arial" w:hAnsi="Arial"/>
                <w:b w:val="0"/>
                <w:color w:val="000000"/>
                <w:sz w:val="18"/>
              </w:rPr>
              <w:t>deployment verification report</w:t>
            </w:r>
          </w:p>
        </w:tc>
      </w:tr>
    </w:tbl>
    <w:tbl>
      <w:tblPr>
        <w:tblW w:type="auto" w:w="0"/>
        <w:jc w:val="center"/>
        <w:tblLayout w:type="fixed"/>
        <w:tblLook w:firstColumn="1" w:firstRow="1" w:lastColumn="0" w:lastRow="0" w:noHBand="0" w:noVBand="1" w:val="04A0"/>
      </w:tblPr>
      <w:tblGrid>
        <w:gridCol w:w="9936"/>
      </w:tblGrid>
      <w:tr>
        <w:tc>
          <w:tcPr>
            <w:tcW w:type="dxa" w:w="9792"/>
            <w:shd w:fill="EEF4FB"/>
            <w:vAlign w:val="center"/>
          </w:tcPr>
          <w:p>
            <w:pPr>
              <w:spacing w:after="40"/>
            </w:pPr>
            <w:r>
              <w:rPr>
                <w:rFonts w:ascii="Arial" w:hAnsi="Arial"/>
                <w:b/>
                <w:i w:val="0"/>
                <w:color w:val="1F4E79"/>
                <w:sz w:val="21"/>
              </w:rPr>
              <w:t>Performance caution</w:t>
            </w:r>
          </w:p>
          <w:p>
            <w:pPr>
              <w:spacing w:after="0"/>
            </w:pPr>
            <w:r>
              <w:rPr>
                <w:rFonts w:ascii="Arial" w:hAnsi="Arial"/>
                <w:b w:val="0"/>
                <w:i w:val="0"/>
                <w:color w:val="000000"/>
                <w:sz w:val="19"/>
              </w:rPr>
              <w:t>Do not institutionalize unsafe shortcuts such as globally disabling logging, bypassing validation, or inflating timeouts to make performance dashboards look better. Sustainable performance comes from design and measurement.</w:t>
            </w:r>
          </w:p>
        </w:tc>
      </w:tr>
    </w:tbl>
    <w:p>
      <w:pPr>
        <w:spacing w:after="40"/>
      </w:pPr>
    </w:p>
    <w:p>
      <w:pPr>
        <w:pStyle w:val="Heading1"/>
        <w:keepNext/>
        <w:spacing w:before="240" w:after="80"/>
      </w:pPr>
      <w:r>
        <w:t>12. Release management, resiliency, and incident response</w:t>
      </w:r>
    </w:p>
    <w:p>
      <w:pPr>
        <w:spacing w:after="140" w:line="240" w:lineRule="auto"/>
      </w:pPr>
      <w:r>
        <w:rPr>
          <w:rFonts w:ascii="Arial" w:hAnsi="Arial"/>
          <w:b w:val="0"/>
          <w:i w:val="0"/>
          <w:color w:val="000000"/>
          <w:sz w:val="21"/>
        </w:rPr>
        <w:t>A release process is enterprise-grade when it can answer three questions immediately: what changed, what evidence says it is safe, and how quickly can we stop or reverse it if needed. Release design therefore includes deployment strategy, health verification, rollback, and post-release monitoring.</w:t>
      </w:r>
    </w:p>
    <w:p>
      <w:pPr>
        <w:pStyle w:val="ListBullet"/>
        <w:spacing w:after="80"/>
        <w:ind w:left="360"/>
      </w:pPr>
      <w:r>
        <w:rPr>
          <w:rFonts w:ascii="Arial" w:hAnsi="Arial"/>
          <w:b w:val="0"/>
          <w:i w:val="0"/>
          <w:color w:val="000000"/>
          <w:sz w:val="21"/>
        </w:rPr>
        <w:t>Use progressive delivery patterns such as canary, phased rollout, or blue/green where justified by risk.</w:t>
      </w:r>
    </w:p>
    <w:p>
      <w:pPr>
        <w:pStyle w:val="ListBullet"/>
        <w:spacing w:after="80"/>
        <w:ind w:left="360"/>
      </w:pPr>
      <w:r>
        <w:rPr>
          <w:rFonts w:ascii="Arial" w:hAnsi="Arial"/>
          <w:b w:val="0"/>
          <w:i w:val="0"/>
          <w:color w:val="000000"/>
          <w:sz w:val="21"/>
        </w:rPr>
        <w:t>Gate promotions on environment-specific health checks and smoke tests, not only build success.</w:t>
      </w:r>
    </w:p>
    <w:p>
      <w:pPr>
        <w:pStyle w:val="ListBullet"/>
        <w:spacing w:after="80"/>
        <w:ind w:left="360"/>
      </w:pPr>
      <w:r>
        <w:rPr>
          <w:rFonts w:ascii="Arial" w:hAnsi="Arial"/>
          <w:b w:val="0"/>
          <w:i w:val="0"/>
          <w:color w:val="000000"/>
          <w:sz w:val="21"/>
        </w:rPr>
        <w:t>Use feature flags for high-risk changes, but manage flags as governed configuration with owners and retirement dates.</w:t>
      </w:r>
    </w:p>
    <w:p>
      <w:pPr>
        <w:pStyle w:val="ListBullet"/>
        <w:spacing w:after="80"/>
        <w:ind w:left="360"/>
      </w:pPr>
      <w:r>
        <w:rPr>
          <w:rFonts w:ascii="Arial" w:hAnsi="Arial"/>
          <w:b w:val="0"/>
          <w:i w:val="0"/>
          <w:color w:val="000000"/>
          <w:sz w:val="21"/>
        </w:rPr>
        <w:t>Maintain runbooks for major failure modes, including dependency outages, certificate expiry, queue backlogs, and data migration issues.</w:t>
      </w:r>
    </w:p>
    <w:p>
      <w:pPr>
        <w:pStyle w:val="ListBullet"/>
        <w:spacing w:after="80"/>
        <w:ind w:left="360"/>
      </w:pPr>
      <w:r>
        <w:rPr>
          <w:rFonts w:ascii="Arial" w:hAnsi="Arial"/>
          <w:b w:val="0"/>
          <w:i w:val="0"/>
          <w:color w:val="000000"/>
          <w:sz w:val="21"/>
        </w:rPr>
        <w:t>Require blameless post-incident review with action tracking, architecture learning, and recurring-pattern analysis.</w:t>
      </w:r>
    </w:p>
    <w:p>
      <w:pPr>
        <w:pStyle w:val="Heading2"/>
        <w:keepNext/>
        <w:spacing w:before="160" w:after="80"/>
      </w:pPr>
      <w:r>
        <w:t>12.1 Automated rollback triggers</w:t>
      </w:r>
    </w:p>
    <w:p>
      <w:pPr>
        <w:pStyle w:val="ListBullet"/>
        <w:spacing w:after="80"/>
        <w:ind w:left="360"/>
      </w:pPr>
      <w:r>
        <w:rPr>
          <w:rFonts w:ascii="Arial" w:hAnsi="Arial"/>
          <w:b w:val="0"/>
          <w:i w:val="0"/>
          <w:color w:val="000000"/>
          <w:sz w:val="21"/>
        </w:rPr>
        <w:t>Sharp increase in critical error rate after deployment.</w:t>
      </w:r>
    </w:p>
    <w:p>
      <w:pPr>
        <w:pStyle w:val="ListBullet"/>
        <w:spacing w:after="80"/>
        <w:ind w:left="360"/>
      </w:pPr>
      <w:r>
        <w:rPr>
          <w:rFonts w:ascii="Arial" w:hAnsi="Arial"/>
          <w:b w:val="0"/>
          <w:i w:val="0"/>
          <w:color w:val="000000"/>
          <w:sz w:val="21"/>
        </w:rPr>
        <w:t>Budget breach on p95 or p99 latency for critical endpoints.</w:t>
      </w:r>
    </w:p>
    <w:p>
      <w:pPr>
        <w:pStyle w:val="ListBullet"/>
        <w:spacing w:after="80"/>
        <w:ind w:left="360"/>
      </w:pPr>
      <w:r>
        <w:rPr>
          <w:rFonts w:ascii="Arial" w:hAnsi="Arial"/>
          <w:b w:val="0"/>
          <w:i w:val="0"/>
          <w:color w:val="000000"/>
          <w:sz w:val="21"/>
        </w:rPr>
        <w:t>Authentication or authorization failure spike.</w:t>
      </w:r>
    </w:p>
    <w:p>
      <w:pPr>
        <w:pStyle w:val="ListBullet"/>
        <w:spacing w:after="80"/>
        <w:ind w:left="360"/>
      </w:pPr>
      <w:r>
        <w:rPr>
          <w:rFonts w:ascii="Arial" w:hAnsi="Arial"/>
          <w:b w:val="0"/>
          <w:i w:val="0"/>
          <w:color w:val="000000"/>
          <w:sz w:val="21"/>
        </w:rPr>
        <w:t>Synthetic transaction failure on high-value user journeys.</w:t>
      </w:r>
    </w:p>
    <w:p>
      <w:pPr>
        <w:pStyle w:val="ListBullet"/>
        <w:spacing w:after="80"/>
        <w:ind w:left="360"/>
      </w:pPr>
      <w:r>
        <w:rPr>
          <w:rFonts w:ascii="Arial" w:hAnsi="Arial"/>
          <w:b w:val="0"/>
          <w:i w:val="0"/>
          <w:color w:val="000000"/>
          <w:sz w:val="21"/>
        </w:rPr>
        <w:t>Database migration verification failure or replication lag threshold breach.</w:t>
      </w:r>
    </w:p>
    <w:p>
      <w:pPr>
        <w:pStyle w:val="Heading1"/>
        <w:keepNext/>
        <w:spacing w:before="240" w:after="80"/>
      </w:pPr>
      <w:r>
        <w:t>13. Engineering metrics and scorecards</w:t>
      </w:r>
    </w:p>
    <w:p>
      <w:pPr>
        <w:spacing w:after="140" w:line="240" w:lineRule="auto"/>
      </w:pPr>
      <w:r>
        <w:rPr>
          <w:rFonts w:ascii="Arial" w:hAnsi="Arial"/>
          <w:b w:val="0"/>
          <w:i w:val="0"/>
          <w:color w:val="000000"/>
          <w:sz w:val="21"/>
        </w:rPr>
        <w:t>An enterprise blueprint becomes real only when teams are measured against it. The scorecard should encourage healthy engineering behavior rather than punish teams for confronting risk transparently.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448"/>
            <w:vAlign w:val="center"/>
            <w:shd w:fill="1F4E79"/>
          </w:tcPr>
          <w:p>
            <w:pPr>
              <w:spacing w:after="0" w:before="0"/>
            </w:pPr>
            <w:r/>
            <w:r>
              <w:rPr>
                <w:rFonts w:ascii="Arial" w:hAnsi="Arial"/>
                <w:b/>
                <w:color w:val="FFFFFF"/>
                <w:sz w:val="20"/>
              </w:rPr>
              <w:t>Metric</w:t>
            </w:r>
          </w:p>
        </w:tc>
        <w:tc>
          <w:tcPr>
            <w:tcW w:type="dxa" w:w="2592"/>
            <w:vAlign w:val="center"/>
            <w:shd w:fill="1F4E79"/>
          </w:tcPr>
          <w:p>
            <w:pPr>
              <w:spacing w:after="0" w:before="0"/>
            </w:pPr>
            <w:r/>
            <w:r>
              <w:rPr>
                <w:rFonts w:ascii="Arial" w:hAnsi="Arial"/>
                <w:b/>
                <w:color w:val="FFFFFF"/>
                <w:sz w:val="20"/>
              </w:rPr>
              <w:t>Why it matters</w:t>
            </w:r>
          </w:p>
        </w:tc>
        <w:tc>
          <w:tcPr>
            <w:tcW w:type="dxa" w:w="3024"/>
            <w:vAlign w:val="center"/>
            <w:shd w:fill="1F4E79"/>
          </w:tcPr>
          <w:p>
            <w:pPr>
              <w:spacing w:after="0" w:before="0"/>
            </w:pPr>
            <w:r/>
            <w:r>
              <w:rPr>
                <w:rFonts w:ascii="Arial" w:hAnsi="Arial"/>
                <w:b/>
                <w:color w:val="FFFFFF"/>
                <w:sz w:val="20"/>
              </w:rPr>
              <w:t>Example target</w:t>
            </w:r>
          </w:p>
        </w:tc>
        <w:tc>
          <w:tcPr>
            <w:tcW w:type="dxa" w:w="1872"/>
            <w:vAlign w:val="center"/>
            <w:shd w:fill="1F4E79"/>
          </w:tcPr>
          <w:p>
            <w:pPr>
              <w:spacing w:after="0" w:before="0"/>
            </w:pPr>
            <w:r/>
            <w:r>
              <w:rPr>
                <w:rFonts w:ascii="Arial" w:hAnsi="Arial"/>
                <w:b/>
                <w:color w:val="FFFFFF"/>
                <w:sz w:val="20"/>
              </w:rPr>
              <w:t>Cadence</w:t>
            </w:r>
          </w:p>
        </w:tc>
      </w:tr>
      <w:tr>
        <w:tc>
          <w:tcPr>
            <w:tcW w:type="dxa" w:w="2484"/>
            <w:vAlign w:val="center"/>
          </w:tcPr>
          <w:p>
            <w:pPr>
              <w:spacing w:after="0" w:before="0"/>
            </w:pPr>
            <w:r/>
            <w:r>
              <w:rPr>
                <w:rFonts w:ascii="Arial" w:hAnsi="Arial"/>
                <w:b w:val="0"/>
                <w:color w:val="000000"/>
                <w:sz w:val="18"/>
              </w:rPr>
              <w:t>Change failure rate</w:t>
            </w:r>
          </w:p>
        </w:tc>
        <w:tc>
          <w:tcPr>
            <w:tcW w:type="dxa" w:w="2484"/>
            <w:vAlign w:val="center"/>
          </w:tcPr>
          <w:p>
            <w:pPr>
              <w:spacing w:after="0" w:before="0"/>
            </w:pPr>
            <w:r/>
            <w:r>
              <w:rPr>
                <w:rFonts w:ascii="Arial" w:hAnsi="Arial"/>
                <w:b w:val="0"/>
                <w:color w:val="000000"/>
                <w:sz w:val="18"/>
              </w:rPr>
              <w:t>Measures release safety.</w:t>
            </w:r>
          </w:p>
        </w:tc>
        <w:tc>
          <w:tcPr>
            <w:tcW w:type="dxa" w:w="2484"/>
            <w:vAlign w:val="center"/>
          </w:tcPr>
          <w:p>
            <w:pPr>
              <w:spacing w:after="0" w:before="0"/>
            </w:pPr>
            <w:r/>
            <w:r>
              <w:rPr>
                <w:rFonts w:ascii="Arial" w:hAnsi="Arial"/>
                <w:b w:val="0"/>
                <w:color w:val="000000"/>
                <w:sz w:val="18"/>
              </w:rPr>
              <w:t>Downward trend; investigate every spike.</w:t>
            </w:r>
          </w:p>
        </w:tc>
        <w:tc>
          <w:tcPr>
            <w:tcW w:type="dxa" w:w="2484"/>
            <w:vAlign w:val="center"/>
          </w:tcPr>
          <w:p>
            <w:pPr>
              <w:spacing w:after="0" w:before="0"/>
            </w:pPr>
            <w:r/>
            <w:r>
              <w:rPr>
                <w:rFonts w:ascii="Arial" w:hAnsi="Arial"/>
                <w:b w:val="0"/>
                <w:color w:val="000000"/>
                <w:sz w:val="18"/>
              </w:rPr>
              <w:t>Weekly</w:t>
            </w:r>
          </w:p>
        </w:tc>
      </w:tr>
      <w:tr>
        <w:tc>
          <w:tcPr>
            <w:tcW w:type="dxa" w:w="2484"/>
            <w:vAlign w:val="center"/>
          </w:tcPr>
          <w:p>
            <w:pPr>
              <w:spacing w:after="0" w:before="0"/>
            </w:pPr>
            <w:r/>
            <w:r>
              <w:rPr>
                <w:rFonts w:ascii="Arial" w:hAnsi="Arial"/>
                <w:b w:val="0"/>
                <w:color w:val="000000"/>
                <w:sz w:val="18"/>
              </w:rPr>
              <w:t>Lead time for change</w:t>
            </w:r>
          </w:p>
        </w:tc>
        <w:tc>
          <w:tcPr>
            <w:tcW w:type="dxa" w:w="2484"/>
            <w:vAlign w:val="center"/>
          </w:tcPr>
          <w:p>
            <w:pPr>
              <w:spacing w:after="0" w:before="0"/>
            </w:pPr>
            <w:r/>
            <w:r>
              <w:rPr>
                <w:rFonts w:ascii="Arial" w:hAnsi="Arial"/>
                <w:b w:val="0"/>
                <w:color w:val="000000"/>
                <w:sz w:val="18"/>
              </w:rPr>
              <w:t>Measures delivery flow.</w:t>
            </w:r>
          </w:p>
        </w:tc>
        <w:tc>
          <w:tcPr>
            <w:tcW w:type="dxa" w:w="2484"/>
            <w:vAlign w:val="center"/>
          </w:tcPr>
          <w:p>
            <w:pPr>
              <w:spacing w:after="0" w:before="0"/>
            </w:pPr>
            <w:r/>
            <w:r>
              <w:rPr>
                <w:rFonts w:ascii="Arial" w:hAnsi="Arial"/>
                <w:b w:val="0"/>
                <w:color w:val="000000"/>
                <w:sz w:val="18"/>
              </w:rPr>
              <w:t>Small pull requests merged quickly.</w:t>
            </w:r>
          </w:p>
        </w:tc>
        <w:tc>
          <w:tcPr>
            <w:tcW w:type="dxa" w:w="2484"/>
            <w:vAlign w:val="center"/>
          </w:tcPr>
          <w:p>
            <w:pPr>
              <w:spacing w:after="0" w:before="0"/>
            </w:pPr>
            <w:r/>
            <w:r>
              <w:rPr>
                <w:rFonts w:ascii="Arial" w:hAnsi="Arial"/>
                <w:b w:val="0"/>
                <w:color w:val="000000"/>
                <w:sz w:val="18"/>
              </w:rPr>
              <w:t>Weekly</w:t>
            </w:r>
          </w:p>
        </w:tc>
      </w:tr>
      <w:tr>
        <w:tc>
          <w:tcPr>
            <w:tcW w:type="dxa" w:w="2484"/>
            <w:vAlign w:val="center"/>
          </w:tcPr>
          <w:p>
            <w:pPr>
              <w:spacing w:after="0" w:before="0"/>
            </w:pPr>
            <w:r/>
            <w:r>
              <w:rPr>
                <w:rFonts w:ascii="Arial" w:hAnsi="Arial"/>
                <w:b w:val="0"/>
                <w:color w:val="000000"/>
                <w:sz w:val="18"/>
              </w:rPr>
              <w:t>Escaped defect rate</w:t>
            </w:r>
          </w:p>
        </w:tc>
        <w:tc>
          <w:tcPr>
            <w:tcW w:type="dxa" w:w="2484"/>
            <w:vAlign w:val="center"/>
          </w:tcPr>
          <w:p>
            <w:pPr>
              <w:spacing w:after="0" w:before="0"/>
            </w:pPr>
            <w:r/>
            <w:r>
              <w:rPr>
                <w:rFonts w:ascii="Arial" w:hAnsi="Arial"/>
                <w:b w:val="0"/>
                <w:color w:val="000000"/>
                <w:sz w:val="18"/>
              </w:rPr>
              <w:t>Measures verification quality.</w:t>
            </w:r>
          </w:p>
        </w:tc>
        <w:tc>
          <w:tcPr>
            <w:tcW w:type="dxa" w:w="2484"/>
            <w:vAlign w:val="center"/>
          </w:tcPr>
          <w:p>
            <w:pPr>
              <w:spacing w:after="0" w:before="0"/>
            </w:pPr>
            <w:r/>
            <w:r>
              <w:rPr>
                <w:rFonts w:ascii="Arial" w:hAnsi="Arial"/>
                <w:b w:val="0"/>
                <w:color w:val="000000"/>
                <w:sz w:val="18"/>
              </w:rPr>
              <w:t>Downward trend by service.</w:t>
            </w:r>
          </w:p>
        </w:tc>
        <w:tc>
          <w:tcPr>
            <w:tcW w:type="dxa" w:w="2484"/>
            <w:vAlign w:val="center"/>
          </w:tcPr>
          <w:p>
            <w:pPr>
              <w:spacing w:after="0" w:before="0"/>
            </w:pPr>
            <w:r/>
            <w:r>
              <w:rPr>
                <w:rFonts w:ascii="Arial" w:hAnsi="Arial"/>
                <w:b w:val="0"/>
                <w:color w:val="000000"/>
                <w:sz w:val="18"/>
              </w:rPr>
              <w:t>Monthly</w:t>
            </w:r>
          </w:p>
        </w:tc>
      </w:tr>
      <w:tr>
        <w:tc>
          <w:tcPr>
            <w:tcW w:type="dxa" w:w="2484"/>
            <w:vAlign w:val="center"/>
          </w:tcPr>
          <w:p>
            <w:pPr>
              <w:spacing w:after="0" w:before="0"/>
            </w:pPr>
            <w:r/>
            <w:r>
              <w:rPr>
                <w:rFonts w:ascii="Arial" w:hAnsi="Arial"/>
                <w:b w:val="0"/>
                <w:color w:val="000000"/>
                <w:sz w:val="18"/>
              </w:rPr>
              <w:t>Flaky test rate</w:t>
            </w:r>
          </w:p>
        </w:tc>
        <w:tc>
          <w:tcPr>
            <w:tcW w:type="dxa" w:w="2484"/>
            <w:vAlign w:val="center"/>
          </w:tcPr>
          <w:p>
            <w:pPr>
              <w:spacing w:after="0" w:before="0"/>
            </w:pPr>
            <w:r/>
            <w:r>
              <w:rPr>
                <w:rFonts w:ascii="Arial" w:hAnsi="Arial"/>
                <w:b w:val="0"/>
                <w:color w:val="000000"/>
                <w:sz w:val="18"/>
              </w:rPr>
              <w:t>Measures pipeline trust.</w:t>
            </w:r>
          </w:p>
        </w:tc>
        <w:tc>
          <w:tcPr>
            <w:tcW w:type="dxa" w:w="2484"/>
            <w:vAlign w:val="center"/>
          </w:tcPr>
          <w:p>
            <w:pPr>
              <w:spacing w:after="0" w:before="0"/>
            </w:pPr>
            <w:r/>
            <w:r>
              <w:rPr>
                <w:rFonts w:ascii="Arial" w:hAnsi="Arial"/>
                <w:b w:val="0"/>
                <w:color w:val="000000"/>
                <w:sz w:val="18"/>
              </w:rPr>
              <w:t>Near zero on protected branches.</w:t>
            </w:r>
          </w:p>
        </w:tc>
        <w:tc>
          <w:tcPr>
            <w:tcW w:type="dxa" w:w="2484"/>
            <w:vAlign w:val="center"/>
          </w:tcPr>
          <w:p>
            <w:pPr>
              <w:spacing w:after="0" w:before="0"/>
            </w:pPr>
            <w:r/>
            <w:r>
              <w:rPr>
                <w:rFonts w:ascii="Arial" w:hAnsi="Arial"/>
                <w:b w:val="0"/>
                <w:color w:val="000000"/>
                <w:sz w:val="18"/>
              </w:rPr>
              <w:t>Weekly</w:t>
            </w:r>
          </w:p>
        </w:tc>
      </w:tr>
      <w:tr>
        <w:tc>
          <w:tcPr>
            <w:tcW w:type="dxa" w:w="2484"/>
            <w:vAlign w:val="center"/>
          </w:tcPr>
          <w:p>
            <w:pPr>
              <w:spacing w:after="0" w:before="0"/>
            </w:pPr>
            <w:r/>
            <w:r>
              <w:rPr>
                <w:rFonts w:ascii="Arial" w:hAnsi="Arial"/>
                <w:b w:val="0"/>
                <w:color w:val="000000"/>
                <w:sz w:val="18"/>
              </w:rPr>
              <w:t>Coverage of critical paths</w:t>
            </w:r>
          </w:p>
        </w:tc>
        <w:tc>
          <w:tcPr>
            <w:tcW w:type="dxa" w:w="2484"/>
            <w:vAlign w:val="center"/>
          </w:tcPr>
          <w:p>
            <w:pPr>
              <w:spacing w:after="0" w:before="0"/>
            </w:pPr>
            <w:r/>
            <w:r>
              <w:rPr>
                <w:rFonts w:ascii="Arial" w:hAnsi="Arial"/>
                <w:b w:val="0"/>
                <w:color w:val="000000"/>
                <w:sz w:val="18"/>
              </w:rPr>
              <w:t>Measures meaningful assurance.</w:t>
            </w:r>
          </w:p>
        </w:tc>
        <w:tc>
          <w:tcPr>
            <w:tcW w:type="dxa" w:w="2484"/>
            <w:vAlign w:val="center"/>
          </w:tcPr>
          <w:p>
            <w:pPr>
              <w:spacing w:after="0" w:before="0"/>
            </w:pPr>
            <w:r/>
            <w:r>
              <w:rPr>
                <w:rFonts w:ascii="Arial" w:hAnsi="Arial"/>
                <w:b w:val="0"/>
                <w:color w:val="000000"/>
                <w:sz w:val="18"/>
              </w:rPr>
              <w:t>All critical flows mapped to tests.</w:t>
            </w:r>
          </w:p>
        </w:tc>
        <w:tc>
          <w:tcPr>
            <w:tcW w:type="dxa" w:w="2484"/>
            <w:vAlign w:val="center"/>
          </w:tcPr>
          <w:p>
            <w:pPr>
              <w:spacing w:after="0" w:before="0"/>
            </w:pPr>
            <w:r/>
            <w:r>
              <w:rPr>
                <w:rFonts w:ascii="Arial" w:hAnsi="Arial"/>
                <w:b w:val="0"/>
                <w:color w:val="000000"/>
                <w:sz w:val="18"/>
              </w:rPr>
              <w:t>Monthly</w:t>
            </w:r>
          </w:p>
        </w:tc>
      </w:tr>
      <w:tr>
        <w:tc>
          <w:tcPr>
            <w:tcW w:type="dxa" w:w="2484"/>
            <w:vAlign w:val="center"/>
          </w:tcPr>
          <w:p>
            <w:pPr>
              <w:spacing w:after="0" w:before="0"/>
            </w:pPr>
            <w:r/>
            <w:r>
              <w:rPr>
                <w:rFonts w:ascii="Arial" w:hAnsi="Arial"/>
                <w:b w:val="0"/>
                <w:color w:val="000000"/>
                <w:sz w:val="18"/>
              </w:rPr>
              <w:t>Attested release ratio</w:t>
            </w:r>
          </w:p>
        </w:tc>
        <w:tc>
          <w:tcPr>
            <w:tcW w:type="dxa" w:w="2484"/>
            <w:vAlign w:val="center"/>
          </w:tcPr>
          <w:p>
            <w:pPr>
              <w:spacing w:after="0" w:before="0"/>
            </w:pPr>
            <w:r/>
            <w:r>
              <w:rPr>
                <w:rFonts w:ascii="Arial" w:hAnsi="Arial"/>
                <w:b w:val="0"/>
                <w:color w:val="000000"/>
                <w:sz w:val="18"/>
              </w:rPr>
              <w:t>Measures supply chain maturity.</w:t>
            </w:r>
          </w:p>
        </w:tc>
        <w:tc>
          <w:tcPr>
            <w:tcW w:type="dxa" w:w="2484"/>
            <w:vAlign w:val="center"/>
          </w:tcPr>
          <w:p>
            <w:pPr>
              <w:spacing w:after="0" w:before="0"/>
            </w:pPr>
            <w:r/>
            <w:r>
              <w:rPr>
                <w:rFonts w:ascii="Arial" w:hAnsi="Arial"/>
                <w:b w:val="0"/>
                <w:color w:val="000000"/>
                <w:sz w:val="18"/>
              </w:rPr>
              <w:t>All production releases.</w:t>
            </w:r>
          </w:p>
        </w:tc>
        <w:tc>
          <w:tcPr>
            <w:tcW w:type="dxa" w:w="2484"/>
            <w:vAlign w:val="center"/>
          </w:tcPr>
          <w:p>
            <w:pPr>
              <w:spacing w:after="0" w:before="0"/>
            </w:pPr>
            <w:r/>
            <w:r>
              <w:rPr>
                <w:rFonts w:ascii="Arial" w:hAnsi="Arial"/>
                <w:b w:val="0"/>
                <w:color w:val="000000"/>
                <w:sz w:val="18"/>
              </w:rPr>
              <w:t>Monthly</w:t>
            </w:r>
          </w:p>
        </w:tc>
      </w:tr>
      <w:tr>
        <w:tc>
          <w:tcPr>
            <w:tcW w:type="dxa" w:w="2484"/>
            <w:vAlign w:val="center"/>
          </w:tcPr>
          <w:p>
            <w:pPr>
              <w:spacing w:after="0" w:before="0"/>
            </w:pPr>
            <w:r/>
            <w:r>
              <w:rPr>
                <w:rFonts w:ascii="Arial" w:hAnsi="Arial"/>
                <w:b w:val="0"/>
                <w:color w:val="000000"/>
                <w:sz w:val="18"/>
              </w:rPr>
              <w:t>Audit event completeness</w:t>
            </w:r>
          </w:p>
        </w:tc>
        <w:tc>
          <w:tcPr>
            <w:tcW w:type="dxa" w:w="2484"/>
            <w:vAlign w:val="center"/>
          </w:tcPr>
          <w:p>
            <w:pPr>
              <w:spacing w:after="0" w:before="0"/>
            </w:pPr>
            <w:r/>
            <w:r>
              <w:rPr>
                <w:rFonts w:ascii="Arial" w:hAnsi="Arial"/>
                <w:b w:val="0"/>
                <w:color w:val="000000"/>
                <w:sz w:val="18"/>
              </w:rPr>
              <w:t>Measures compliance and forensics readiness.</w:t>
            </w:r>
          </w:p>
        </w:tc>
        <w:tc>
          <w:tcPr>
            <w:tcW w:type="dxa" w:w="2484"/>
            <w:vAlign w:val="center"/>
          </w:tcPr>
          <w:p>
            <w:pPr>
              <w:spacing w:after="0" w:before="0"/>
            </w:pPr>
            <w:r/>
            <w:r>
              <w:rPr>
                <w:rFonts w:ascii="Arial" w:hAnsi="Arial"/>
                <w:b w:val="0"/>
                <w:color w:val="000000"/>
                <w:sz w:val="18"/>
              </w:rPr>
              <w:t>All critical admin actions covered.</w:t>
            </w:r>
          </w:p>
        </w:tc>
        <w:tc>
          <w:tcPr>
            <w:tcW w:type="dxa" w:w="2484"/>
            <w:vAlign w:val="center"/>
          </w:tcPr>
          <w:p>
            <w:pPr>
              <w:spacing w:after="0" w:before="0"/>
            </w:pPr>
            <w:r/>
            <w:r>
              <w:rPr>
                <w:rFonts w:ascii="Arial" w:hAnsi="Arial"/>
                <w:b w:val="0"/>
                <w:color w:val="000000"/>
                <w:sz w:val="18"/>
              </w:rPr>
              <w:t>Quarterly</w:t>
            </w:r>
          </w:p>
        </w:tc>
      </w:tr>
    </w:tbl>
    <w:p>
      <w:pPr>
        <w:pStyle w:val="Heading1"/>
        <w:keepNext/>
        <w:spacing w:before="240" w:after="80"/>
      </w:pPr>
      <w:r>
        <w:t>14. Maturity roadmap</w:t>
      </w:r>
    </w:p>
    <w:p>
      <w:pPr>
        <w:spacing w:after="140" w:line="240" w:lineRule="auto"/>
      </w:pPr>
      <w:r>
        <w:rPr>
          <w:rFonts w:ascii="Arial" w:hAnsi="Arial"/>
          <w:b w:val="0"/>
          <w:i w:val="0"/>
          <w:color w:val="000000"/>
          <w:sz w:val="21"/>
        </w:rPr>
        <w:t>Most organizations should adopt this blueprint in layers. Trying to perfect everything in a single quarter usually creates process theatre. A staged rollout is more durable.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440"/>
            <w:vAlign w:val="center"/>
            <w:shd w:fill="2F5597"/>
          </w:tcPr>
          <w:p>
            <w:pPr>
              <w:spacing w:after="0" w:before="0"/>
            </w:pPr>
            <w:r/>
            <w:r>
              <w:rPr>
                <w:rFonts w:ascii="Arial" w:hAnsi="Arial"/>
                <w:b/>
                <w:color w:val="FFFFFF"/>
                <w:sz w:val="20"/>
              </w:rPr>
              <w:t>Horizon</w:t>
            </w:r>
          </w:p>
        </w:tc>
        <w:tc>
          <w:tcPr>
            <w:tcW w:type="dxa" w:w="2304"/>
            <w:vAlign w:val="center"/>
            <w:shd w:fill="2F5597"/>
          </w:tcPr>
          <w:p>
            <w:pPr>
              <w:spacing w:after="0" w:before="0"/>
            </w:pPr>
            <w:r/>
            <w:r>
              <w:rPr>
                <w:rFonts w:ascii="Arial" w:hAnsi="Arial"/>
                <w:b/>
                <w:color w:val="FFFFFF"/>
                <w:sz w:val="20"/>
              </w:rPr>
              <w:t>Theme</w:t>
            </w:r>
          </w:p>
        </w:tc>
        <w:tc>
          <w:tcPr>
            <w:tcW w:type="dxa" w:w="3456"/>
            <w:vAlign w:val="center"/>
            <w:shd w:fill="2F5597"/>
          </w:tcPr>
          <w:p>
            <w:pPr>
              <w:spacing w:after="0" w:before="0"/>
            </w:pPr>
            <w:r/>
            <w:r>
              <w:rPr>
                <w:rFonts w:ascii="Arial" w:hAnsi="Arial"/>
                <w:b/>
                <w:color w:val="FFFFFF"/>
                <w:sz w:val="20"/>
              </w:rPr>
              <w:t>Must-have outcomes</w:t>
            </w:r>
          </w:p>
        </w:tc>
        <w:tc>
          <w:tcPr>
            <w:tcW w:type="dxa" w:w="2880"/>
            <w:vAlign w:val="center"/>
            <w:shd w:fill="2F5597"/>
          </w:tcPr>
          <w:p>
            <w:pPr>
              <w:spacing w:after="0" w:before="0"/>
            </w:pPr>
            <w:r/>
            <w:r>
              <w:rPr>
                <w:rFonts w:ascii="Arial" w:hAnsi="Arial"/>
                <w:b/>
                <w:color w:val="FFFFFF"/>
                <w:sz w:val="20"/>
              </w:rPr>
              <w:t>Typical owners</w:t>
            </w:r>
          </w:p>
        </w:tc>
      </w:tr>
      <w:tr>
        <w:tc>
          <w:tcPr>
            <w:tcW w:type="dxa" w:w="2484"/>
            <w:vAlign w:val="center"/>
          </w:tcPr>
          <w:p>
            <w:pPr>
              <w:spacing w:after="0" w:before="0"/>
            </w:pPr>
            <w:r/>
            <w:r>
              <w:rPr>
                <w:rFonts w:ascii="Arial" w:hAnsi="Arial"/>
                <w:b w:val="0"/>
                <w:color w:val="000000"/>
                <w:sz w:val="18"/>
              </w:rPr>
              <w:t>0-30d</w:t>
            </w:r>
          </w:p>
        </w:tc>
        <w:tc>
          <w:tcPr>
            <w:tcW w:type="dxa" w:w="2484"/>
            <w:vAlign w:val="center"/>
          </w:tcPr>
          <w:p>
            <w:pPr>
              <w:spacing w:after="0" w:before="0"/>
            </w:pPr>
            <w:r/>
            <w:r>
              <w:rPr>
                <w:rFonts w:ascii="Arial" w:hAnsi="Arial"/>
                <w:b w:val="0"/>
                <w:color w:val="000000"/>
                <w:sz w:val="18"/>
              </w:rPr>
              <w:t>Stabilize basics</w:t>
            </w:r>
          </w:p>
        </w:tc>
        <w:tc>
          <w:tcPr>
            <w:tcW w:type="dxa" w:w="2484"/>
            <w:vAlign w:val="center"/>
          </w:tcPr>
          <w:p>
            <w:pPr>
              <w:spacing w:after="0" w:before="0"/>
            </w:pPr>
            <w:r/>
            <w:r>
              <w:rPr>
                <w:rFonts w:ascii="Arial" w:hAnsi="Arial"/>
                <w:b w:val="0"/>
                <w:color w:val="000000"/>
                <w:sz w:val="18"/>
              </w:rPr>
              <w:t>Branch protection, CODEOWNERS, mandatory CI, structured logging baseline, top critical tests identified.</w:t>
            </w:r>
          </w:p>
        </w:tc>
        <w:tc>
          <w:tcPr>
            <w:tcW w:type="dxa" w:w="2484"/>
            <w:vAlign w:val="center"/>
          </w:tcPr>
          <w:p>
            <w:pPr>
              <w:spacing w:after="0" w:before="0"/>
            </w:pPr>
            <w:r/>
            <w:r>
              <w:rPr>
                <w:rFonts w:ascii="Arial" w:hAnsi="Arial"/>
                <w:b w:val="0"/>
                <w:color w:val="000000"/>
                <w:sz w:val="18"/>
              </w:rPr>
              <w:t>Platform + app leads</w:t>
            </w:r>
          </w:p>
        </w:tc>
      </w:tr>
      <w:tr>
        <w:tc>
          <w:tcPr>
            <w:tcW w:type="dxa" w:w="2484"/>
            <w:vAlign w:val="center"/>
          </w:tcPr>
          <w:p>
            <w:pPr>
              <w:spacing w:after="0" w:before="0"/>
            </w:pPr>
            <w:r/>
            <w:r>
              <w:rPr>
                <w:rFonts w:ascii="Arial" w:hAnsi="Arial"/>
                <w:b w:val="0"/>
                <w:color w:val="000000"/>
                <w:sz w:val="18"/>
              </w:rPr>
              <w:t>30-90d</w:t>
            </w:r>
          </w:p>
        </w:tc>
        <w:tc>
          <w:tcPr>
            <w:tcW w:type="dxa" w:w="2484"/>
            <w:vAlign w:val="center"/>
          </w:tcPr>
          <w:p>
            <w:pPr>
              <w:spacing w:after="0" w:before="0"/>
            </w:pPr>
            <w:r/>
            <w:r>
              <w:rPr>
                <w:rFonts w:ascii="Arial" w:hAnsi="Arial"/>
                <w:b w:val="0"/>
                <w:color w:val="000000"/>
                <w:sz w:val="18"/>
              </w:rPr>
              <w:t>Operationalize quality</w:t>
            </w:r>
          </w:p>
        </w:tc>
        <w:tc>
          <w:tcPr>
            <w:tcW w:type="dxa" w:w="2484"/>
            <w:vAlign w:val="center"/>
          </w:tcPr>
          <w:p>
            <w:pPr>
              <w:spacing w:after="0" w:before="0"/>
            </w:pPr>
            <w:r/>
            <w:r>
              <w:rPr>
                <w:rFonts w:ascii="Arial" w:hAnsi="Arial"/>
                <w:b w:val="0"/>
                <w:color w:val="000000"/>
                <w:sz w:val="18"/>
              </w:rPr>
              <w:t>Reusable workflows, Playwright critical paths, secret scanning, dependency review, standard error envelopes.</w:t>
            </w:r>
          </w:p>
        </w:tc>
        <w:tc>
          <w:tcPr>
            <w:tcW w:type="dxa" w:w="2484"/>
            <w:vAlign w:val="center"/>
          </w:tcPr>
          <w:p>
            <w:pPr>
              <w:spacing w:after="0" w:before="0"/>
            </w:pPr>
            <w:r/>
            <w:r>
              <w:rPr>
                <w:rFonts w:ascii="Arial" w:hAnsi="Arial"/>
                <w:b w:val="0"/>
                <w:color w:val="000000"/>
                <w:sz w:val="18"/>
              </w:rPr>
              <w:t>Platform + QA + security</w:t>
            </w:r>
          </w:p>
        </w:tc>
      </w:tr>
      <w:tr>
        <w:tc>
          <w:tcPr>
            <w:tcW w:type="dxa" w:w="2484"/>
            <w:vAlign w:val="center"/>
          </w:tcPr>
          <w:p>
            <w:pPr>
              <w:spacing w:after="0" w:before="0"/>
            </w:pPr>
            <w:r/>
            <w:r>
              <w:rPr>
                <w:rFonts w:ascii="Arial" w:hAnsi="Arial"/>
                <w:b w:val="0"/>
                <w:color w:val="000000"/>
                <w:sz w:val="18"/>
              </w:rPr>
              <w:t>90-180d</w:t>
            </w:r>
          </w:p>
        </w:tc>
        <w:tc>
          <w:tcPr>
            <w:tcW w:type="dxa" w:w="2484"/>
            <w:vAlign w:val="center"/>
          </w:tcPr>
          <w:p>
            <w:pPr>
              <w:spacing w:after="0" w:before="0"/>
            </w:pPr>
            <w:r/>
            <w:r>
              <w:rPr>
                <w:rFonts w:ascii="Arial" w:hAnsi="Arial"/>
                <w:b w:val="0"/>
                <w:color w:val="000000"/>
                <w:sz w:val="18"/>
              </w:rPr>
              <w:t>Harden releases</w:t>
            </w:r>
          </w:p>
        </w:tc>
        <w:tc>
          <w:tcPr>
            <w:tcW w:type="dxa" w:w="2484"/>
            <w:vAlign w:val="center"/>
          </w:tcPr>
          <w:p>
            <w:pPr>
              <w:spacing w:after="0" w:before="0"/>
            </w:pPr>
            <w:r/>
            <w:r>
              <w:rPr>
                <w:rFonts w:ascii="Arial" w:hAnsi="Arial"/>
                <w:b w:val="0"/>
                <w:color w:val="000000"/>
                <w:sz w:val="18"/>
              </w:rPr>
              <w:t>SBOMs, attestations, OIDC, canary deploys, performance budgets, incident runbooks.</w:t>
            </w:r>
          </w:p>
        </w:tc>
        <w:tc>
          <w:tcPr>
            <w:tcW w:type="dxa" w:w="2484"/>
            <w:vAlign w:val="center"/>
          </w:tcPr>
          <w:p>
            <w:pPr>
              <w:spacing w:after="0" w:before="0"/>
            </w:pPr>
            <w:r/>
            <w:r>
              <w:rPr>
                <w:rFonts w:ascii="Arial" w:hAnsi="Arial"/>
                <w:b w:val="0"/>
                <w:color w:val="000000"/>
                <w:sz w:val="18"/>
              </w:rPr>
              <w:t>Platform + security + SRE</w:t>
            </w:r>
          </w:p>
        </w:tc>
      </w:tr>
      <w:tr>
        <w:tc>
          <w:tcPr>
            <w:tcW w:type="dxa" w:w="2484"/>
            <w:vAlign w:val="center"/>
          </w:tcPr>
          <w:p>
            <w:pPr>
              <w:spacing w:after="0" w:before="0"/>
            </w:pPr>
            <w:r/>
            <w:r>
              <w:rPr>
                <w:rFonts w:ascii="Arial" w:hAnsi="Arial"/>
                <w:b w:val="0"/>
                <w:color w:val="000000"/>
                <w:sz w:val="18"/>
              </w:rPr>
              <w:t>180-365d</w:t>
            </w:r>
          </w:p>
        </w:tc>
        <w:tc>
          <w:tcPr>
            <w:tcW w:type="dxa" w:w="2484"/>
            <w:vAlign w:val="center"/>
          </w:tcPr>
          <w:p>
            <w:pPr>
              <w:spacing w:after="0" w:before="0"/>
            </w:pPr>
            <w:r/>
            <w:r>
              <w:rPr>
                <w:rFonts w:ascii="Arial" w:hAnsi="Arial"/>
                <w:b w:val="0"/>
                <w:color w:val="000000"/>
                <w:sz w:val="18"/>
              </w:rPr>
              <w:t>Scale and optimize</w:t>
            </w:r>
          </w:p>
        </w:tc>
        <w:tc>
          <w:tcPr>
            <w:tcW w:type="dxa" w:w="2484"/>
            <w:vAlign w:val="center"/>
          </w:tcPr>
          <w:p>
            <w:pPr>
              <w:spacing w:after="0" w:before="0"/>
            </w:pPr>
            <w:r/>
            <w:r>
              <w:rPr>
                <w:rFonts w:ascii="Arial" w:hAnsi="Arial"/>
                <w:b w:val="0"/>
                <w:color w:val="000000"/>
                <w:sz w:val="18"/>
              </w:rPr>
              <w:t>Policy-as-code, scorecards, mutation testing on key domains, admission controls, broader observability standardization.</w:t>
            </w:r>
          </w:p>
        </w:tc>
        <w:tc>
          <w:tcPr>
            <w:tcW w:type="dxa" w:w="2484"/>
            <w:vAlign w:val="center"/>
          </w:tcPr>
          <w:p>
            <w:pPr>
              <w:spacing w:after="0" w:before="0"/>
            </w:pPr>
            <w:r/>
            <w:r>
              <w:rPr>
                <w:rFonts w:ascii="Arial" w:hAnsi="Arial"/>
                <w:b w:val="0"/>
                <w:color w:val="000000"/>
                <w:sz w:val="18"/>
              </w:rPr>
              <w:t>Engineering leadership</w:t>
            </w:r>
          </w:p>
        </w:tc>
      </w:tr>
    </w:tbl>
    <w:p>
      <w:pPr>
        <w:pStyle w:val="Heading1"/>
        <w:keepNext/>
        <w:spacing w:before="240" w:after="80"/>
      </w:pPr>
      <w:r>
        <w:t>15. Implementation starter kit</w:t>
      </w:r>
    </w:p>
    <w:p>
      <w:pPr>
        <w:spacing w:after="140" w:line="240" w:lineRule="auto"/>
      </w:pPr>
      <w:r>
        <w:rPr>
          <w:rFonts w:ascii="Arial" w:hAnsi="Arial"/>
          <w:b w:val="0"/>
          <w:i w:val="0"/>
          <w:color w:val="000000"/>
          <w:sz w:val="21"/>
        </w:rPr>
        <w:t>A platform team can convert this blueprint into a practical paved road by delivering reusable assets rather than only policy documents.</w:t>
      </w:r>
    </w:p>
    <w:p>
      <w:pPr>
        <w:pStyle w:val="ListBullet"/>
        <w:spacing w:after="80"/>
        <w:ind w:left="360"/>
      </w:pPr>
      <w:r>
        <w:rPr>
          <w:rFonts w:ascii="Arial" w:hAnsi="Arial"/>
          <w:b w:val="0"/>
          <w:i w:val="0"/>
          <w:color w:val="000000"/>
          <w:sz w:val="21"/>
        </w:rPr>
        <w:t>Shared repository template with CODEOWNERS, contribution guide, PR template, ADR template, and baseline configuration files.</w:t>
      </w:r>
    </w:p>
    <w:p>
      <w:pPr>
        <w:pStyle w:val="ListBullet"/>
        <w:spacing w:after="80"/>
        <w:ind w:left="360"/>
      </w:pPr>
      <w:r>
        <w:rPr>
          <w:rFonts w:ascii="Arial" w:hAnsi="Arial"/>
          <w:b w:val="0"/>
          <w:i w:val="0"/>
          <w:color w:val="000000"/>
          <w:sz w:val="21"/>
        </w:rPr>
        <w:t>Reusable GitHub Actions workflows for pull request CI, scheduled security scans, release packaging, and deployment verification.</w:t>
      </w:r>
    </w:p>
    <w:p>
      <w:pPr>
        <w:pStyle w:val="ListBullet"/>
        <w:spacing w:after="80"/>
        <w:ind w:left="360"/>
      </w:pPr>
      <w:r>
        <w:rPr>
          <w:rFonts w:ascii="Arial" w:hAnsi="Arial"/>
          <w:b w:val="0"/>
          <w:i w:val="0"/>
          <w:color w:val="000000"/>
          <w:sz w:val="21"/>
        </w:rPr>
        <w:t>Shared logging and error-handling libraries or middleware with correlation IDs and stable event schemas.</w:t>
      </w:r>
    </w:p>
    <w:p>
      <w:pPr>
        <w:pStyle w:val="ListBullet"/>
        <w:spacing w:after="80"/>
        <w:ind w:left="360"/>
      </w:pPr>
      <w:r>
        <w:rPr>
          <w:rFonts w:ascii="Arial" w:hAnsi="Arial"/>
          <w:b w:val="0"/>
          <w:i w:val="0"/>
          <w:color w:val="000000"/>
          <w:sz w:val="21"/>
        </w:rPr>
        <w:t>Playwright starter package with authentication helpers, locator standards, tagging rules, and CI artifact publishing.</w:t>
      </w:r>
    </w:p>
    <w:p>
      <w:pPr>
        <w:pStyle w:val="ListBullet"/>
        <w:spacing w:after="80"/>
        <w:ind w:left="360"/>
      </w:pPr>
      <w:r>
        <w:rPr>
          <w:rFonts w:ascii="Arial" w:hAnsi="Arial"/>
          <w:b w:val="0"/>
          <w:i w:val="0"/>
          <w:color w:val="000000"/>
          <w:sz w:val="21"/>
        </w:rPr>
        <w:t>Policy dashboards showing quality gates, security posture, coverage of critical paths, release evidence, and flaky test status.</w:t>
      </w:r>
    </w:p>
    <w:p>
      <w:pPr>
        <w:pStyle w:val="Heading2"/>
        <w:keepNext/>
        <w:spacing w:before="160" w:after="80"/>
      </w:pPr>
      <w:r>
        <w:t>15.1 Minimum policy checklist</w:t>
      </w:r>
    </w:p>
    <w:p>
      <w:pPr>
        <w:pStyle w:val="ListBullet"/>
        <w:spacing w:after="80"/>
        <w:ind w:left="403"/>
      </w:pPr>
      <w:r>
        <w:rPr>
          <w:rFonts w:ascii="Arial" w:hAnsi="Arial"/>
          <w:b w:val="0"/>
          <w:i w:val="0"/>
          <w:color w:val="000000"/>
          <w:sz w:val="21"/>
        </w:rPr>
        <w:t>□ Required reviews and protected branches are enabled.</w:t>
      </w:r>
    </w:p>
    <w:p>
      <w:pPr>
        <w:pStyle w:val="ListBullet"/>
        <w:spacing w:after="80"/>
        <w:ind w:left="403"/>
      </w:pPr>
      <w:r>
        <w:rPr>
          <w:rFonts w:ascii="Arial" w:hAnsi="Arial"/>
          <w:b w:val="0"/>
          <w:i w:val="0"/>
          <w:color w:val="000000"/>
          <w:sz w:val="21"/>
        </w:rPr>
        <w:t>□ Workflow changes are covered by CODEOWNERS.</w:t>
      </w:r>
    </w:p>
    <w:p>
      <w:pPr>
        <w:pStyle w:val="ListBullet"/>
        <w:spacing w:after="80"/>
        <w:ind w:left="403"/>
      </w:pPr>
      <w:r>
        <w:rPr>
          <w:rFonts w:ascii="Arial" w:hAnsi="Arial"/>
          <w:b w:val="0"/>
          <w:i w:val="0"/>
          <w:color w:val="000000"/>
          <w:sz w:val="21"/>
        </w:rPr>
        <w:t>□ Third-party actions are pinned and reviewed.</w:t>
      </w:r>
    </w:p>
    <w:p>
      <w:pPr>
        <w:pStyle w:val="ListBullet"/>
        <w:spacing w:after="80"/>
        <w:ind w:left="403"/>
      </w:pPr>
      <w:r>
        <w:rPr>
          <w:rFonts w:ascii="Arial" w:hAnsi="Arial"/>
          <w:b w:val="0"/>
          <w:i w:val="0"/>
          <w:color w:val="000000"/>
          <w:sz w:val="21"/>
        </w:rPr>
        <w:t>□ OIDC or equivalent short-lived credentials are used for cloud deployment.</w:t>
      </w:r>
    </w:p>
    <w:p>
      <w:pPr>
        <w:pStyle w:val="ListBullet"/>
        <w:spacing w:after="80"/>
        <w:ind w:left="403"/>
      </w:pPr>
      <w:r>
        <w:rPr>
          <w:rFonts w:ascii="Arial" w:hAnsi="Arial"/>
          <w:b w:val="0"/>
          <w:i w:val="0"/>
          <w:color w:val="000000"/>
          <w:sz w:val="21"/>
        </w:rPr>
        <w:t>□ Structured logs and correlation IDs exist for critical paths.</w:t>
      </w:r>
    </w:p>
    <w:p>
      <w:pPr>
        <w:pStyle w:val="ListBullet"/>
        <w:spacing w:after="80"/>
        <w:ind w:left="403"/>
      </w:pPr>
      <w:r>
        <w:rPr>
          <w:rFonts w:ascii="Arial" w:hAnsi="Arial"/>
          <w:b w:val="0"/>
          <w:i w:val="0"/>
          <w:color w:val="000000"/>
          <w:sz w:val="21"/>
        </w:rPr>
        <w:t>□ Critical user journeys have browser-level tests and automated evidence capture.</w:t>
      </w:r>
    </w:p>
    <w:p>
      <w:pPr>
        <w:pStyle w:val="ListBullet"/>
        <w:spacing w:after="80"/>
        <w:ind w:left="403"/>
      </w:pPr>
      <w:r>
        <w:rPr>
          <w:rFonts w:ascii="Arial" w:hAnsi="Arial"/>
          <w:b w:val="0"/>
          <w:i w:val="0"/>
          <w:color w:val="000000"/>
          <w:sz w:val="21"/>
        </w:rPr>
        <w:t>□ SBOM and release provenance are generated for production artifacts.</w:t>
      </w:r>
    </w:p>
    <w:p>
      <w:pPr>
        <w:pStyle w:val="ListBullet"/>
        <w:spacing w:after="80"/>
        <w:ind w:left="403"/>
      </w:pPr>
      <w:r>
        <w:rPr>
          <w:rFonts w:ascii="Arial" w:hAnsi="Arial"/>
          <w:b w:val="0"/>
          <w:i w:val="0"/>
          <w:color w:val="000000"/>
          <w:sz w:val="21"/>
        </w:rPr>
        <w:t>□ Performance budgets exist for high-value paths.</w:t>
      </w:r>
    </w:p>
    <w:p>
      <w:pPr>
        <w:pStyle w:val="ListBullet"/>
        <w:spacing w:after="80"/>
        <w:ind w:left="403"/>
      </w:pPr>
      <w:r>
        <w:rPr>
          <w:rFonts w:ascii="Arial" w:hAnsi="Arial"/>
          <w:b w:val="0"/>
          <w:i w:val="0"/>
          <w:color w:val="000000"/>
          <w:sz w:val="21"/>
        </w:rPr>
        <w:t>□ Rollback procedure is documented and tested.</w:t>
      </w:r>
    </w:p>
    <w:p>
      <w:pPr>
        <w:pStyle w:val="ListBullet"/>
        <w:spacing w:after="80"/>
        <w:ind w:left="403"/>
      </w:pPr>
      <w:r>
        <w:rPr>
          <w:rFonts w:ascii="Arial" w:hAnsi="Arial"/>
          <w:b w:val="0"/>
          <w:i w:val="0"/>
          <w:color w:val="000000"/>
          <w:sz w:val="21"/>
        </w:rPr>
        <w:t>□ Incidents and flaky tests are tracked to closure.</w:t>
      </w:r>
    </w:p>
    <w:p>
      <w:pPr>
        <w:pStyle w:val="Heading1"/>
        <w:keepNext/>
        <w:spacing w:before="240" w:after="80"/>
      </w:pPr>
      <w:r>
        <w:t>Appendix A. Sample enterprise GitHub Actions pattern</w:t>
      </w:r>
    </w:p>
    <w:p>
      <w:pPr>
        <w:pStyle w:val="CodeBlock"/>
        <w:spacing w:after="0"/>
        <w:ind w:left="504"/>
      </w:pPr>
      <w:r>
        <w:rPr>
          <w:rFonts w:ascii="Courier New" w:hAnsi="Courier New"/>
          <w:b w:val="0"/>
          <w:i w:val="0"/>
          <w:color w:val="000000"/>
          <w:sz w:val="17"/>
        </w:rPr>
        <w:t>permissions:</w:t>
      </w:r>
    </w:p>
    <w:p>
      <w:pPr>
        <w:pStyle w:val="CodeBlock"/>
        <w:spacing w:after="0"/>
        <w:ind w:left="504"/>
      </w:pPr>
      <w:r>
        <w:rPr>
          <w:rFonts w:ascii="Courier New" w:hAnsi="Courier New"/>
          <w:b w:val="0"/>
          <w:i w:val="0"/>
          <w:color w:val="000000"/>
          <w:sz w:val="17"/>
        </w:rPr>
        <w:t xml:space="preserve">  contents: read</w:t>
      </w:r>
    </w:p>
    <w:p>
      <w:pPr>
        <w:pStyle w:val="CodeBlock"/>
        <w:spacing w:after="0"/>
        <w:ind w:left="504"/>
      </w:pPr>
      <w:r>
        <w:rPr>
          <w:rFonts w:ascii="Courier New" w:hAnsi="Courier New"/>
          <w:b w:val="0"/>
          <w:i w:val="0"/>
          <w:color w:val="000000"/>
          <w:sz w:val="17"/>
        </w:rPr>
        <w:t xml:space="preserve">  id-token: write        # only in jobs that need cloud auth</w:t>
      </w:r>
    </w:p>
    <w:p>
      <w:pPr>
        <w:pStyle w:val="CodeBlock"/>
        <w:spacing w:after="0"/>
        <w:ind w:left="504"/>
      </w:pPr>
      <w:r>
        <w:rPr>
          <w:rFonts w:ascii="Courier New" w:hAnsi="Courier New"/>
          <w:b w:val="0"/>
          <w:i w:val="0"/>
          <w:color w:val="000000"/>
          <w:sz w:val="17"/>
        </w:rPr>
        <w:t xml:space="preserve">  security-events: write # for code scanning upload</w:t>
      </w:r>
    </w:p>
    <w:p>
      <w:pPr>
        <w:pStyle w:val="CodeBlock"/>
        <w:spacing w:after="0"/>
        <w:ind w:left="504"/>
      </w:pPr>
      <w:r>
        <w:rPr>
          <w:rFonts w:ascii="Courier New" w:hAnsi="Courier New"/>
          <w:b w:val="0"/>
          <w:i w:val="0"/>
          <w:color w:val="000000"/>
          <w:sz w:val="17"/>
        </w:rPr>
        <w:t>concurrency:</w:t>
      </w:r>
    </w:p>
    <w:p>
      <w:pPr>
        <w:pStyle w:val="CodeBlock"/>
        <w:spacing w:after="0"/>
        <w:ind w:left="504"/>
      </w:pPr>
      <w:r>
        <w:rPr>
          <w:rFonts w:ascii="Courier New" w:hAnsi="Courier New"/>
          <w:b w:val="0"/>
          <w:i w:val="0"/>
          <w:color w:val="000000"/>
          <w:sz w:val="17"/>
        </w:rPr>
        <w:t xml:space="preserve">  group: ${{ github.workflow }}-${{ github.ref }}</w:t>
      </w:r>
    </w:p>
    <w:p>
      <w:pPr>
        <w:pStyle w:val="CodeBlock"/>
        <w:spacing w:after="0"/>
        <w:ind w:left="504"/>
      </w:pPr>
      <w:r>
        <w:rPr>
          <w:rFonts w:ascii="Courier New" w:hAnsi="Courier New"/>
          <w:b w:val="0"/>
          <w:i w:val="0"/>
          <w:color w:val="000000"/>
          <w:sz w:val="17"/>
        </w:rPr>
        <w:t xml:space="preserve">  cancel-in-progress: true</w:t>
      </w:r>
    </w:p>
    <w:p>
      <w:pPr>
        <w:pStyle w:val="CodeBlock"/>
        <w:spacing w:after="0"/>
        <w:ind w:left="504"/>
      </w:pPr>
      <w:r>
        <w:rPr>
          <w:rFonts w:ascii="Courier New" w:hAnsi="Courier New"/>
          <w:b w:val="0"/>
          <w:i w:val="0"/>
          <w:color w:val="000000"/>
          <w:sz w:val="17"/>
        </w:rPr>
        <w:t>steps:</w:t>
      </w:r>
    </w:p>
    <w:p>
      <w:pPr>
        <w:pStyle w:val="CodeBlock"/>
        <w:spacing w:after="0"/>
        <w:ind w:left="504"/>
      </w:pPr>
      <w:r>
        <w:rPr>
          <w:rFonts w:ascii="Courier New" w:hAnsi="Courier New"/>
          <w:b w:val="0"/>
          <w:i w:val="0"/>
          <w:color w:val="000000"/>
          <w:sz w:val="17"/>
        </w:rPr>
        <w:t xml:space="preserve">  - uses: actions/checkout@&lt;pinned-sha&gt;</w:t>
      </w:r>
    </w:p>
    <w:p>
      <w:pPr>
        <w:pStyle w:val="CodeBlock"/>
        <w:spacing w:after="0"/>
        <w:ind w:left="504"/>
      </w:pPr>
      <w:r>
        <w:rPr>
          <w:rFonts w:ascii="Courier New" w:hAnsi="Courier New"/>
          <w:b w:val="0"/>
          <w:i w:val="0"/>
          <w:color w:val="000000"/>
          <w:sz w:val="17"/>
        </w:rPr>
        <w:t xml:space="preserve">  - run: make ci</w:t>
      </w:r>
    </w:p>
    <w:p>
      <w:pPr>
        <w:pStyle w:val="CodeBlock"/>
        <w:spacing w:after="0"/>
        <w:ind w:left="504"/>
      </w:pPr>
      <w:r>
        <w:rPr>
          <w:rFonts w:ascii="Courier New" w:hAnsi="Courier New"/>
          <w:b w:val="0"/>
          <w:i w:val="0"/>
          <w:color w:val="000000"/>
          <w:sz w:val="17"/>
        </w:rPr>
        <w:t xml:space="preserve">  - run: make sbom</w:t>
      </w:r>
    </w:p>
    <w:p>
      <w:pPr>
        <w:pStyle w:val="CodeBlock"/>
        <w:spacing w:after="0"/>
        <w:ind w:left="504"/>
      </w:pPr>
      <w:r>
        <w:rPr>
          <w:rFonts w:ascii="Courier New" w:hAnsi="Courier New"/>
          <w:b w:val="0"/>
          <w:i w:val="0"/>
          <w:color w:val="000000"/>
          <w:sz w:val="17"/>
        </w:rPr>
        <w:t xml:space="preserve">  - run: make test-e2e</w:t>
      </w:r>
    </w:p>
    <w:p>
      <w:pPr>
        <w:pStyle w:val="CodeBlock"/>
        <w:spacing w:after="0"/>
        <w:ind w:left="504"/>
      </w:pPr>
      <w:r>
        <w:rPr>
          <w:rFonts w:ascii="Courier New" w:hAnsi="Courier New"/>
          <w:b w:val="0"/>
          <w:i w:val="0"/>
          <w:color w:val="000000"/>
          <w:sz w:val="17"/>
        </w:rPr>
        <w:t xml:space="preserve">  - run: make attest</w:t>
      </w:r>
    </w:p>
    <w:p>
      <w:pPr>
        <w:pStyle w:val="Heading1"/>
        <w:keepNext/>
        <w:spacing w:before="240" w:after="80"/>
      </w:pPr>
      <w:r>
        <w:t>Appendix B. Sample browser failure artifact bundle</w:t>
      </w:r>
    </w:p>
    <w:p>
      <w:pPr>
        <w:pStyle w:val="ListBullet"/>
        <w:spacing w:after="80"/>
        <w:ind w:left="360"/>
      </w:pPr>
      <w:r>
        <w:rPr>
          <w:rFonts w:ascii="Arial" w:hAnsi="Arial"/>
          <w:b w:val="0"/>
          <w:i w:val="0"/>
          <w:color w:val="000000"/>
          <w:sz w:val="21"/>
        </w:rPr>
        <w:t>HTML report with test names, durations, retries, and attachments.</w:t>
      </w:r>
    </w:p>
    <w:p>
      <w:pPr>
        <w:pStyle w:val="ListBullet"/>
        <w:spacing w:after="80"/>
        <w:ind w:left="360"/>
      </w:pPr>
      <w:r>
        <w:rPr>
          <w:rFonts w:ascii="Arial" w:hAnsi="Arial"/>
          <w:b w:val="0"/>
          <w:i w:val="0"/>
          <w:color w:val="000000"/>
          <w:sz w:val="21"/>
        </w:rPr>
        <w:t>Trace bundle for step-by-step visual replay.</w:t>
      </w:r>
    </w:p>
    <w:p>
      <w:pPr>
        <w:pStyle w:val="ListBullet"/>
        <w:spacing w:after="80"/>
        <w:ind w:left="360"/>
      </w:pPr>
      <w:r>
        <w:rPr>
          <w:rFonts w:ascii="Arial" w:hAnsi="Arial"/>
          <w:b w:val="0"/>
          <w:i w:val="0"/>
          <w:color w:val="000000"/>
          <w:sz w:val="21"/>
        </w:rPr>
        <w:t>Failure screenshot and retained video where appropriate.</w:t>
      </w:r>
    </w:p>
    <w:p>
      <w:pPr>
        <w:pStyle w:val="ListBullet"/>
        <w:spacing w:after="80"/>
        <w:ind w:left="360"/>
      </w:pPr>
      <w:r>
        <w:rPr>
          <w:rFonts w:ascii="Arial" w:hAnsi="Arial"/>
          <w:b w:val="0"/>
          <w:i w:val="0"/>
          <w:color w:val="000000"/>
          <w:sz w:val="21"/>
        </w:rPr>
        <w:t>Console logs, JavaScript errors, and network request failures.</w:t>
      </w:r>
    </w:p>
    <w:p>
      <w:pPr>
        <w:pStyle w:val="ListBullet"/>
        <w:spacing w:after="80"/>
        <w:ind w:left="360"/>
      </w:pPr>
      <w:r>
        <w:rPr>
          <w:rFonts w:ascii="Arial" w:hAnsi="Arial"/>
          <w:b w:val="0"/>
          <w:i w:val="0"/>
          <w:color w:val="000000"/>
          <w:sz w:val="21"/>
        </w:rPr>
        <w:t>Application commit SHA, container image digest, environment name, and browser version.</w:t>
      </w:r>
    </w:p>
    <w:p>
      <w:pPr>
        <w:pStyle w:val="ListBullet"/>
        <w:spacing w:after="80"/>
        <w:ind w:left="360"/>
      </w:pPr>
      <w:r>
        <w:rPr>
          <w:rFonts w:ascii="Arial" w:hAnsi="Arial"/>
          <w:b w:val="0"/>
          <w:i w:val="0"/>
          <w:color w:val="000000"/>
          <w:sz w:val="21"/>
        </w:rPr>
        <w:t>Sanitized request and correlation identifiers linking the failure to backend telemetry.</w:t>
      </w:r>
    </w:p>
    <w:p>
      <w:pPr>
        <w:pStyle w:val="Heading1"/>
        <w:keepNext/>
        <w:spacing w:before="240" w:after="80"/>
      </w:pPr>
      <w:r>
        <w:t>Appendix C. Authoritative reference set</w:t>
      </w:r>
    </w:p>
    <w:p>
      <w:pPr>
        <w:spacing w:after="120"/>
      </w:pPr>
      <w:r>
        <w:rPr>
          <w:rFonts w:ascii="Arial" w:hAnsi="Arial"/>
          <w:sz w:val="20"/>
        </w:rPr>
        <w:t>The following sources were used to ground this blueprint in current authoritative practice.</w:t>
      </w:r>
    </w:p>
    <w:p>
      <w:pPr>
        <w:pStyle w:val="ListBullet"/>
        <w:spacing w:after="40"/>
        <w:ind w:left="360"/>
      </w:pPr>
      <w:r>
        <w:rPr>
          <w:rFonts w:ascii="Arial" w:hAnsi="Arial"/>
          <w:sz w:val="18"/>
        </w:rPr>
        <w:t xml:space="preserve">NIST SP 800-218 (SSDF) - </w:t>
      </w:r>
      <w:hyperlink r:id="rId10">
        <w:r>
          <w:rPr>
            <w:color w:val="0563C1"/>
            <w:u w:val="single"/>
            <w:rFonts w:ascii="Arial" w:hAnsi="Arial"/>
            <w:sz w:val="18"/>
          </w:rPr>
          <w:t>official page</w:t>
        </w:r>
      </w:hyperlink>
    </w:p>
    <w:p>
      <w:pPr>
        <w:pStyle w:val="ListBullet"/>
        <w:spacing w:after="40"/>
        <w:ind w:left="360"/>
      </w:pPr>
      <w:r>
        <w:rPr>
          <w:rFonts w:ascii="Arial" w:hAnsi="Arial"/>
          <w:sz w:val="18"/>
        </w:rPr>
        <w:t xml:space="preserve">OWASP ASVS - </w:t>
      </w:r>
      <w:hyperlink r:id="rId11">
        <w:r>
          <w:rPr>
            <w:color w:val="0563C1"/>
            <w:u w:val="single"/>
            <w:rFonts w:ascii="Arial" w:hAnsi="Arial"/>
            <w:sz w:val="18"/>
          </w:rPr>
          <w:t>official page</w:t>
        </w:r>
      </w:hyperlink>
    </w:p>
    <w:p>
      <w:pPr>
        <w:pStyle w:val="ListBullet"/>
        <w:spacing w:after="40"/>
        <w:ind w:left="360"/>
      </w:pPr>
      <w:r>
        <w:rPr>
          <w:rFonts w:ascii="Arial" w:hAnsi="Arial"/>
          <w:sz w:val="18"/>
        </w:rPr>
        <w:t xml:space="preserve">Playwright Best Practices - </w:t>
      </w:r>
      <w:hyperlink r:id="rId12">
        <w:r>
          <w:rPr>
            <w:color w:val="0563C1"/>
            <w:u w:val="single"/>
            <w:rFonts w:ascii="Arial" w:hAnsi="Arial"/>
            <w:sz w:val="18"/>
          </w:rPr>
          <w:t>official page</w:t>
        </w:r>
      </w:hyperlink>
    </w:p>
    <w:p>
      <w:pPr>
        <w:pStyle w:val="ListBullet"/>
        <w:spacing w:after="40"/>
        <w:ind w:left="360"/>
      </w:pPr>
      <w:r>
        <w:rPr>
          <w:rFonts w:ascii="Arial" w:hAnsi="Arial"/>
          <w:sz w:val="18"/>
        </w:rPr>
        <w:t xml:space="preserve">Playwright Running and Debugging Tests - </w:t>
      </w:r>
      <w:hyperlink r:id="rId13">
        <w:r>
          <w:rPr>
            <w:color w:val="0563C1"/>
            <w:u w:val="single"/>
            <w:rFonts w:ascii="Arial" w:hAnsi="Arial"/>
            <w:sz w:val="18"/>
          </w:rPr>
          <w:t>official page</w:t>
        </w:r>
      </w:hyperlink>
    </w:p>
    <w:p>
      <w:pPr>
        <w:pStyle w:val="ListBullet"/>
        <w:spacing w:after="40"/>
        <w:ind w:left="360"/>
      </w:pPr>
      <w:r>
        <w:rPr>
          <w:rFonts w:ascii="Arial" w:hAnsi="Arial"/>
          <w:sz w:val="18"/>
        </w:rPr>
        <w:t xml:space="preserve">Playwright Trace Viewer - </w:t>
      </w:r>
      <w:hyperlink r:id="rId14">
        <w:r>
          <w:rPr>
            <w:color w:val="0563C1"/>
            <w:u w:val="single"/>
            <w:rFonts w:ascii="Arial" w:hAnsi="Arial"/>
            <w:sz w:val="18"/>
          </w:rPr>
          <w:t>official page</w:t>
        </w:r>
      </w:hyperlink>
    </w:p>
    <w:p>
      <w:pPr>
        <w:pStyle w:val="ListBullet"/>
        <w:spacing w:after="40"/>
        <w:ind w:left="360"/>
      </w:pPr>
      <w:r>
        <w:rPr>
          <w:rFonts w:ascii="Arial" w:hAnsi="Arial"/>
          <w:sz w:val="18"/>
        </w:rPr>
        <w:t xml:space="preserve">GitHub Actions Security - </w:t>
      </w:r>
      <w:hyperlink r:id="rId15">
        <w:r>
          <w:rPr>
            <w:color w:val="0563C1"/>
            <w:u w:val="single"/>
            <w:rFonts w:ascii="Arial" w:hAnsi="Arial"/>
            <w:sz w:val="18"/>
          </w:rPr>
          <w:t>official page</w:t>
        </w:r>
      </w:hyperlink>
    </w:p>
    <w:p>
      <w:pPr>
        <w:pStyle w:val="ListBullet"/>
        <w:spacing w:after="40"/>
        <w:ind w:left="360"/>
      </w:pPr>
      <w:r>
        <w:rPr>
          <w:rFonts w:ascii="Arial" w:hAnsi="Arial"/>
          <w:sz w:val="18"/>
        </w:rPr>
        <w:t xml:space="preserve">GitHub Actions Secure Use Reference - </w:t>
      </w:r>
      <w:hyperlink r:id="rId16">
        <w:r>
          <w:rPr>
            <w:color w:val="0563C1"/>
            <w:u w:val="single"/>
            <w:rFonts w:ascii="Arial" w:hAnsi="Arial"/>
            <w:sz w:val="18"/>
          </w:rPr>
          <w:t>official page</w:t>
        </w:r>
      </w:hyperlink>
    </w:p>
    <w:p>
      <w:pPr>
        <w:pStyle w:val="ListBullet"/>
        <w:spacing w:after="40"/>
        <w:ind w:left="360"/>
      </w:pPr>
      <w:r>
        <w:rPr>
          <w:rFonts w:ascii="Arial" w:hAnsi="Arial"/>
          <w:sz w:val="18"/>
        </w:rPr>
        <w:t xml:space="preserve">GitHub Actions Artifact Attestations - </w:t>
      </w:r>
      <w:hyperlink r:id="rId17">
        <w:r>
          <w:rPr>
            <w:color w:val="0563C1"/>
            <w:u w:val="single"/>
            <w:rFonts w:ascii="Arial" w:hAnsi="Arial"/>
            <w:sz w:val="18"/>
          </w:rPr>
          <w:t>official page</w:t>
        </w:r>
      </w:hyperlink>
    </w:p>
    <w:p>
      <w:pPr>
        <w:pStyle w:val="ListBullet"/>
        <w:spacing w:after="40"/>
        <w:ind w:left="360"/>
      </w:pPr>
      <w:r>
        <w:rPr>
          <w:rFonts w:ascii="Arial" w:hAnsi="Arial"/>
          <w:sz w:val="18"/>
        </w:rPr>
        <w:t xml:space="preserve">GitHub CodeQL Code Scanning - </w:t>
      </w:r>
      <w:hyperlink r:id="rId18">
        <w:r>
          <w:rPr>
            <w:color w:val="0563C1"/>
            <w:u w:val="single"/>
            <w:rFonts w:ascii="Arial" w:hAnsi="Arial"/>
            <w:sz w:val="18"/>
          </w:rPr>
          <w:t>official page</w:t>
        </w:r>
      </w:hyperlink>
    </w:p>
    <w:p>
      <w:pPr>
        <w:pStyle w:val="ListBullet"/>
        <w:spacing w:after="40"/>
        <w:ind w:left="360"/>
      </w:pPr>
      <w:r>
        <w:rPr>
          <w:rFonts w:ascii="Arial" w:hAnsi="Arial"/>
          <w:sz w:val="18"/>
        </w:rPr>
        <w:t xml:space="preserve">OpenTelemetry Documentation - </w:t>
      </w:r>
      <w:hyperlink r:id="rId19">
        <w:r>
          <w:rPr>
            <w:color w:val="0563C1"/>
            <w:u w:val="single"/>
            <w:rFonts w:ascii="Arial" w:hAnsi="Arial"/>
            <w:sz w:val="18"/>
          </w:rPr>
          <w:t>official page</w:t>
        </w:r>
      </w:hyperlink>
    </w:p>
    <w:p>
      <w:pPr>
        <w:pStyle w:val="ListBullet"/>
        <w:spacing w:after="40"/>
        <w:ind w:left="360"/>
      </w:pPr>
      <w:r>
        <w:rPr>
          <w:rFonts w:ascii="Arial" w:hAnsi="Arial"/>
          <w:sz w:val="18"/>
        </w:rPr>
        <w:t xml:space="preserve">OpenTelemetry Signals and Logs - </w:t>
      </w:r>
      <w:hyperlink r:id="rId20">
        <w:r>
          <w:rPr>
            <w:color w:val="0563C1"/>
            <w:u w:val="single"/>
            <w:rFonts w:ascii="Arial" w:hAnsi="Arial"/>
            <w:sz w:val="18"/>
          </w:rPr>
          <w:t>official page</w:t>
        </w:r>
      </w:hyperlink>
    </w:p>
    <w:p>
      <w:pPr>
        <w:pStyle w:val="ListBullet"/>
        <w:spacing w:after="40"/>
        <w:ind w:left="360"/>
      </w:pPr>
      <w:r>
        <w:rPr>
          <w:rFonts w:ascii="Arial" w:hAnsi="Arial"/>
          <w:sz w:val="18"/>
        </w:rPr>
        <w:t xml:space="preserve">OpenTelemetry Semantic Conventions - </w:t>
      </w:r>
      <w:hyperlink r:id="rId21">
        <w:r>
          <w:rPr>
            <w:color w:val="0563C1"/>
            <w:u w:val="single"/>
            <w:rFonts w:ascii="Arial" w:hAnsi="Arial"/>
            <w:sz w:val="18"/>
          </w:rPr>
          <w:t>official page</w:t>
        </w:r>
      </w:hyperlink>
    </w:p>
    <w:p>
      <w:pPr>
        <w:pStyle w:val="ListBullet"/>
        <w:spacing w:after="40"/>
        <w:ind w:left="360"/>
      </w:pPr>
      <w:r>
        <w:rPr>
          <w:rFonts w:ascii="Arial" w:hAnsi="Arial"/>
          <w:sz w:val="18"/>
        </w:rPr>
        <w:t xml:space="preserve">SLSA - </w:t>
      </w:r>
      <w:hyperlink r:id="rId22">
        <w:r>
          <w:rPr>
            <w:color w:val="0563C1"/>
            <w:u w:val="single"/>
            <w:rFonts w:ascii="Arial" w:hAnsi="Arial"/>
            <w:sz w:val="18"/>
          </w:rPr>
          <w:t>official page</w:t>
        </w:r>
      </w:hyperlink>
    </w:p>
    <w:p>
      <w:pPr>
        <w:pStyle w:val="ListBullet"/>
        <w:spacing w:after="40"/>
        <w:ind w:left="360"/>
      </w:pPr>
      <w:r>
        <w:rPr>
          <w:rFonts w:ascii="Arial" w:hAnsi="Arial"/>
          <w:sz w:val="18"/>
        </w:rPr>
        <w:t xml:space="preserve">CycloneDX - </w:t>
      </w:r>
      <w:hyperlink r:id="rId23">
        <w:r>
          <w:rPr>
            <w:color w:val="0563C1"/>
            <w:u w:val="single"/>
            <w:rFonts w:ascii="Arial" w:hAnsi="Arial"/>
            <w:sz w:val="18"/>
          </w:rPr>
          <w:t>official page</w:t>
        </w:r>
      </w:hyperlink>
    </w:p>
    <w:p>
      <w:pPr>
        <w:pStyle w:val="ListBullet"/>
        <w:spacing w:after="40"/>
        <w:ind w:left="360"/>
      </w:pPr>
      <w:r>
        <w:rPr>
          <w:rFonts w:ascii="Arial" w:hAnsi="Arial"/>
          <w:sz w:val="18"/>
        </w:rPr>
        <w:t xml:space="preserve">OWASP Dependency Graph and SBOM Cheat Sheet - </w:t>
      </w:r>
      <w:hyperlink r:id="rId24">
        <w:r>
          <w:rPr>
            <w:color w:val="0563C1"/>
            <w:u w:val="single"/>
            <w:rFonts w:ascii="Arial" w:hAnsi="Arial"/>
            <w:sz w:val="18"/>
          </w:rPr>
          <w:t>official page</w:t>
        </w:r>
      </w:hyperlink>
    </w:p>
    <w:p>
      <w:pPr>
        <w:spacing w:after="80"/>
      </w:pPr>
      <w:r>
        <w:rPr>
          <w:rFonts w:ascii="Arial" w:hAnsi="Arial"/>
          <w:sz w:val="20"/>
        </w:rPr>
        <w:t>End of document.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3312"/>
      <w:gridCol w:w="3312"/>
      <w:gridCol w:w="3312"/>
    </w:tblGrid>
    <w:tr>
      <w:tc>
        <w:tcPr>
          <w:tcW w:type="dxa" w:w="3168"/>
          <w:tcBorders>
            <w:top w:val="nil"/>
            <w:left w:val="nil"/>
            <w:bottom w:val="nil"/>
            <w:right w:val="nil"/>
          </w:tcBorders>
        </w:tcPr>
        <w:p>
          <w:r>
            <w:rPr>
              <w:rFonts w:ascii="Arial" w:hAnsi="Arial"/>
              <w:b w:val="0"/>
              <w:i w:val="0"/>
              <w:color w:val="666666"/>
              <w:sz w:val="17"/>
            </w:rPr>
            <w:t>Enterprise Software Development Blueprint</w:t>
          </w:r>
        </w:p>
      </w:tc>
      <w:tc>
        <w:tcPr>
          <w:tcW w:type="dxa" w:w="3600"/>
          <w:tcBorders>
            <w:top w:val="nil"/>
            <w:left w:val="nil"/>
            <w:bottom w:val="nil"/>
            <w:right w:val="nil"/>
          </w:tcBorders>
        </w:tcPr>
        <w:p>
          <w:pPr>
            <w:jc w:val="center"/>
          </w:pPr>
          <w:r>
            <w:rPr>
              <w:rFonts w:ascii="Arial" w:hAnsi="Arial"/>
              <w:b w:val="0"/>
              <w:i w:val="0"/>
              <w:color w:val="666666"/>
              <w:sz w:val="16"/>
            </w:rPr>
            <w:t>Security, Quality, Performance, and Delivery</w:t>
          </w:r>
        </w:p>
      </w:tc>
      <w:tc>
        <w:tcPr>
          <w:tcW w:type="dxa" w:w="3168"/>
          <w:tcBorders>
            <w:top w:val="nil"/>
            <w:left w:val="nil"/>
            <w:bottom w:val="nil"/>
            <w:right w:val="nil"/>
          </w:tcBorders>
        </w:tcPr>
        <w:p>
          <w:pPr>
            <w:jc w:val="right"/>
          </w:pPr>
          <w:r>
            <w:rPr>
              <w:rFonts w:ascii="Arial" w:hAnsi="Arial"/>
              <w:b w:val="0"/>
              <w:i w:val="0"/>
              <w:color w:val="666666"/>
              <w:sz w:val="17"/>
            </w:rPr>
            <w:t xml:space="preserve">Page </w:t>
          </w:r>
          <w:r>
            <w:fldChar w:fldCharType="begin"/>
            <w:instrText xml:space="preserve">PAGE</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src.nist.gov/pubs/sp/800/218/final" TargetMode="External"/><Relationship Id="rId11" Type="http://schemas.openxmlformats.org/officeDocument/2006/relationships/hyperlink" Target="https://owasp.org/www-project-application-security-verification-standard/" TargetMode="External"/><Relationship Id="rId12" Type="http://schemas.openxmlformats.org/officeDocument/2006/relationships/hyperlink" Target="https://playwright.dev/docs/best-practices" TargetMode="External"/><Relationship Id="rId13" Type="http://schemas.openxmlformats.org/officeDocument/2006/relationships/hyperlink" Target="https://playwright.dev/docs/running-tests" TargetMode="External"/><Relationship Id="rId14" Type="http://schemas.openxmlformats.org/officeDocument/2006/relationships/hyperlink" Target="https://playwright.dev/docs/trace-viewer" TargetMode="External"/><Relationship Id="rId15" Type="http://schemas.openxmlformats.org/officeDocument/2006/relationships/hyperlink" Target="https://docs.github.com/en/actions/how-tos/secure-your-work" TargetMode="External"/><Relationship Id="rId16" Type="http://schemas.openxmlformats.org/officeDocument/2006/relationships/hyperlink" Target="https://docs.github.com/en/actions/reference/security/secure-use" TargetMode="External"/><Relationship Id="rId17" Type="http://schemas.openxmlformats.org/officeDocument/2006/relationships/hyperlink" Target="https://docs.github.com/en/actions/how-tos/secure-your-work/use-artifact-attestations" TargetMode="External"/><Relationship Id="rId18" Type="http://schemas.openxmlformats.org/officeDocument/2006/relationships/hyperlink" Target="https://docs.github.com/en/code-security/concepts/code-scanning/codeql/about-code-scanning-with-codeql" TargetMode="External"/><Relationship Id="rId19" Type="http://schemas.openxmlformats.org/officeDocument/2006/relationships/hyperlink" Target="https://opentelemetry.io/docs/" TargetMode="External"/><Relationship Id="rId20" Type="http://schemas.openxmlformats.org/officeDocument/2006/relationships/hyperlink" Target="https://opentelemetry.io/docs/concepts/signals/" TargetMode="External"/><Relationship Id="rId21" Type="http://schemas.openxmlformats.org/officeDocument/2006/relationships/hyperlink" Target="https://opentelemetry.io/docs/specs/semconv/" TargetMode="External"/><Relationship Id="rId22" Type="http://schemas.openxmlformats.org/officeDocument/2006/relationships/hyperlink" Target="https://slsa.dev/" TargetMode="External"/><Relationship Id="rId23" Type="http://schemas.openxmlformats.org/officeDocument/2006/relationships/hyperlink" Target="https://cyclonedx.org/" TargetMode="External"/><Relationship Id="rId24" Type="http://schemas.openxmlformats.org/officeDocument/2006/relationships/hyperlink" Target="https://cheatsheetseries.owasp.org/cheatsheets/Dependency_Graph_SBOM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