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F4E79"/>
          <w:sz w:val="48"/>
          <w:szCs w:val="48"/>
        </w:rPr>
        <w:t xml:space="preserve">Seizure Management</w:t>
      </w:r>
    </w:p>
    <w:p>
      <w:pPr>
        <w:spacing w:after="100"/>
        <w:jc w:val="center"/>
      </w:pPr>
      <w:r>
        <w:rPr>
          <w:rFonts w:ascii="Arial" w:cs="Arial" w:eastAsia="Arial" w:hAnsi="Arial"/>
          <w:b/>
          <w:bCs/>
          <w:color w:val="1F4E79"/>
          <w:sz w:val="36"/>
          <w:szCs w:val="36"/>
        </w:rPr>
        <w:t xml:space="preserve">Audio Education Guide</w:t>
      </w:r>
    </w:p>
    <w:p>
      <w:pPr>
        <w:spacing w:after="100"/>
        <w:jc w:val="center"/>
      </w:pPr>
      <w:r>
        <w:rPr>
          <w:rFonts w:ascii="Arial" w:cs="Arial" w:eastAsia="Arial" w:hAnsi="Arial"/>
          <w:color w:val="555555"/>
          <w:sz w:val="24"/>
          <w:szCs w:val="24"/>
        </w:rPr>
        <w:t xml:space="preserve">Acute Management, Sick Day Care, and Breakthrough Seizure Protocols</w:t>
      </w:r>
    </w:p>
    <w:p>
      <w:pPr>
        <w:spacing w:after="400"/>
        <w:jc w:val="center"/>
      </w:pPr>
      <w:r>
        <w:rPr>
          <w:rFonts w:ascii="Arial" w:cs="Arial" w:eastAsia="Arial" w:hAnsi="Arial"/>
          <w:color w:val="777777"/>
          <w:sz w:val="22"/>
          <w:szCs w:val="22"/>
        </w:rPr>
        <w:t xml:space="preserve">For the Pediatric Emergency Medicine CDS Project</w:t>
      </w:r>
    </w:p>
    <w:p>
      <w:pPr>
        <w:jc w:val="center"/>
      </w:pPr>
      <w:r>
        <w:rPr>
          <w:rFonts w:ascii="Arial" w:cs="Arial" w:eastAsia="Arial" w:hAnsi="Arial"/>
          <w:i/>
          <w:iCs/>
          <w:color w:val="999999"/>
          <w:sz w:val="20"/>
          <w:szCs w:val="20"/>
        </w:rPr>
        <w:t xml:space="preserve">Optimized for text-to-speech narration or human voice recording</w:t>
      </w:r>
    </w:p>
    <w:p>
      <w:r>
        <w:br w:type="page"/>
      </w:r>
    </w:p>
    <w:p>
      <w:pPr>
        <w:pStyle w:val="Heading1"/>
        <w:spacing w:after="240" w:before="400"/>
      </w:pPr>
      <w:r>
        <w:rPr>
          <w:rFonts w:ascii="Arial" w:cs="Arial" w:eastAsia="Arial" w:hAnsi="Arial"/>
          <w:b/>
          <w:bCs/>
          <w:sz w:val="32"/>
          <w:szCs w:val="32"/>
        </w:rPr>
        <w:t xml:space="preserve">Track 1: Introduction and Welcome</w:t>
      </w:r>
    </w:p>
    <w:p>
      <w:pPr>
        <w:spacing w:after="140" w:line="360"/>
      </w:pPr>
      <w:r>
        <w:rPr>
          <w:rFonts w:ascii="Arial" w:cs="Arial" w:eastAsia="Arial" w:hAnsi="Arial"/>
          <w:sz w:val="24"/>
          <w:szCs w:val="24"/>
        </w:rPr>
        <w:t xml:space="preserve">Estimated duration: 5 minutes.</w:t>
      </w:r>
    </w:p>
    <w:p>
      <w:pPr>
        <w:spacing w:after="200" w:before="200"/>
        <w:jc w:val="center"/>
      </w:pPr>
      <w:r>
        <w:rPr>
          <w:rFonts w:ascii="Arial" w:cs="Arial" w:eastAsia="Arial" w:hAnsi="Arial"/>
          <w:b/>
          <w:bCs/>
          <w:color w:val="888888"/>
          <w:sz w:val="22"/>
          <w:szCs w:val="22"/>
        </w:rPr>
        <w:t xml:space="preserve">[BEGIN TRACK 1]</w:t>
      </w:r>
    </w:p>
    <w:p>
      <w:pPr>
        <w:spacing w:after="140" w:line="360"/>
      </w:pPr>
      <w:r>
        <w:rPr>
          <w:rFonts w:ascii="Arial" w:cs="Arial" w:eastAsia="Arial" w:hAnsi="Arial"/>
          <w:sz w:val="24"/>
          <w:szCs w:val="24"/>
        </w:rPr>
        <w:t xml:space="preserve">Welcome to the Seizure Management Audio Education Guide, part of the Pediatric Emergency Medicine Clinical Decision Support Project. This guide is designed for providers in rural emergency departments, Level One and Level Two nurseries, and community hospitals who may encounter patients with active seizures, patients with epilepsy who become ill, or patients experiencing breakthrough seizures despite being on anti-seizure medications.</w:t>
      </w:r>
    </w:p>
    <w:p>
      <w:pPr>
        <w:spacing w:after="140" w:line="360"/>
      </w:pPr>
      <w:r>
        <w:rPr>
          <w:rFonts w:ascii="Arial" w:cs="Arial" w:eastAsia="Arial" w:hAnsi="Arial"/>
          <w:sz w:val="24"/>
          <w:szCs w:val="24"/>
        </w:rPr>
        <w:t xml:space="preserve">Seizures are among the most common neurological emergencies you will face. Convulsive status epilepticus, or C-S-E, has an annual incidence of ten to seventy-three episodes per one hundred thousand children, with the highest rates in children under two years of age.</w:t>
      </w:r>
    </w:p>
    <w:p>
      <w:pPr>
        <w:spacing w:after="140" w:line="360"/>
      </w:pPr>
      <w:r>
        <w:rPr>
          <w:rFonts w:ascii="Arial" w:cs="Arial" w:eastAsia="Arial" w:hAnsi="Arial"/>
          <w:sz w:val="24"/>
          <w:szCs w:val="24"/>
        </w:rPr>
        <w:t xml:space="preserve">This audio guide covers three clinical scenarios. First, the acute management of active seizures and status epilepticus, a time-critical, step-by-step algorithm that you must be able to execute under pressure. Second, sick day management for patients with chronic epilepsy, meaning how to prevent breakthrough seizures when your epilepsy patients get sick with common childhood illnesses. And third, the evaluation and treatment of breakthrough seizures, including rescue medication protocols and seizure action plans.</w:t>
      </w:r>
    </w:p>
    <w:p>
      <w:pPr>
        <w:spacing w:after="140" w:line="360"/>
      </w:pPr>
      <w:r>
        <w:rPr>
          <w:rFonts w:ascii="Arial" w:cs="Arial" w:eastAsia="Arial" w:hAnsi="Arial"/>
          <w:sz w:val="24"/>
          <w:szCs w:val="24"/>
        </w:rPr>
        <w:t xml:space="preserve">A key theme throughout this guide is that time is your most precious resource. The longer a seizure continues, the harder it becomes to stop. Approximately eighty percent of seizures respond to the first adequately dosed benzodiazepine given within five minutes. But by the time status epilepticus is established, meaning the seizure persists after two doses of a benzodiazepine, only about half of patients respond to second-line agents. After thirty minutes of continuous seizure activity, response rates drop below thirty percent.</w:t>
      </w:r>
    </w:p>
    <w:p>
      <w:pPr>
        <w:spacing w:after="200" w:before="200"/>
        <w:jc w:val="center"/>
      </w:pPr>
      <w:r>
        <w:rPr>
          <w:rFonts w:ascii="Arial" w:cs="Arial" w:eastAsia="Arial" w:hAnsi="Arial"/>
          <w:b/>
          <w:bCs/>
          <w:color w:val="888888"/>
          <w:sz w:val="22"/>
          <w:szCs w:val="22"/>
        </w:rPr>
        <w:t xml:space="preserve">[PAUSE]</w:t>
      </w:r>
    </w:p>
    <w:p>
      <w:pPr>
        <w:spacing w:after="140" w:line="360"/>
      </w:pPr>
      <w:r>
        <w:rPr>
          <w:rFonts w:ascii="Arial" w:cs="Arial" w:eastAsia="Arial" w:hAnsi="Arial"/>
          <w:sz w:val="24"/>
          <w:szCs w:val="24"/>
        </w:rPr>
        <w:t xml:space="preserve">In a rural emergency department, where transport to a tertiary center may take sixty to ninety minutes, your early treatment decisions are even more consequential. This guide will equip you with the evidence-based protocols to act decisively.</w:t>
      </w:r>
    </w:p>
    <w:p>
      <w:pPr>
        <w:spacing w:after="200" w:before="200"/>
        <w:jc w:val="center"/>
      </w:pPr>
      <w:r>
        <w:rPr>
          <w:rFonts w:ascii="Arial" w:cs="Arial" w:eastAsia="Arial" w:hAnsi="Arial"/>
          <w:b/>
          <w:bCs/>
          <w:color w:val="888888"/>
          <w:sz w:val="22"/>
          <w:szCs w:val="22"/>
        </w:rPr>
        <w:t xml:space="preserve">[SECTION BREAK]</w:t>
      </w:r>
    </w:p>
    <w:p>
      <w:pPr>
        <w:pStyle w:val="Heading1"/>
        <w:spacing w:after="240" w:before="400"/>
      </w:pPr>
      <w:r>
        <w:rPr>
          <w:rFonts w:ascii="Arial" w:cs="Arial" w:eastAsia="Arial" w:hAnsi="Arial"/>
          <w:b/>
          <w:bCs/>
          <w:sz w:val="32"/>
          <w:szCs w:val="32"/>
        </w:rPr>
        <w:t xml:space="preserve">Track 2: Acute Seizure Management — The Basics</w:t>
      </w:r>
    </w:p>
    <w:p>
      <w:pPr>
        <w:spacing w:after="140" w:line="360"/>
      </w:pPr>
      <w:r>
        <w:rPr>
          <w:rFonts w:ascii="Arial" w:cs="Arial" w:eastAsia="Arial" w:hAnsi="Arial"/>
          <w:sz w:val="24"/>
          <w:szCs w:val="24"/>
        </w:rPr>
        <w:t xml:space="preserve">Estimated duration: 12 minutes.</w:t>
      </w:r>
    </w:p>
    <w:p>
      <w:pPr>
        <w:spacing w:after="200" w:before="200"/>
        <w:jc w:val="center"/>
      </w:pPr>
      <w:r>
        <w:rPr>
          <w:rFonts w:ascii="Arial" w:cs="Arial" w:eastAsia="Arial" w:hAnsi="Arial"/>
          <w:b/>
          <w:bCs/>
          <w:color w:val="888888"/>
          <w:sz w:val="22"/>
          <w:szCs w:val="22"/>
        </w:rPr>
        <w:t xml:space="preserve">[BEGIN TRACK 2]</w:t>
      </w:r>
    </w:p>
    <w:p>
      <w:pPr>
        <w:spacing w:after="140" w:line="360"/>
      </w:pPr>
      <w:r>
        <w:rPr>
          <w:rFonts w:ascii="Arial" w:cs="Arial" w:eastAsia="Arial" w:hAnsi="Arial"/>
          <w:sz w:val="24"/>
          <w:szCs w:val="24"/>
        </w:rPr>
        <w:t xml:space="preserve">Let us walk through the acute seizure management algorithm step by step. Imagine a child is brought to your emergency department actively seizing, or a neonate in your nursery begins having rhythmic clonic movements. What do you do?</w:t>
      </w:r>
    </w:p>
    <w:p>
      <w:pPr>
        <w:pStyle w:val="Heading2"/>
        <w:spacing w:after="180" w:before="300"/>
      </w:pPr>
      <w:r>
        <w:rPr>
          <w:rFonts w:ascii="Arial" w:cs="Arial" w:eastAsia="Arial" w:hAnsi="Arial"/>
          <w:b/>
          <w:bCs/>
          <w:sz w:val="28"/>
          <w:szCs w:val="28"/>
        </w:rPr>
        <w:t xml:space="preserve">Step One: Stabilize — Time Zero</w:t>
      </w:r>
    </w:p>
    <w:p>
      <w:pPr>
        <w:spacing w:after="140" w:line="360"/>
      </w:pPr>
      <w:r>
        <w:rPr>
          <w:rFonts w:ascii="Arial" w:cs="Arial" w:eastAsia="Arial" w:hAnsi="Arial"/>
          <w:sz w:val="24"/>
          <w:szCs w:val="24"/>
        </w:rPr>
        <w:t xml:space="preserve">The moment you encounter an actively seizing patient, start the clock. Designate someone to track time if possible. Simultaneously perform your A-B-Cs. Position the patient on their side to reduce aspiration risk. Suction the oropharynx gently. Do not insert anything into the mouth, and do not try to pry the jaw open. Apply one hundred percent oxygen by face mask. Attach a pulse oximeter and cardiac monitor.</w:t>
      </w:r>
    </w:p>
    <w:p>
      <w:pPr>
        <w:spacing w:after="140" w:line="360"/>
      </w:pPr>
      <w:r>
        <w:rPr>
          <w:rFonts w:ascii="Arial" w:cs="Arial" w:eastAsia="Arial" w:hAnsi="Arial"/>
          <w:sz w:val="24"/>
          <w:szCs w:val="24"/>
        </w:rPr>
        <w:t xml:space="preserve">Check a point-of-care glucose immediately. Hypoglycemia is a treatable cause of seizures and must be ruled out first. If the glucose is below sixty milligrams per deciliter in a child, or below forty-seven in a neonate, treat with ten percent dextrose solution. The dose is five milliliters per kilogram intravenously for children, and two milliliters per kilogram for neonates.</w:t>
      </w:r>
    </w:p>
    <w:p>
      <w:pPr>
        <w:spacing w:after="200" w:before="200"/>
        <w:jc w:val="center"/>
      </w:pPr>
      <w:r>
        <w:rPr>
          <w:rFonts w:ascii="Arial" w:cs="Arial" w:eastAsia="Arial" w:hAnsi="Arial"/>
          <w:b/>
          <w:bCs/>
          <w:color w:val="888888"/>
          <w:sz w:val="22"/>
          <w:szCs w:val="22"/>
        </w:rPr>
        <w:t xml:space="preserve">[PAUSE]</w:t>
      </w:r>
    </w:p>
    <w:p>
      <w:pPr>
        <w:pStyle w:val="Heading2"/>
        <w:spacing w:after="180" w:before="300"/>
      </w:pPr>
      <w:r>
        <w:rPr>
          <w:rFonts w:ascii="Arial" w:cs="Arial" w:eastAsia="Arial" w:hAnsi="Arial"/>
          <w:b/>
          <w:bCs/>
          <w:sz w:val="28"/>
          <w:szCs w:val="28"/>
        </w:rPr>
        <w:t xml:space="preserve">Step Two: First Benzodiazepine — Five Minute Mark</w:t>
      </w:r>
    </w:p>
    <w:p>
      <w:pPr>
        <w:spacing w:after="140" w:line="360"/>
      </w:pPr>
      <w:r>
        <w:rPr>
          <w:rFonts w:ascii="Arial" w:cs="Arial" w:eastAsia="Arial" w:hAnsi="Arial"/>
          <w:sz w:val="24"/>
          <w:szCs w:val="24"/>
        </w:rPr>
        <w:t xml:space="preserve">If the seizure has lasted five minutes or more, it is time for the first benzodiazepine, or B-Z-D (bee-zee-dee). This is critical: do not delay benzodiazepine administration to obtain intravenous access. If you do not have an I-V line, use intramuscular or intranasal midazolam (mid-AZ-oh-lam) immediately.</w:t>
      </w:r>
    </w:p>
    <w:p>
      <w:pPr>
        <w:spacing w:after="140" w:line="360"/>
      </w:pPr>
      <w:r>
        <w:rPr>
          <w:rFonts w:ascii="Arial" w:cs="Arial" w:eastAsia="Arial" w:hAnsi="Arial"/>
          <w:sz w:val="24"/>
          <w:szCs w:val="24"/>
        </w:rPr>
        <w:t xml:space="preserve">Here are your first-line options. For intravenous access: lorazepam (lor-AZ-eh-pam) at zero point one milligrams per kilogram, with a maximum of four milligrams, given over two to five minutes. Alternatively, intravenous diazepam (dye-AZ-eh-pam) at zero point two milligrams per kilogram, maximum ten milligrams.</w:t>
      </w:r>
    </w:p>
    <w:p>
      <w:pPr>
        <w:spacing w:after="200" w:before="200"/>
        <w:jc w:val="center"/>
      </w:pPr>
      <w:r>
        <w:rPr>
          <w:rFonts w:ascii="Arial" w:cs="Arial" w:eastAsia="Arial" w:hAnsi="Arial"/>
          <w:b/>
          <w:bCs/>
          <w:color w:val="888888"/>
          <w:sz w:val="22"/>
          <w:szCs w:val="22"/>
        </w:rPr>
        <w:t xml:space="preserve">[PAUSE]</w:t>
      </w:r>
    </w:p>
    <w:p>
      <w:pPr>
        <w:spacing w:after="140" w:line="360"/>
      </w:pPr>
      <w:r>
        <w:rPr>
          <w:rFonts w:ascii="Arial" w:cs="Arial" w:eastAsia="Arial" w:hAnsi="Arial"/>
          <w:sz w:val="24"/>
          <w:szCs w:val="24"/>
        </w:rPr>
        <w:t xml:space="preserve">If you do not have intravenous access, your best option is intramuscular midazolam at zero point two milligrams per kilogram, maximum ten milligrams. This is based on the RAMPART trial, a landmark randomized controlled trial that demonstrated intramuscular midazolam is actually superior in effectiveness to intravenous lorazepam when I-V access is not established. You can also use intranasal midazolam at the same dose, zero point two milligrams per kilogram, administered as five milligrams per nostril.</w:t>
      </w:r>
    </w:p>
    <w:p>
      <w:pPr>
        <w:spacing w:after="140" w:line="360"/>
      </w:pPr>
      <w:r>
        <w:rPr>
          <w:rFonts w:ascii="Arial" w:cs="Arial" w:eastAsia="Arial" w:hAnsi="Arial"/>
          <w:sz w:val="24"/>
          <w:szCs w:val="24"/>
        </w:rPr>
        <w:t xml:space="preserve">A critically important point: underdosing is the most common error in seizure management. Data from the Pediatric Status Epilepticus Research Group, or P-S-E-R-G (pee-serg), shows that benzodiazepine underdosing occurred in over thirty percent of cases. Use the full weight-based dose. For example, a child who weighs thirty kilograms should receive three milligrams of lorazepam, not a generic two milligram dose.</w:t>
      </w:r>
    </w:p>
    <w:p>
      <w:pPr>
        <w:spacing w:after="200" w:before="200"/>
        <w:jc w:val="center"/>
      </w:pPr>
      <w:r>
        <w:rPr>
          <w:rFonts w:ascii="Arial" w:cs="Arial" w:eastAsia="Arial" w:hAnsi="Arial"/>
          <w:b/>
          <w:bCs/>
          <w:color w:val="888888"/>
          <w:sz w:val="22"/>
          <w:szCs w:val="22"/>
        </w:rPr>
        <w:t xml:space="preserve">[PAUSE]</w:t>
      </w:r>
    </w:p>
    <w:p>
      <w:pPr>
        <w:pStyle w:val="Heading2"/>
        <w:spacing w:after="180" w:before="300"/>
      </w:pPr>
      <w:r>
        <w:rPr>
          <w:rFonts w:ascii="Arial" w:cs="Arial" w:eastAsia="Arial" w:hAnsi="Arial"/>
          <w:b/>
          <w:bCs/>
          <w:sz w:val="28"/>
          <w:szCs w:val="28"/>
        </w:rPr>
        <w:t xml:space="preserve">Step Three: Second Benzodiazepine — Ten Minute Mark</w:t>
      </w:r>
    </w:p>
    <w:p>
      <w:pPr>
        <w:spacing w:after="140" w:line="360"/>
      </w:pPr>
      <w:r>
        <w:rPr>
          <w:rFonts w:ascii="Arial" w:cs="Arial" w:eastAsia="Arial" w:hAnsi="Arial"/>
          <w:sz w:val="24"/>
          <w:szCs w:val="24"/>
        </w:rPr>
        <w:t xml:space="preserve">If the seizure has not stopped five minutes after your first benzodiazepine dose, give a second dose of the same drug at the same dose. While doing so, establish intravenous or intraosseous access if you have not already. Begin preparing your second-line agent.</w:t>
      </w:r>
    </w:p>
    <w:p>
      <w:pPr>
        <w:spacing w:after="140" w:line="360"/>
      </w:pPr>
      <w:r>
        <w:rPr>
          <w:rFonts w:ascii="Arial" w:cs="Arial" w:eastAsia="Arial" w:hAnsi="Arial"/>
          <w:sz w:val="24"/>
          <w:szCs w:val="24"/>
        </w:rPr>
        <w:t xml:space="preserve">Important: do not give more than two doses of a benzodiazepine. Additional doses significantly increase the risk of respiratory depression without proportional improvement in seizure cessation.</w:t>
      </w:r>
    </w:p>
    <w:p>
      <w:pPr>
        <w:spacing w:after="200" w:before="200"/>
        <w:jc w:val="center"/>
      </w:pPr>
      <w:r>
        <w:rPr>
          <w:rFonts w:ascii="Arial" w:cs="Arial" w:eastAsia="Arial" w:hAnsi="Arial"/>
          <w:b/>
          <w:bCs/>
          <w:color w:val="888888"/>
          <w:sz w:val="22"/>
          <w:szCs w:val="22"/>
        </w:rPr>
        <w:t xml:space="preserve">[PAUSE]</w:t>
      </w:r>
    </w:p>
    <w:p>
      <w:pPr>
        <w:pStyle w:val="Heading2"/>
        <w:spacing w:after="180" w:before="300"/>
      </w:pPr>
      <w:r>
        <w:rPr>
          <w:rFonts w:ascii="Arial" w:cs="Arial" w:eastAsia="Arial" w:hAnsi="Arial"/>
          <w:b/>
          <w:bCs/>
          <w:sz w:val="28"/>
          <w:szCs w:val="28"/>
        </w:rPr>
        <w:t xml:space="preserve">Step Four: Second-Line Agent — Fifteen to Twenty Minute Mark</w:t>
      </w:r>
    </w:p>
    <w:p>
      <w:pPr>
        <w:spacing w:after="140" w:line="360"/>
      </w:pPr>
      <w:r>
        <w:rPr>
          <w:rFonts w:ascii="Arial" w:cs="Arial" w:eastAsia="Arial" w:hAnsi="Arial"/>
          <w:sz w:val="24"/>
          <w:szCs w:val="24"/>
        </w:rPr>
        <w:t xml:space="preserve">If seizures persist after two adequate doses of a benzodiazepine, you now have established status epilepticus. It is time for a second-line anti-seizure medication.</w:t>
      </w:r>
    </w:p>
    <w:p>
      <w:pPr>
        <w:spacing w:after="140" w:line="360"/>
      </w:pPr>
      <w:r>
        <w:rPr>
          <w:rFonts w:ascii="Arial" w:cs="Arial" w:eastAsia="Arial" w:hAnsi="Arial"/>
          <w:sz w:val="24"/>
          <w:szCs w:val="24"/>
        </w:rPr>
        <w:t xml:space="preserve">The evidence for this step comes from the Established Status Epilepticus Treatment Trial, known as ESETT (ee-set), published by Kapur and colleagues in the New England Journal of Medicine in twenty-nineteen. This was a large, multicenter, randomized, blinded trial conducted across fifty-eight United States emergency departments. Three hundred and eighty-four patients, both children and adults, were randomized to one of three drugs.</w:t>
      </w:r>
    </w:p>
    <w:p>
      <w:pPr>
        <w:spacing w:after="140" w:line="360"/>
      </w:pPr>
      <w:r>
        <w:rPr>
          <w:rFonts w:ascii="Arial" w:cs="Arial" w:eastAsia="Arial" w:hAnsi="Arial"/>
          <w:sz w:val="24"/>
          <w:szCs w:val="24"/>
        </w:rPr>
        <w:t xml:space="preserve">The results were definitive for clinical practice: levetiracetam (leh-veh-teer-ASS-eh-tam), fosphenytoin (fos-FEN-ih-toyn), and valproate (VAL-pro-ate) were all equally effective, with seizure cessation in approximately forty-five to fifty-two percent of patients. No significant differences in safety were found.</w:t>
      </w:r>
    </w:p>
    <w:p>
      <w:pPr>
        <w:spacing w:after="200" w:before="200"/>
        <w:jc w:val="center"/>
      </w:pPr>
      <w:r>
        <w:rPr>
          <w:rFonts w:ascii="Arial" w:cs="Arial" w:eastAsia="Arial" w:hAnsi="Arial"/>
          <w:b/>
          <w:bCs/>
          <w:color w:val="888888"/>
          <w:sz w:val="22"/>
          <w:szCs w:val="22"/>
        </w:rPr>
        <w:t xml:space="preserve">[PAUSE]</w:t>
      </w:r>
    </w:p>
    <w:p>
      <w:pPr>
        <w:spacing w:after="140" w:line="360"/>
      </w:pPr>
      <w:r>
        <w:rPr>
          <w:rFonts w:ascii="Arial" w:cs="Arial" w:eastAsia="Arial" w:hAnsi="Arial"/>
          <w:sz w:val="24"/>
          <w:szCs w:val="24"/>
        </w:rPr>
        <w:t xml:space="preserve">The doses from the ESETT trial are critically important and often higher than what many providers are accustomed to using. Levetiracetam at sixty milligrams per kilogram intravenously, maximum forty-five hundred milligrams, infused over ten minutes. Fosphenytoin at twenty milligrams per kilogram phenytoin equivalents intravenously, maximum fifteen hundred milligrams phenytoin equivalents, over ten minutes. Or valproate at forty milligrams per kilogram intravenously, maximum three thousand milligrams, over ten minutes.</w:t>
      </w:r>
    </w:p>
    <w:p>
      <w:pPr>
        <w:spacing w:after="140" w:line="360"/>
      </w:pPr>
      <w:r>
        <w:rPr>
          <w:rFonts w:ascii="Arial" w:cs="Arial" w:eastAsia="Arial" w:hAnsi="Arial"/>
          <w:sz w:val="24"/>
          <w:szCs w:val="24"/>
        </w:rPr>
        <w:t xml:space="preserve">For drug selection, consider the following. Levetiracetam has the fewest drug interactions and does not require cardiac monitoring, making it practical in resource-limited settings. Fosphenytoin requires continuous cardiac monitoring during infusion and should be avoided in patients with cardiac disease. Valproate should be avoided in children under two years of age due to the risk of hepatotoxicity, and must be strictly avoided in patients with known or suspected mitochondrial disease.</w:t>
      </w:r>
    </w:p>
    <w:p>
      <w:pPr>
        <w:spacing w:after="200" w:before="200"/>
        <w:jc w:val="center"/>
      </w:pPr>
      <w:r>
        <w:rPr>
          <w:rFonts w:ascii="Arial" w:cs="Arial" w:eastAsia="Arial" w:hAnsi="Arial"/>
          <w:b/>
          <w:bCs/>
          <w:color w:val="888888"/>
          <w:sz w:val="22"/>
          <w:szCs w:val="22"/>
        </w:rPr>
        <w:t xml:space="preserve">[SECTION BREAK]</w:t>
      </w:r>
    </w:p>
    <w:p>
      <w:pPr>
        <w:pStyle w:val="Heading1"/>
        <w:spacing w:after="240" w:before="400"/>
      </w:pPr>
      <w:r>
        <w:rPr>
          <w:rFonts w:ascii="Arial" w:cs="Arial" w:eastAsia="Arial" w:hAnsi="Arial"/>
          <w:b/>
          <w:bCs/>
          <w:sz w:val="32"/>
          <w:szCs w:val="32"/>
        </w:rPr>
        <w:t xml:space="preserve">Track 2B: Levetiracetam (Keppra) and Fosphenytoin — Drug Deep Dive</w:t>
      </w:r>
    </w:p>
    <w:p>
      <w:pPr>
        <w:spacing w:after="140" w:line="360"/>
      </w:pPr>
      <w:r>
        <w:rPr>
          <w:rFonts w:ascii="Arial" w:cs="Arial" w:eastAsia="Arial" w:hAnsi="Arial"/>
          <w:sz w:val="24"/>
          <w:szCs w:val="24"/>
        </w:rPr>
        <w:t xml:space="preserve">Estimated duration: 12 minutes.</w:t>
      </w:r>
    </w:p>
    <w:p>
      <w:pPr>
        <w:spacing w:after="200" w:before="200"/>
        <w:jc w:val="center"/>
      </w:pPr>
      <w:r>
        <w:rPr>
          <w:rFonts w:ascii="Arial" w:cs="Arial" w:eastAsia="Arial" w:hAnsi="Arial"/>
          <w:b/>
          <w:bCs/>
          <w:color w:val="888888"/>
          <w:sz w:val="22"/>
          <w:szCs w:val="22"/>
        </w:rPr>
        <w:t xml:space="preserve">[BEGIN TRACK 2B]</w:t>
      </w:r>
    </w:p>
    <w:p>
      <w:pPr>
        <w:spacing w:after="140" w:line="360"/>
      </w:pPr>
      <w:r>
        <w:rPr>
          <w:rFonts w:ascii="Arial" w:cs="Arial" w:eastAsia="Arial" w:hAnsi="Arial"/>
          <w:sz w:val="24"/>
          <w:szCs w:val="24"/>
        </w:rPr>
        <w:t xml:space="preserve">Now that you understand the overall algorithm, let us take a deeper look at the two most commonly used second-line agents: levetiracetam, brand name Keppra (KEP-rah), and fosphenytoin (fos-FEN-ih-toyn). Both are equally effective based on the ESETT trial, but they have very different practical profiles that matter in your clinical setting.</w:t>
      </w:r>
    </w:p>
    <w:p>
      <w:pPr>
        <w:spacing w:after="200" w:before="200"/>
        <w:jc w:val="center"/>
      </w:pPr>
      <w:r>
        <w:rPr>
          <w:rFonts w:ascii="Arial" w:cs="Arial" w:eastAsia="Arial" w:hAnsi="Arial"/>
          <w:b/>
          <w:bCs/>
          <w:color w:val="888888"/>
          <w:sz w:val="22"/>
          <w:szCs w:val="22"/>
        </w:rPr>
        <w:t xml:space="preserve">[PAUSE]</w:t>
      </w:r>
    </w:p>
    <w:p>
      <w:pPr>
        <w:pStyle w:val="Heading2"/>
        <w:spacing w:after="180" w:before="300"/>
      </w:pPr>
      <w:r>
        <w:rPr>
          <w:rFonts w:ascii="Arial" w:cs="Arial" w:eastAsia="Arial" w:hAnsi="Arial"/>
          <w:b/>
          <w:bCs/>
          <w:sz w:val="28"/>
          <w:szCs w:val="28"/>
        </w:rPr>
        <w:t xml:space="preserve">Levetiracetam — Keppra</w:t>
      </w:r>
    </w:p>
    <w:p>
      <w:pPr>
        <w:spacing w:after="140" w:line="360"/>
      </w:pPr>
      <w:r>
        <w:rPr>
          <w:rFonts w:ascii="Arial" w:cs="Arial" w:eastAsia="Arial" w:hAnsi="Arial"/>
          <w:sz w:val="24"/>
          <w:szCs w:val="24"/>
        </w:rPr>
        <w:t xml:space="preserve">Levetiracetam works by binding to a protein called synaptic vesicle protein two-A, or S-V-two-A (ess-vee-two-ay). This mechanism is completely different from all other anti-seizure medications. It does not work on GABA receptors, sodium channels, or calcium channels. This unique mechanism means it complements rather than duplicates what benzodiazepines do, providing a solid pharmacological rationale for using it after benzodiazepine failure.</w:t>
      </w:r>
    </w:p>
    <w:p>
      <w:pPr>
        <w:spacing w:after="140" w:line="360"/>
      </w:pPr>
      <w:r>
        <w:rPr>
          <w:rFonts w:ascii="Arial" w:cs="Arial" w:eastAsia="Arial" w:hAnsi="Arial"/>
          <w:sz w:val="24"/>
          <w:szCs w:val="24"/>
        </w:rPr>
        <w:t xml:space="preserve">The pharmacokinetics of levetiracetam are remarkably clean. It has nearly one hundred percent oral bioavailability, meaning the intravenous and oral doses are identical, with a one-to-one conversion. It is less than ten percent protein-bound and is not metabolized by the liver's cytochrome P-four-fifty enzyme system. It is excreted primarily by the kidneys. What this means practically is that levetiracetam has virtually no drug interactions. In an emergency department where you may not know everything the patient is taking, this is a major advantage.</w:t>
      </w:r>
    </w:p>
    <w:p>
      <w:pPr>
        <w:spacing w:after="200" w:before="200"/>
        <w:jc w:val="center"/>
      </w:pPr>
      <w:r>
        <w:rPr>
          <w:rFonts w:ascii="Arial" w:cs="Arial" w:eastAsia="Arial" w:hAnsi="Arial"/>
          <w:b/>
          <w:bCs/>
          <w:color w:val="888888"/>
          <w:sz w:val="22"/>
          <w:szCs w:val="22"/>
        </w:rPr>
        <w:t xml:space="preserve">[PAUSE]</w:t>
      </w:r>
    </w:p>
    <w:p>
      <w:pPr>
        <w:spacing w:after="140" w:line="360"/>
      </w:pPr>
      <w:r>
        <w:rPr>
          <w:rFonts w:ascii="Arial" w:cs="Arial" w:eastAsia="Arial" w:hAnsi="Arial"/>
          <w:sz w:val="24"/>
          <w:szCs w:val="24"/>
        </w:rPr>
        <w:t xml:space="preserve">The evidence for levetiracetam comes from three landmark randomized controlled trials. First, the EcLiPSE trial, published in The Lancet in twenty-nineteen, tested levetiracetam at forty milligrams per kilogram against phenytoin at twenty milligrams per kilogram in two hundred and eighty-six children across thirty United Kingdom emergency departments. Levetiracetam terminated seizures in seventy percent of children compared to sixty-four percent with phenytoin. While this difference was not statistically significant, the authors noted that levetiracetam's comparable efficacy combined with its faster administration time of just five minutes, versus more than twenty minutes for phenytoin, and its better safety profile make it an appropriate alternative as a first-choice second-line agent.</w:t>
      </w:r>
    </w:p>
    <w:p>
      <w:pPr>
        <w:spacing w:after="200" w:before="200"/>
        <w:jc w:val="center"/>
      </w:pPr>
      <w:r>
        <w:rPr>
          <w:rFonts w:ascii="Arial" w:cs="Arial" w:eastAsia="Arial" w:hAnsi="Arial"/>
          <w:b/>
          <w:bCs/>
          <w:color w:val="888888"/>
          <w:sz w:val="22"/>
          <w:szCs w:val="22"/>
        </w:rPr>
        <w:t xml:space="preserve">[PAUSE]</w:t>
      </w:r>
    </w:p>
    <w:p>
      <w:pPr>
        <w:spacing w:after="140" w:line="360"/>
      </w:pPr>
      <w:r>
        <w:rPr>
          <w:rFonts w:ascii="Arial" w:cs="Arial" w:eastAsia="Arial" w:hAnsi="Arial"/>
          <w:sz w:val="24"/>
          <w:szCs w:val="24"/>
        </w:rPr>
        <w:t xml:space="preserve">Second, the ConSEPT trial, also in The Lancet in twenty-nineteen, compared the same two drugs in two hundred and thirty-three children across Australia and New Zealand. This time, phenytoin had a numerically higher seizure cessation rate of sixty percent versus fifty percent for levetiracetam at five minutes after infusion completion, but again this difference was not statistically significant. Levetiracetam was not shown to be superior to phenytoin.</w:t>
      </w:r>
    </w:p>
    <w:p>
      <w:pPr>
        <w:spacing w:after="140" w:line="360"/>
      </w:pPr>
      <w:r>
        <w:rPr>
          <w:rFonts w:ascii="Arial" w:cs="Arial" w:eastAsia="Arial" w:hAnsi="Arial"/>
          <w:sz w:val="24"/>
          <w:szCs w:val="24"/>
        </w:rPr>
        <w:t xml:space="preserve">Third and most importantly, the ESETT trial in twenty-nineteen used a higher dose of levetiracetam, sixty milligrams per kilogram, and found it equally effective to fosphenytoin and valproate, with seizure cessation in approximately fifty-two percent of children. A twenty twenty-one systematic review and meta-analysis pooling ten randomized trials with over nineteen hundred participants confirmed that there was no significant difference between levetiracetam and phenytoin, fosphenytoin, or valproate for seizure cessation, intensive care admissions, adverse events, or mortality.</w:t>
      </w:r>
    </w:p>
    <w:p>
      <w:pPr>
        <w:spacing w:after="200" w:before="200"/>
        <w:jc w:val="center"/>
      </w:pPr>
      <w:r>
        <w:rPr>
          <w:rFonts w:ascii="Arial" w:cs="Arial" w:eastAsia="Arial" w:hAnsi="Arial"/>
          <w:b/>
          <w:bCs/>
          <w:color w:val="888888"/>
          <w:sz w:val="22"/>
          <w:szCs w:val="22"/>
        </w:rPr>
        <w:t xml:space="preserve">[PAUSE]</w:t>
      </w:r>
    </w:p>
    <w:p>
      <w:pPr>
        <w:spacing w:after="140" w:line="360"/>
      </w:pPr>
      <w:r>
        <w:rPr>
          <w:rFonts w:ascii="Arial" w:cs="Arial" w:eastAsia="Arial" w:hAnsi="Arial"/>
          <w:sz w:val="24"/>
          <w:szCs w:val="24"/>
        </w:rPr>
        <w:t xml:space="preserve">A twenty twenty-four network meta-analysis of twenty-three trials, published in the journal Medicine, ranked levetiracetam as the safest option for children and elderly patients, with the lowest probability of respiratory depression among all second-line agents. This safety advantage is particularly relevant in settings where respiratory monitoring and intubation capability may be limited.</w:t>
      </w:r>
    </w:p>
    <w:p>
      <w:pPr>
        <w:spacing w:after="140" w:line="360"/>
      </w:pPr>
      <w:r>
        <w:rPr>
          <w:rFonts w:ascii="Arial" w:cs="Arial" w:eastAsia="Arial" w:hAnsi="Arial"/>
          <w:sz w:val="24"/>
          <w:szCs w:val="24"/>
        </w:rPr>
        <w:t xml:space="preserve">The practical advantages of levetiracetam for your rural emergency department are substantial. No cardiac monitoring is required during or after infusion. It has the fastest administration time at five to ten minutes. It has virtually no drug interactions. It is available in both intravenous and oral formulations at identical doses. And it is safe across all age groups, including patients with liver disease where valproate would be dangerous, or cardiac disease where fosphenytoin would be risky. If your emergency department can stock only one second-line agent for status epilepticus, levetiracetam is the most versatile choice.</w:t>
      </w:r>
    </w:p>
    <w:p>
      <w:pPr>
        <w:spacing w:after="140" w:line="360"/>
      </w:pPr>
      <w:r>
        <w:rPr>
          <w:rFonts w:ascii="Arial" w:cs="Arial" w:eastAsia="Arial" w:hAnsi="Arial"/>
          <w:sz w:val="24"/>
          <w:szCs w:val="24"/>
        </w:rPr>
        <w:t xml:space="preserve">The main precaution with levetiracetam is that the dose must be adjusted in patients with kidney failure, specifically when the creatinine clearance falls below fifty milliliters per minute. Also, on chronic therapy, some patients experience behavioral side effects including irritability and aggression, though this is less relevant in the acute setting.</w:t>
      </w:r>
    </w:p>
    <w:p>
      <w:pPr>
        <w:spacing w:after="200" w:before="200"/>
        <w:jc w:val="center"/>
      </w:pPr>
      <w:r>
        <w:rPr>
          <w:rFonts w:ascii="Arial" w:cs="Arial" w:eastAsia="Arial" w:hAnsi="Arial"/>
          <w:b/>
          <w:bCs/>
          <w:color w:val="888888"/>
          <w:sz w:val="22"/>
          <w:szCs w:val="22"/>
        </w:rPr>
        <w:t xml:space="preserve">[PAUSE]</w:t>
      </w:r>
    </w:p>
    <w:p>
      <w:pPr>
        <w:pStyle w:val="Heading2"/>
        <w:spacing w:after="180" w:before="300"/>
      </w:pPr>
      <w:r>
        <w:rPr>
          <w:rFonts w:ascii="Arial" w:cs="Arial" w:eastAsia="Arial" w:hAnsi="Arial"/>
          <w:b/>
          <w:bCs/>
          <w:sz w:val="28"/>
          <w:szCs w:val="28"/>
        </w:rPr>
        <w:t xml:space="preserve">Fosphenytoin</w:t>
      </w:r>
    </w:p>
    <w:p>
      <w:pPr>
        <w:spacing w:after="140" w:line="360"/>
      </w:pPr>
      <w:r>
        <w:rPr>
          <w:rFonts w:ascii="Arial" w:cs="Arial" w:eastAsia="Arial" w:hAnsi="Arial"/>
          <w:sz w:val="24"/>
          <w:szCs w:val="24"/>
        </w:rPr>
        <w:t xml:space="preserve">Fosphenytoin is a water-soluble prodrug of phenytoin (FEN-ih-toyn). Once injected, enzymes in the blood called phosphatases (FOSS-fah-tay-sez) rapidly convert it to phenytoin over about eight to fifteen minutes. Phenytoin then blocks voltage-gated sodium channels in a use-dependent manner, meaning it preferentially targets neurons that are firing rapidly and abnormally, which is exactly what happens during a seizure.</w:t>
      </w:r>
    </w:p>
    <w:p>
      <w:pPr>
        <w:spacing w:after="140" w:line="360"/>
      </w:pPr>
      <w:r>
        <w:rPr>
          <w:rFonts w:ascii="Arial" w:cs="Arial" w:eastAsia="Arial" w:hAnsi="Arial"/>
          <w:sz w:val="24"/>
          <w:szCs w:val="24"/>
        </w:rPr>
        <w:t xml:space="preserve">Fosphenytoin has the longest track record of any second-line agent for status epilepticus. It is the only drug in this class with specific FDA labeling for status epilepticus in adults. Nine out of ten hospitals in the Pediatric Status Epilepticus Research Group recommended fosphenytoin as their second-line agent in their treatment pathways, reflecting decades of institutional familiarity.</w:t>
      </w:r>
    </w:p>
    <w:p>
      <w:pPr>
        <w:spacing w:after="200" w:before="200"/>
        <w:jc w:val="center"/>
      </w:pPr>
      <w:r>
        <w:rPr>
          <w:rFonts w:ascii="Arial" w:cs="Arial" w:eastAsia="Arial" w:hAnsi="Arial"/>
          <w:b/>
          <w:bCs/>
          <w:color w:val="888888"/>
          <w:sz w:val="22"/>
          <w:szCs w:val="22"/>
        </w:rPr>
        <w:t xml:space="preserve">[PAUSE]</w:t>
      </w:r>
    </w:p>
    <w:p>
      <w:pPr>
        <w:spacing w:after="140" w:line="360"/>
      </w:pPr>
      <w:r>
        <w:rPr>
          <w:rFonts w:ascii="Arial" w:cs="Arial" w:eastAsia="Arial" w:hAnsi="Arial"/>
          <w:sz w:val="24"/>
          <w:szCs w:val="24"/>
        </w:rPr>
        <w:t xml:space="preserve">In the ESETT trial, fosphenytoin at twenty milligrams per kilogram phenytoin equivalents achieved seizure cessation with improved consciousness in forty-five percent of patients overall, and forty-nine percent of children. This was statistically equivalent to levetiracetam and valproate.</w:t>
      </w:r>
    </w:p>
    <w:p>
      <w:pPr>
        <w:spacing w:after="140" w:line="360"/>
      </w:pPr>
      <w:r>
        <w:rPr>
          <w:rFonts w:ascii="Arial" w:cs="Arial" w:eastAsia="Arial" w:hAnsi="Arial"/>
          <w:sz w:val="24"/>
          <w:szCs w:val="24"/>
        </w:rPr>
        <w:t xml:space="preserve">However, fosphenytoin has some important disadvantages that you need to know about. First, it requires continuous cardiac monitoring during infusion because of the risk of QT prolongation, bradycardia, and hypotension. In the ESETT trial, fosphenytoin had numerically higher rates of hypotension at three point two percent compared to zero point seven percent for levetiracetam and one point six percent for valproate. It also had the highest intubation rate at twenty-six point four percent, compared to twenty percent for levetiracetam. While these differences were not statistically significant, they are worth noting.</w:t>
      </w:r>
    </w:p>
    <w:p>
      <w:pPr>
        <w:spacing w:after="200" w:before="200"/>
        <w:jc w:val="center"/>
      </w:pPr>
      <w:r>
        <w:rPr>
          <w:rFonts w:ascii="Arial" w:cs="Arial" w:eastAsia="Arial" w:hAnsi="Arial"/>
          <w:b/>
          <w:bCs/>
          <w:color w:val="888888"/>
          <w:sz w:val="22"/>
          <w:szCs w:val="22"/>
        </w:rPr>
        <w:t xml:space="preserve">[PAUSE]</w:t>
      </w:r>
    </w:p>
    <w:p>
      <w:pPr>
        <w:spacing w:after="140" w:line="360"/>
      </w:pPr>
      <w:r>
        <w:rPr>
          <w:rFonts w:ascii="Arial" w:cs="Arial" w:eastAsia="Arial" w:hAnsi="Arial"/>
          <w:sz w:val="24"/>
          <w:szCs w:val="24"/>
        </w:rPr>
        <w:t xml:space="preserve">Second, phenytoin has complex pharmacokinetics. It is approximately ninety percent protein-bound, primarily to albumin. In patients with low albumin, which is common in neonates, critically ill children, and patients with liver or kidney disease, the free phenytoin fraction increases and can cause toxicity even when the total level appears to be in the therapeutic range. In these patients, you should order a free phenytoin level with a target of one to two micrograms per milliliter, rather than relying on the total level.</w:t>
      </w:r>
    </w:p>
    <w:p>
      <w:pPr>
        <w:spacing w:after="140" w:line="360"/>
      </w:pPr>
      <w:r>
        <w:rPr>
          <w:rFonts w:ascii="Arial" w:cs="Arial" w:eastAsia="Arial" w:hAnsi="Arial"/>
          <w:sz w:val="24"/>
          <w:szCs w:val="24"/>
        </w:rPr>
        <w:t xml:space="preserve">Third, phenytoin exhibits zero-order kinetics at therapeutic levels. This means that small increases in dose can cause disproportionately large increases in blood levels. This makes dose adjustments tricky and is a common source of toxicity. Signs of phenytoin toxicity include nystagmus (nis-TAG-mus), meaning involuntary eye movements, ataxia (ah-TAX-ee-ah), meaning unsteady gait, and altered mental status, which can be difficult to distinguish from the post-ictal state.</w:t>
      </w:r>
    </w:p>
    <w:p>
      <w:pPr>
        <w:spacing w:after="140" w:line="360"/>
      </w:pPr>
      <w:r>
        <w:rPr>
          <w:rFonts w:ascii="Arial" w:cs="Arial" w:eastAsia="Arial" w:hAnsi="Arial"/>
          <w:sz w:val="24"/>
          <w:szCs w:val="24"/>
        </w:rPr>
        <w:t xml:space="preserve">Fourth, phenytoin has numerous drug interactions because it is both a substrate and an inducer of the cytochrome P-four-fifty enzyme system, specifically C-Y-P-two-C-nine and two-C-nineteen. This means it can affect the levels of many other medications the patient may be taking.</w:t>
      </w:r>
    </w:p>
    <w:p>
      <w:pPr>
        <w:spacing w:after="200" w:before="200"/>
        <w:jc w:val="center"/>
      </w:pPr>
      <w:r>
        <w:rPr>
          <w:rFonts w:ascii="Arial" w:cs="Arial" w:eastAsia="Arial" w:hAnsi="Arial"/>
          <w:b/>
          <w:bCs/>
          <w:color w:val="888888"/>
          <w:sz w:val="22"/>
          <w:szCs w:val="22"/>
        </w:rPr>
        <w:t xml:space="preserve">[PAUSE]</w:t>
      </w:r>
    </w:p>
    <w:p>
      <w:pPr>
        <w:spacing w:after="140" w:line="360"/>
      </w:pPr>
      <w:r>
        <w:rPr>
          <w:rFonts w:ascii="Arial" w:cs="Arial" w:eastAsia="Arial" w:hAnsi="Arial"/>
          <w:sz w:val="24"/>
          <w:szCs w:val="24"/>
        </w:rPr>
        <w:t xml:space="preserve">So when should you choose fosphenytoin over levetiracetam? The primary reasons are institutional familiarity, meaning your team is experienced with this drug and comfortable with its monitoring requirements, and when you specifically want therapeutic drug monitoring available. Phenytoin has well-established target levels, whereas levetiracetam levels are not routinely monitored. Fosphenytoin also has a complementary mechanism of action to benzodiazepines: where benzodiazepines enhance GABA, fosphenytoin blocks sodium channels, and this mechanistic diversity can sometimes be an advantage.</w:t>
      </w:r>
    </w:p>
    <w:p>
      <w:pPr>
        <w:spacing w:after="140" w:line="360"/>
      </w:pPr>
      <w:r>
        <w:rPr>
          <w:rFonts w:ascii="Arial" w:cs="Arial" w:eastAsia="Arial" w:hAnsi="Arial"/>
          <w:sz w:val="24"/>
          <w:szCs w:val="24"/>
        </w:rPr>
        <w:t xml:space="preserve">One absolute contraindication to remember: fosphenytoin must never be combined with intravenous lidocaine because of the risk of additive cardiac conduction depression. This is particularly relevant in the neonatal setting where lidocaine is sometimes used as a second-line agent for neonatal seizures.</w:t>
      </w:r>
    </w:p>
    <w:p>
      <w:pPr>
        <w:spacing w:after="200" w:before="200"/>
        <w:jc w:val="center"/>
      </w:pPr>
      <w:r>
        <w:rPr>
          <w:rFonts w:ascii="Arial" w:cs="Arial" w:eastAsia="Arial" w:hAnsi="Arial"/>
          <w:b/>
          <w:bCs/>
          <w:color w:val="888888"/>
          <w:sz w:val="22"/>
          <w:szCs w:val="22"/>
        </w:rPr>
        <w:t xml:space="preserve">[PAUSE]</w:t>
      </w:r>
    </w:p>
    <w:p>
      <w:pPr>
        <w:pStyle w:val="Heading2"/>
        <w:spacing w:after="180" w:before="300"/>
      </w:pPr>
      <w:r>
        <w:rPr>
          <w:rFonts w:ascii="Arial" w:cs="Arial" w:eastAsia="Arial" w:hAnsi="Arial"/>
          <w:b/>
          <w:bCs/>
          <w:sz w:val="28"/>
          <w:szCs w:val="28"/>
        </w:rPr>
        <w:t xml:space="preserve">Choosing Between Levetiracetam and Fosphenytoin</w:t>
      </w:r>
    </w:p>
    <w:p>
      <w:pPr>
        <w:spacing w:after="140" w:line="360"/>
      </w:pPr>
      <w:r>
        <w:rPr>
          <w:rFonts w:ascii="Arial" w:cs="Arial" w:eastAsia="Arial" w:hAnsi="Arial"/>
          <w:sz w:val="24"/>
          <w:szCs w:val="24"/>
        </w:rPr>
        <w:t xml:space="preserve">Let me give you a simple decision framework. In a rural emergency department without continuous cardiac monitoring capability, levetiracetam is the clear choice. It is equally effective, faster to administer, has no drug interactions, and requires no cardiac monitoring. In a setting with full monitoring capability and institutional familiarity with fosphenytoin, either drug is appropriate. If the patient has kidney failure, fosphenytoin may be preferred because levetiracetam requires dose adjustment. If the patient has cardiac disease, levetiracetam is preferred because fosphenytoin can cause cardiac depression. And if the patient has liver disease, levetiracetam is again preferred because it is not hepatically metabolized.</w:t>
      </w:r>
    </w:p>
    <w:p>
      <w:pPr>
        <w:spacing w:after="140" w:line="360"/>
      </w:pPr>
      <w:r>
        <w:rPr>
          <w:rFonts w:ascii="Arial" w:cs="Arial" w:eastAsia="Arial" w:hAnsi="Arial"/>
          <w:sz w:val="24"/>
          <w:szCs w:val="24"/>
        </w:rPr>
        <w:t xml:space="preserve">Remember: whichever drug you choose, use the full ESETT trial doses. The number one error in second-line seizure management is underdosing. Levetiracetam should be given at sixty milligrams per kilogram, not the lower doses sometimes cited in other contexts. Fosphenytoin at twenty milligrams per kilogram phenytoin equivalents. Get it in, get it in fast, and get the full dose.</w:t>
      </w:r>
    </w:p>
    <w:p>
      <w:pPr>
        <w:spacing w:after="200" w:before="200"/>
        <w:jc w:val="center"/>
      </w:pPr>
      <w:r>
        <w:rPr>
          <w:rFonts w:ascii="Arial" w:cs="Arial" w:eastAsia="Arial" w:hAnsi="Arial"/>
          <w:b/>
          <w:bCs/>
          <w:color w:val="888888"/>
          <w:sz w:val="22"/>
          <w:szCs w:val="22"/>
        </w:rPr>
        <w:t xml:space="preserve">[SECTION BREAK]</w:t>
      </w:r>
    </w:p>
    <w:p>
      <w:pPr>
        <w:pStyle w:val="Heading1"/>
        <w:spacing w:after="240" w:before="400"/>
      </w:pPr>
      <w:r>
        <w:rPr>
          <w:rFonts w:ascii="Arial" w:cs="Arial" w:eastAsia="Arial" w:hAnsi="Arial"/>
          <w:b/>
          <w:bCs/>
          <w:sz w:val="32"/>
          <w:szCs w:val="32"/>
        </w:rPr>
        <w:t xml:space="preserve">Track 3: Sick Day Management for Epilepsy Patients</w:t>
      </w:r>
    </w:p>
    <w:p>
      <w:pPr>
        <w:spacing w:after="140" w:line="360"/>
      </w:pPr>
      <w:r>
        <w:rPr>
          <w:rFonts w:ascii="Arial" w:cs="Arial" w:eastAsia="Arial" w:hAnsi="Arial"/>
          <w:sz w:val="24"/>
          <w:szCs w:val="24"/>
        </w:rPr>
        <w:t xml:space="preserve">Estimated duration: 10 minutes.</w:t>
      </w:r>
    </w:p>
    <w:p>
      <w:pPr>
        <w:spacing w:after="200" w:before="200"/>
        <w:jc w:val="center"/>
      </w:pPr>
      <w:r>
        <w:rPr>
          <w:rFonts w:ascii="Arial" w:cs="Arial" w:eastAsia="Arial" w:hAnsi="Arial"/>
          <w:b/>
          <w:bCs/>
          <w:color w:val="888888"/>
          <w:sz w:val="22"/>
          <w:szCs w:val="22"/>
        </w:rPr>
        <w:t xml:space="preserve">[BEGIN TRACK 3]</w:t>
      </w:r>
    </w:p>
    <w:p>
      <w:pPr>
        <w:spacing w:after="140" w:line="360"/>
      </w:pPr>
      <w:r>
        <w:rPr>
          <w:rFonts w:ascii="Arial" w:cs="Arial" w:eastAsia="Arial" w:hAnsi="Arial"/>
          <w:sz w:val="24"/>
          <w:szCs w:val="24"/>
        </w:rPr>
        <w:t xml:space="preserve">Now let us turn to a scenario that is perhaps less dramatic than status epilepticus but equally important: what happens when a child with epilepsy gets a common childhood illness. A stomach flu, a respiratory infection, or a febrile illness can quickly destabilize a patient who has been well-controlled on their anti-seizure medications for months or years.</w:t>
      </w:r>
    </w:p>
    <w:p>
      <w:pPr>
        <w:spacing w:after="140" w:line="360"/>
      </w:pPr>
      <w:r>
        <w:rPr>
          <w:rFonts w:ascii="Arial" w:cs="Arial" w:eastAsia="Arial" w:hAnsi="Arial"/>
          <w:sz w:val="24"/>
          <w:szCs w:val="24"/>
        </w:rPr>
        <w:t xml:space="preserve">There are four reasons why illness increases seizure risk. First, fever directly lowers the seizure threshold. Second, dehydration causes electrolyte abnormalities. Third, sleep deprivation from illness disrupts normal brain rhythms. And fourth, and most importantly, gastrointestinal illness can prevent absorption of oral anti-seizure medications.</w:t>
      </w:r>
    </w:p>
    <w:p>
      <w:pPr>
        <w:spacing w:after="200" w:before="200"/>
        <w:jc w:val="center"/>
      </w:pPr>
      <w:r>
        <w:rPr>
          <w:rFonts w:ascii="Arial" w:cs="Arial" w:eastAsia="Arial" w:hAnsi="Arial"/>
          <w:b/>
          <w:bCs/>
          <w:color w:val="888888"/>
          <w:sz w:val="22"/>
          <w:szCs w:val="22"/>
        </w:rPr>
        <w:t xml:space="preserve">[PAUSE]</w:t>
      </w:r>
    </w:p>
    <w:p>
      <w:pPr>
        <w:pStyle w:val="Heading2"/>
        <w:spacing w:after="180" w:before="300"/>
      </w:pPr>
      <w:r>
        <w:rPr>
          <w:rFonts w:ascii="Arial" w:cs="Arial" w:eastAsia="Arial" w:hAnsi="Arial"/>
          <w:b/>
          <w:bCs/>
          <w:sz w:val="28"/>
          <w:szCs w:val="28"/>
        </w:rPr>
        <w:t xml:space="preserve">The Most Important Rule</w:t>
      </w:r>
    </w:p>
    <w:p>
      <w:pPr>
        <w:spacing w:after="140" w:line="360"/>
      </w:pPr>
      <w:r>
        <w:rPr>
          <w:rFonts w:ascii="Arial" w:cs="Arial" w:eastAsia="Arial" w:hAnsi="Arial"/>
          <w:sz w:val="24"/>
          <w:szCs w:val="24"/>
        </w:rPr>
        <w:t xml:space="preserve">Let me emphasize this as clearly as possible: missed anti-seizure medication doses are the single most common cause of breakthrough seizures in patients with epilepsy. During illness, maintaining medication adherence is the absolute highest priority. Every scheduled dose must be given at the usual time. If oral administration is not possible because the patient is vomiting, you must find an alternative route immediately.</w:t>
      </w:r>
    </w:p>
    <w:p>
      <w:pPr>
        <w:spacing w:after="140" w:line="360"/>
      </w:pPr>
      <w:r>
        <w:rPr>
          <w:rFonts w:ascii="Arial" w:cs="Arial" w:eastAsia="Arial" w:hAnsi="Arial"/>
          <w:sz w:val="24"/>
          <w:szCs w:val="24"/>
        </w:rPr>
        <w:t xml:space="preserve">Here is a practical rule for vomiting. If the patient vomits within thirty minutes of taking their medication, the dose should be considered not absorbed. Give the dose again. If vomiting occurs more than thirty minutes after the dose, the medication was likely absorbed and you should not repeat it, to avoid potential toxicity.</w:t>
      </w:r>
    </w:p>
    <w:p>
      <w:pPr>
        <w:spacing w:after="200" w:before="200"/>
        <w:jc w:val="center"/>
      </w:pPr>
      <w:r>
        <w:rPr>
          <w:rFonts w:ascii="Arial" w:cs="Arial" w:eastAsia="Arial" w:hAnsi="Arial"/>
          <w:b/>
          <w:bCs/>
          <w:color w:val="888888"/>
          <w:sz w:val="22"/>
          <w:szCs w:val="22"/>
        </w:rPr>
        <w:t xml:space="preserve">[PAUSE]</w:t>
      </w:r>
    </w:p>
    <w:p>
      <w:pPr>
        <w:pStyle w:val="Heading2"/>
        <w:spacing w:after="180" w:before="300"/>
      </w:pPr>
      <w:r>
        <w:rPr>
          <w:rFonts w:ascii="Arial" w:cs="Arial" w:eastAsia="Arial" w:hAnsi="Arial"/>
          <w:b/>
          <w:bCs/>
          <w:sz w:val="28"/>
          <w:szCs w:val="28"/>
        </w:rPr>
        <w:t xml:space="preserve">Fever Management</w:t>
      </w:r>
    </w:p>
    <w:p>
      <w:pPr>
        <w:spacing w:after="140" w:line="360"/>
      </w:pPr>
      <w:r>
        <w:rPr>
          <w:rFonts w:ascii="Arial" w:cs="Arial" w:eastAsia="Arial" w:hAnsi="Arial"/>
          <w:sz w:val="24"/>
          <w:szCs w:val="24"/>
        </w:rPr>
        <w:t xml:space="preserve">Treat fever aggressively with scheduled antipyretics, not as-needed dosing. Acetaminophen (ah-SEE-tah-MIN-oh-fen) at fifteen milligrams per kilogram by mouth or rectally every four to six hours, maximum seventy-five milligrams per kilogram per day. Ibuprofen (eye-byoo-PRO-fen) at ten milligrams per kilogram by mouth every six to eight hours for children over six months, maximum forty milligrams per kilogram per day. You may alternate these two medications every three hours for more consistent temperature control. Importantly, never use aspirin in pediatric patients, and aspirin is specifically contraindicated with valproate because it displaces valproate from protein binding sites.</w:t>
      </w:r>
    </w:p>
    <w:p>
      <w:pPr>
        <w:spacing w:after="200" w:before="200"/>
        <w:jc w:val="center"/>
      </w:pPr>
      <w:r>
        <w:rPr>
          <w:rFonts w:ascii="Arial" w:cs="Arial" w:eastAsia="Arial" w:hAnsi="Arial"/>
          <w:b/>
          <w:bCs/>
          <w:color w:val="888888"/>
          <w:sz w:val="22"/>
          <w:szCs w:val="22"/>
        </w:rPr>
        <w:t xml:space="preserve">[PAUSE]</w:t>
      </w:r>
    </w:p>
    <w:p>
      <w:pPr>
        <w:pStyle w:val="Heading2"/>
        <w:spacing w:after="180" w:before="300"/>
      </w:pPr>
      <w:r>
        <w:rPr>
          <w:rFonts w:ascii="Arial" w:cs="Arial" w:eastAsia="Arial" w:hAnsi="Arial"/>
          <w:b/>
          <w:bCs/>
          <w:sz w:val="28"/>
          <w:szCs w:val="28"/>
        </w:rPr>
        <w:t xml:space="preserve">Alternative Medication Routes</w:t>
      </w:r>
    </w:p>
    <w:p>
      <w:pPr>
        <w:spacing w:after="140" w:line="360"/>
      </w:pPr>
      <w:r>
        <w:rPr>
          <w:rFonts w:ascii="Arial" w:cs="Arial" w:eastAsia="Arial" w:hAnsi="Arial"/>
          <w:sz w:val="24"/>
          <w:szCs w:val="24"/>
        </w:rPr>
        <w:t xml:space="preserve">When a child cannot take oral medications, consider the following. Carbamazepine (car-bah-MAZ-eh-peen) suspension can be given rectally at the same dose used orally, retained for at least two hours. Valproic acid syrup can be given rectally at one and a half times the oral dose. Levetiracetam, fosphenytoin, valproate, lacosamide (lah-COSS-ah-mide), and phenobarbital (fee-no-BAR-bih-tal) are all available as intravenous formulations at the same doses as oral equivalents.</w:t>
      </w:r>
    </w:p>
    <w:p>
      <w:pPr>
        <w:pStyle w:val="Heading2"/>
        <w:spacing w:after="180" w:before="300"/>
      </w:pPr>
      <w:r>
        <w:rPr>
          <w:rFonts w:ascii="Arial" w:cs="Arial" w:eastAsia="Arial" w:hAnsi="Arial"/>
          <w:b/>
          <w:bCs/>
          <w:sz w:val="28"/>
          <w:szCs w:val="28"/>
        </w:rPr>
        <w:t xml:space="preserve">When to Go to the Emergency Department</w:t>
      </w:r>
    </w:p>
    <w:p>
      <w:pPr>
        <w:spacing w:after="140" w:line="360"/>
      </w:pPr>
      <w:r>
        <w:rPr>
          <w:rFonts w:ascii="Arial" w:cs="Arial" w:eastAsia="Arial" w:hAnsi="Arial"/>
          <w:sz w:val="24"/>
          <w:szCs w:val="24"/>
        </w:rPr>
        <w:t xml:space="preserve">Educate parents and caregivers that they should seek emergency care during illness if the child cannot take any fluids or medications for more than six to eight hours, if two or more anti-seizure medication doses have been missed, if seizure frequency exceeds the child's usual pattern, if any single seizure lasts more than five minutes, if there are signs of dehydration such as dry mouth or decreased urination, or if there are signs of serious infection such as a stiff neck, bulging fontanelle, or petechial rash.</w:t>
      </w:r>
    </w:p>
    <w:p>
      <w:pPr>
        <w:spacing w:after="200" w:before="200"/>
        <w:jc w:val="center"/>
      </w:pPr>
      <w:r>
        <w:rPr>
          <w:rFonts w:ascii="Arial" w:cs="Arial" w:eastAsia="Arial" w:hAnsi="Arial"/>
          <w:b/>
          <w:bCs/>
          <w:color w:val="888888"/>
          <w:sz w:val="22"/>
          <w:szCs w:val="22"/>
        </w:rPr>
        <w:t xml:space="preserve">[PAUSE]</w:t>
      </w:r>
    </w:p>
    <w:p>
      <w:pPr>
        <w:spacing w:after="140" w:line="360"/>
      </w:pPr>
      <w:r>
        <w:rPr>
          <w:rFonts w:ascii="Arial" w:cs="Arial" w:eastAsia="Arial" w:hAnsi="Arial"/>
          <w:sz w:val="24"/>
          <w:szCs w:val="24"/>
        </w:rPr>
        <w:t xml:space="preserve">One final critical point about sick day management: never abruptly stop anti-seizure medications. Abrupt withdrawal, particularly of barbiturates and benzodiazepines, can precipitate status epilepticus. Even during severe illness, every effort must be made to continue or replace scheduled doses through alternative routes.</w:t>
      </w:r>
    </w:p>
    <w:p>
      <w:pPr>
        <w:spacing w:after="200" w:before="200"/>
        <w:jc w:val="center"/>
      </w:pPr>
      <w:r>
        <w:rPr>
          <w:rFonts w:ascii="Arial" w:cs="Arial" w:eastAsia="Arial" w:hAnsi="Arial"/>
          <w:b/>
          <w:bCs/>
          <w:color w:val="888888"/>
          <w:sz w:val="22"/>
          <w:szCs w:val="22"/>
        </w:rPr>
        <w:t xml:space="preserve">[SECTION BREAK]</w:t>
      </w:r>
    </w:p>
    <w:p>
      <w:pPr>
        <w:pStyle w:val="Heading1"/>
        <w:spacing w:after="240" w:before="400"/>
      </w:pPr>
      <w:r>
        <w:rPr>
          <w:rFonts w:ascii="Arial" w:cs="Arial" w:eastAsia="Arial" w:hAnsi="Arial"/>
          <w:b/>
          <w:bCs/>
          <w:sz w:val="32"/>
          <w:szCs w:val="32"/>
        </w:rPr>
        <w:t xml:space="preserve">Track 4: Breakthrough Seizures and Rescue Medications</w:t>
      </w:r>
    </w:p>
    <w:p>
      <w:pPr>
        <w:spacing w:after="140" w:line="360"/>
      </w:pPr>
      <w:r>
        <w:rPr>
          <w:rFonts w:ascii="Arial" w:cs="Arial" w:eastAsia="Arial" w:hAnsi="Arial"/>
          <w:sz w:val="24"/>
          <w:szCs w:val="24"/>
        </w:rPr>
        <w:t xml:space="preserve">Estimated duration: 10 minutes.</w:t>
      </w:r>
    </w:p>
    <w:p>
      <w:pPr>
        <w:spacing w:after="200" w:before="200"/>
        <w:jc w:val="center"/>
      </w:pPr>
      <w:r>
        <w:rPr>
          <w:rFonts w:ascii="Arial" w:cs="Arial" w:eastAsia="Arial" w:hAnsi="Arial"/>
          <w:b/>
          <w:bCs/>
          <w:color w:val="888888"/>
          <w:sz w:val="22"/>
          <w:szCs w:val="22"/>
        </w:rPr>
        <w:t xml:space="preserve">[BEGIN TRACK 4]</w:t>
      </w:r>
    </w:p>
    <w:p>
      <w:pPr>
        <w:spacing w:after="140" w:line="360"/>
      </w:pPr>
      <w:r>
        <w:rPr>
          <w:rFonts w:ascii="Arial" w:cs="Arial" w:eastAsia="Arial" w:hAnsi="Arial"/>
          <w:sz w:val="24"/>
          <w:szCs w:val="24"/>
        </w:rPr>
        <w:t xml:space="preserve">A breakthrough seizure is a seizure that occurs in a patient who is on established anti-seizure therapy. When a patient with known epilepsy presents after a seizure, your evaluation should be systematic and thorough.</w:t>
      </w:r>
    </w:p>
    <w:p>
      <w:pPr>
        <w:pStyle w:val="Heading2"/>
        <w:spacing w:after="180" w:before="300"/>
      </w:pPr>
      <w:r>
        <w:rPr>
          <w:rFonts w:ascii="Arial" w:cs="Arial" w:eastAsia="Arial" w:hAnsi="Arial"/>
          <w:b/>
          <w:bCs/>
          <w:sz w:val="28"/>
          <w:szCs w:val="28"/>
        </w:rPr>
        <w:t xml:space="preserve">Step One: Check Compliance</w:t>
      </w:r>
    </w:p>
    <w:p>
      <w:pPr>
        <w:spacing w:after="140" w:line="360"/>
      </w:pPr>
      <w:r>
        <w:rPr>
          <w:rFonts w:ascii="Arial" w:cs="Arial" w:eastAsia="Arial" w:hAnsi="Arial"/>
          <w:sz w:val="24"/>
          <w:szCs w:val="24"/>
        </w:rPr>
        <w:t xml:space="preserve">Ask specifically: when was the last dose taken? Were any doses missed in the past seventy-two hours? When was the prescription last refilled? Can the family do a pill count? Non-compliance is by far the most common cause of breakthrough seizures. The reasons can be straightforward, such as forgetting, running out of medication, or being unable to afford refills, or more complex, such as intolerable side effects or a teenager who does not want to take medication.</w:t>
      </w:r>
    </w:p>
    <w:p>
      <w:pPr>
        <w:spacing w:after="200" w:before="200"/>
        <w:jc w:val="center"/>
      </w:pPr>
      <w:r>
        <w:rPr>
          <w:rFonts w:ascii="Arial" w:cs="Arial" w:eastAsia="Arial" w:hAnsi="Arial"/>
          <w:b/>
          <w:bCs/>
          <w:color w:val="888888"/>
          <w:sz w:val="22"/>
          <w:szCs w:val="22"/>
        </w:rPr>
        <w:t xml:space="preserve">[PAUSE]</w:t>
      </w:r>
    </w:p>
    <w:p>
      <w:pPr>
        <w:pStyle w:val="Heading2"/>
        <w:spacing w:after="180" w:before="300"/>
      </w:pPr>
      <w:r>
        <w:rPr>
          <w:rFonts w:ascii="Arial" w:cs="Arial" w:eastAsia="Arial" w:hAnsi="Arial"/>
          <w:b/>
          <w:bCs/>
          <w:sz w:val="28"/>
          <w:szCs w:val="28"/>
        </w:rPr>
        <w:t xml:space="preserve">Step Two: Check Drug Levels</w:t>
      </w:r>
    </w:p>
    <w:p>
      <w:pPr>
        <w:spacing w:after="140" w:line="360"/>
      </w:pPr>
      <w:r>
        <w:rPr>
          <w:rFonts w:ascii="Arial" w:cs="Arial" w:eastAsia="Arial" w:hAnsi="Arial"/>
          <w:sz w:val="24"/>
          <w:szCs w:val="24"/>
        </w:rPr>
        <w:t xml:space="preserve">Order trough anti-seizure medication levels. Here are the general therapeutic ranges you should know. Phenytoin: ten to twenty micrograms per milliliter, but remember to check the free phenytoin level, which should be one to two micrograms per milliliter, especially in patients with low albumin or kidney disease. Valproate: fifty to one hundred micrograms per milliliter. Carbamazepine: four to twelve micrograms per milliliter, and remember that carbamazepine induces its own metabolism, so levels may fall over the first weeks of treatment. Phenobarbital: fifteen to forty micrograms per milliliter. Levetiracetam: twelve to forty-six micrograms per milliliter, though levels are not always clinically necessary given its minimal interactions and wide therapeutic window.</w:t>
      </w:r>
    </w:p>
    <w:p>
      <w:pPr>
        <w:spacing w:after="200" w:before="200"/>
        <w:jc w:val="center"/>
      </w:pPr>
      <w:r>
        <w:rPr>
          <w:rFonts w:ascii="Arial" w:cs="Arial" w:eastAsia="Arial" w:hAnsi="Arial"/>
          <w:b/>
          <w:bCs/>
          <w:color w:val="888888"/>
          <w:sz w:val="22"/>
          <w:szCs w:val="22"/>
        </w:rPr>
        <w:t xml:space="preserve">[PAUSE]</w:t>
      </w:r>
    </w:p>
    <w:p>
      <w:pPr>
        <w:pStyle w:val="Heading2"/>
        <w:spacing w:after="180" w:before="300"/>
      </w:pPr>
      <w:r>
        <w:rPr>
          <w:rFonts w:ascii="Arial" w:cs="Arial" w:eastAsia="Arial" w:hAnsi="Arial"/>
          <w:b/>
          <w:bCs/>
          <w:sz w:val="28"/>
          <w:szCs w:val="28"/>
        </w:rPr>
        <w:t xml:space="preserve">Step Three: Check Triggers</w:t>
      </w:r>
    </w:p>
    <w:p>
      <w:pPr>
        <w:spacing w:after="140" w:line="360"/>
      </w:pPr>
      <w:r>
        <w:rPr>
          <w:rFonts w:ascii="Arial" w:cs="Arial" w:eastAsia="Arial" w:hAnsi="Arial"/>
          <w:sz w:val="24"/>
          <w:szCs w:val="24"/>
        </w:rPr>
        <w:t xml:space="preserve">Beyond compliance, look for these common triggers: fever or illness, sleep deprivation, new medications that might interact with the patient's anti-seizure drugs, alcohol or substance use in adolescents, recent head injury, the menstrual cycle in female patients, and weight gain in growing children, which may mean the current dose is now subtherapeutic.</w:t>
      </w:r>
    </w:p>
    <w:p>
      <w:pPr>
        <w:pStyle w:val="Heading2"/>
        <w:spacing w:after="180" w:before="300"/>
      </w:pPr>
      <w:r>
        <w:rPr>
          <w:rFonts w:ascii="Arial" w:cs="Arial" w:eastAsia="Arial" w:hAnsi="Arial"/>
          <w:b/>
          <w:bCs/>
          <w:sz w:val="28"/>
          <w:szCs w:val="28"/>
        </w:rPr>
        <w:t xml:space="preserve">Rescue Medications</w:t>
      </w:r>
    </w:p>
    <w:p>
      <w:pPr>
        <w:spacing w:after="140" w:line="360"/>
      </w:pPr>
      <w:r>
        <w:rPr>
          <w:rFonts w:ascii="Arial" w:cs="Arial" w:eastAsia="Arial" w:hAnsi="Arial"/>
          <w:sz w:val="24"/>
          <w:szCs w:val="24"/>
        </w:rPr>
        <w:t xml:space="preserve">The Food and Drug Administration has approved three rescue medications for out-of-hospital treatment of seizure clusters. Diazepam rectal gel, brand name Diastat (DYE-uh-stat), for patients two years and older, dosed by weight. Midazolam nasal spray, brand name Nayzilam (NAY-zih-lam), for patients twelve and older, given as a single five milligram spray in one nostril. And diazepam nasal spray, brand name Valtoco (val-TOE-co), for patients six and older, with weight-based dosing.</w:t>
      </w:r>
    </w:p>
    <w:p>
      <w:pPr>
        <w:spacing w:after="140" w:line="360"/>
      </w:pPr>
      <w:r>
        <w:rPr>
          <w:rFonts w:ascii="Arial" w:cs="Arial" w:eastAsia="Arial" w:hAnsi="Arial"/>
          <w:sz w:val="24"/>
          <w:szCs w:val="24"/>
        </w:rPr>
        <w:t xml:space="preserve">Despite the availability and effectiveness of these rescue medications, a twenty twenty-three review by Becker and colleagues found that as many as eighty percent of adult patients do not use rescue medication to treat seizure clusters. The most important intervention we can make is ensuring every epilepsy patient has a rescue medication prescribed, is trained in its use, and has a written seizure action plan.</w:t>
      </w:r>
    </w:p>
    <w:p>
      <w:pPr>
        <w:spacing w:after="200" w:before="200"/>
        <w:jc w:val="center"/>
      </w:pPr>
      <w:r>
        <w:rPr>
          <w:rFonts w:ascii="Arial" w:cs="Arial" w:eastAsia="Arial" w:hAnsi="Arial"/>
          <w:b/>
          <w:bCs/>
          <w:color w:val="888888"/>
          <w:sz w:val="22"/>
          <w:szCs w:val="22"/>
        </w:rPr>
        <w:t xml:space="preserve">[PAUSE]</w:t>
      </w:r>
    </w:p>
    <w:p>
      <w:pPr>
        <w:pStyle w:val="Heading2"/>
        <w:spacing w:after="180" w:before="300"/>
      </w:pPr>
      <w:r>
        <w:rPr>
          <w:rFonts w:ascii="Arial" w:cs="Arial" w:eastAsia="Arial" w:hAnsi="Arial"/>
          <w:b/>
          <w:bCs/>
          <w:sz w:val="28"/>
          <w:szCs w:val="28"/>
        </w:rPr>
        <w:t xml:space="preserve">Seizure Action Plans</w:t>
      </w:r>
    </w:p>
    <w:p>
      <w:pPr>
        <w:spacing w:after="140" w:line="360"/>
      </w:pPr>
      <w:r>
        <w:rPr>
          <w:rFonts w:ascii="Arial" w:cs="Arial" w:eastAsia="Arial" w:hAnsi="Arial"/>
          <w:sz w:val="24"/>
          <w:szCs w:val="24"/>
        </w:rPr>
        <w:t xml:space="preserve">A study from Boston Children's Hospital published in twenty twenty-five showed remarkable results. Patients who had and implemented a personalized seizure action plan received their first anti-seizure medication in a median of five minutes, compared to sixteen minutes for patients without a plan. Seizure duration was nine minutes versus twenty-two minutes. And intubation rates were fourteen percent versus fifty-three percent. These are dramatic, potentially life-saving differences that come from the simple act of having a plan written down and accessible.</w:t>
      </w:r>
    </w:p>
    <w:p>
      <w:pPr>
        <w:spacing w:after="200" w:before="200"/>
        <w:jc w:val="center"/>
      </w:pPr>
      <w:r>
        <w:rPr>
          <w:rFonts w:ascii="Arial" w:cs="Arial" w:eastAsia="Arial" w:hAnsi="Arial"/>
          <w:b/>
          <w:bCs/>
          <w:color w:val="888888"/>
          <w:sz w:val="22"/>
          <w:szCs w:val="22"/>
        </w:rPr>
        <w:t xml:space="preserve">[SECTION BREAK]</w:t>
      </w:r>
    </w:p>
    <w:p>
      <w:pPr>
        <w:pStyle w:val="Heading1"/>
        <w:spacing w:after="240" w:before="400"/>
      </w:pPr>
      <w:r>
        <w:rPr>
          <w:rFonts w:ascii="Arial" w:cs="Arial" w:eastAsia="Arial" w:hAnsi="Arial"/>
          <w:b/>
          <w:bCs/>
          <w:sz w:val="32"/>
          <w:szCs w:val="32"/>
        </w:rPr>
        <w:t xml:space="preserve">Track 5: Summary — If You Remember Nothing Else</w:t>
      </w:r>
    </w:p>
    <w:p>
      <w:pPr>
        <w:spacing w:after="140" w:line="360"/>
      </w:pPr>
      <w:r>
        <w:rPr>
          <w:rFonts w:ascii="Arial" w:cs="Arial" w:eastAsia="Arial" w:hAnsi="Arial"/>
          <w:sz w:val="24"/>
          <w:szCs w:val="24"/>
        </w:rPr>
        <w:t xml:space="preserve">Estimated duration: 4 minutes.</w:t>
      </w:r>
    </w:p>
    <w:p>
      <w:pPr>
        <w:spacing w:after="200" w:before="200"/>
        <w:jc w:val="center"/>
      </w:pPr>
      <w:r>
        <w:rPr>
          <w:rFonts w:ascii="Arial" w:cs="Arial" w:eastAsia="Arial" w:hAnsi="Arial"/>
          <w:b/>
          <w:bCs/>
          <w:color w:val="888888"/>
          <w:sz w:val="22"/>
          <w:szCs w:val="22"/>
        </w:rPr>
        <w:t xml:space="preserve">[BEGIN TRACK 5]</w:t>
      </w:r>
    </w:p>
    <w:p>
      <w:pPr>
        <w:spacing w:after="140" w:line="360"/>
      </w:pPr>
      <w:r>
        <w:rPr>
          <w:rFonts w:ascii="Arial" w:cs="Arial" w:eastAsia="Arial" w:hAnsi="Arial"/>
          <w:sz w:val="24"/>
          <w:szCs w:val="24"/>
        </w:rPr>
        <w:t xml:space="preserve">If you take away only five things from this guide, let them be these.</w:t>
      </w:r>
    </w:p>
    <w:p>
      <w:pPr>
        <w:spacing w:after="140" w:line="360"/>
      </w:pPr>
      <w:r>
        <w:rPr>
          <w:rFonts w:ascii="Arial" w:cs="Arial" w:eastAsia="Arial" w:hAnsi="Arial"/>
          <w:sz w:val="24"/>
          <w:szCs w:val="24"/>
        </w:rPr>
        <w:t xml:space="preserve">Number one: Time is brain. Treat seizures lasting five minutes or more immediately with a benzodiazepine. Do not delay treatment to obtain intravenous access. Intramuscular or intranasal midazolam works.</w:t>
      </w:r>
    </w:p>
    <w:p>
      <w:pPr>
        <w:spacing w:after="200" w:before="200"/>
        <w:jc w:val="center"/>
      </w:pPr>
      <w:r>
        <w:rPr>
          <w:rFonts w:ascii="Arial" w:cs="Arial" w:eastAsia="Arial" w:hAnsi="Arial"/>
          <w:b/>
          <w:bCs/>
          <w:color w:val="888888"/>
          <w:sz w:val="22"/>
          <w:szCs w:val="22"/>
        </w:rPr>
        <w:t xml:space="preserve">[PAUSE]</w:t>
      </w:r>
    </w:p>
    <w:p>
      <w:pPr>
        <w:spacing w:after="140" w:line="360"/>
      </w:pPr>
      <w:r>
        <w:rPr>
          <w:rFonts w:ascii="Arial" w:cs="Arial" w:eastAsia="Arial" w:hAnsi="Arial"/>
          <w:sz w:val="24"/>
          <w:szCs w:val="24"/>
        </w:rPr>
        <w:t xml:space="preserve">Number two: Use full doses. Underdosing is the most common error in seizure management. Use zero point one milligrams per kilogram of lorazepam intravenously, zero point two milligrams per kilogram of midazolam intramuscularly. For second-line agents, use the ESETT trial doses: levetiracetam at sixty milligrams per kilogram, fosphenytoin at twenty milligrams per kilogram, or valproate at forty milligrams per kilogram. All three are equally effective.</w:t>
      </w:r>
    </w:p>
    <w:p>
      <w:pPr>
        <w:spacing w:after="200" w:before="200"/>
        <w:jc w:val="center"/>
      </w:pPr>
      <w:r>
        <w:rPr>
          <w:rFonts w:ascii="Arial" w:cs="Arial" w:eastAsia="Arial" w:hAnsi="Arial"/>
          <w:b/>
          <w:bCs/>
          <w:color w:val="888888"/>
          <w:sz w:val="22"/>
          <w:szCs w:val="22"/>
        </w:rPr>
        <w:t xml:space="preserve">[PAUSE]</w:t>
      </w:r>
    </w:p>
    <w:p>
      <w:pPr>
        <w:spacing w:after="140" w:line="360"/>
      </w:pPr>
      <w:r>
        <w:rPr>
          <w:rFonts w:ascii="Arial" w:cs="Arial" w:eastAsia="Arial" w:hAnsi="Arial"/>
          <w:sz w:val="24"/>
          <w:szCs w:val="24"/>
        </w:rPr>
        <w:t xml:space="preserve">Number three: Never skip anti-seizure medications. Missed doses are the number one cause of breakthrough seizures. During illness, find alternative routes if the patient cannot take oral medications. Rectal, intravenous, and nasogastric options exist for most anti-seizure drugs.</w:t>
      </w:r>
    </w:p>
    <w:p>
      <w:pPr>
        <w:spacing w:after="200" w:before="200"/>
        <w:jc w:val="center"/>
      </w:pPr>
      <w:r>
        <w:rPr>
          <w:rFonts w:ascii="Arial" w:cs="Arial" w:eastAsia="Arial" w:hAnsi="Arial"/>
          <w:b/>
          <w:bCs/>
          <w:color w:val="888888"/>
          <w:sz w:val="22"/>
          <w:szCs w:val="22"/>
        </w:rPr>
        <w:t xml:space="preserve">[PAUSE]</w:t>
      </w:r>
    </w:p>
    <w:p>
      <w:pPr>
        <w:spacing w:after="140" w:line="360"/>
      </w:pPr>
      <w:r>
        <w:rPr>
          <w:rFonts w:ascii="Arial" w:cs="Arial" w:eastAsia="Arial" w:hAnsi="Arial"/>
          <w:sz w:val="24"/>
          <w:szCs w:val="24"/>
        </w:rPr>
        <w:t xml:space="preserve">Number four: Every epilepsy patient needs a seizure action plan and a rescue medication prescription. Training patients and caregivers on when and how to use rescue medications dramatically improves outcomes.</w:t>
      </w:r>
    </w:p>
    <w:p>
      <w:pPr>
        <w:spacing w:after="200" w:before="200"/>
        <w:jc w:val="center"/>
      </w:pPr>
      <w:r>
        <w:rPr>
          <w:rFonts w:ascii="Arial" w:cs="Arial" w:eastAsia="Arial" w:hAnsi="Arial"/>
          <w:b/>
          <w:bCs/>
          <w:color w:val="888888"/>
          <w:sz w:val="22"/>
          <w:szCs w:val="22"/>
        </w:rPr>
        <w:t xml:space="preserve">[PAUSE]</w:t>
      </w:r>
    </w:p>
    <w:p>
      <w:pPr>
        <w:spacing w:after="140" w:line="360"/>
      </w:pPr>
      <w:r>
        <w:rPr>
          <w:rFonts w:ascii="Arial" w:cs="Arial" w:eastAsia="Arial" w:hAnsi="Arial"/>
          <w:sz w:val="24"/>
          <w:szCs w:val="24"/>
        </w:rPr>
        <w:t xml:space="preserve">Number five: Activate transport early. In a rural setting, call the transport team when a seizure fails the first benzodiazepine, not after refractory status has been established. Anticipatory activation saves critical minutes.</w:t>
      </w:r>
    </w:p>
    <w:p>
      <w:pPr>
        <w:spacing w:after="200" w:before="200"/>
        <w:jc w:val="center"/>
      </w:pPr>
      <w:r>
        <w:rPr>
          <w:rFonts w:ascii="Arial" w:cs="Arial" w:eastAsia="Arial" w:hAnsi="Arial"/>
          <w:b/>
          <w:bCs/>
          <w:color w:val="888888"/>
          <w:sz w:val="22"/>
          <w:szCs w:val="22"/>
        </w:rPr>
        <w:t xml:space="preserve">[PAUSE]</w:t>
      </w:r>
    </w:p>
    <w:p>
      <w:pPr>
        <w:spacing w:after="140" w:line="360"/>
      </w:pPr>
      <w:r>
        <w:rPr>
          <w:rFonts w:ascii="Arial" w:cs="Arial" w:eastAsia="Arial" w:hAnsi="Arial"/>
          <w:sz w:val="24"/>
          <w:szCs w:val="24"/>
        </w:rPr>
        <w:t xml:space="preserve">Thank you for listening to this guide. Your preparation and knowledge in managing seizures can save lives and prevent lasting neurological injury, especially in settings where you are the first and sometimes the only provider available. The companion cheat sheet and interactive decision tree are available for point-of-care reference.</w:t>
      </w:r>
    </w:p>
    <w:p>
      <w:pPr>
        <w:spacing w:after="200" w:before="200"/>
        <w:jc w:val="center"/>
      </w:pPr>
      <w:r>
        <w:rPr>
          <w:rFonts w:ascii="Arial" w:cs="Arial" w:eastAsia="Arial" w:hAnsi="Arial"/>
          <w:b/>
          <w:bCs/>
          <w:color w:val="888888"/>
          <w:sz w:val="22"/>
          <w:szCs w:val="22"/>
        </w:rPr>
        <w:t xml:space="preserve">[END OF AUDIO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888888"/>
        <w:sz w:val="18"/>
        <w:szCs w:val="18"/>
      </w:rPr>
      <w:t xml:space="preserve">Seizure Management — Audio Education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2026-04-03T10:43:27.907Z</dcterms:created>
  <dcterms:modified xsi:type="dcterms:W3CDTF">2026-04-03T10:43:27.908Z</dcterms:modified>
</cp:coreProperties>
</file>

<file path=docProps/custom.xml><?xml version="1.0" encoding="utf-8"?>
<Properties xmlns="http://schemas.openxmlformats.org/officeDocument/2006/custom-properties" xmlns:vt="http://schemas.openxmlformats.org/officeDocument/2006/docPropsVTypes"/>
</file>