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48"/>
          <w:szCs w:val="48"/>
        </w:rPr>
        <w:t xml:space="preserve">Seizure Management:</w:t>
      </w:r>
    </w:p>
    <w:p>
      <w:pPr>
        <w:spacing w:after="200"/>
        <w:jc w:val="center"/>
      </w:pPr>
      <w:r>
        <w:rPr>
          <w:rFonts w:ascii="Arial" w:cs="Arial" w:eastAsia="Arial" w:hAnsi="Arial"/>
          <w:b/>
          <w:bCs/>
          <w:color w:val="1F4E79"/>
          <w:sz w:val="36"/>
          <w:szCs w:val="36"/>
        </w:rPr>
        <w:t xml:space="preserve">Acute Management, Chronic Epilepsy Sick Day Care,</w:t>
      </w:r>
    </w:p>
    <w:p>
      <w:pPr>
        <w:spacing w:after="200"/>
        <w:jc w:val="center"/>
      </w:pPr>
      <w:r>
        <w:rPr>
          <w:rFonts w:ascii="Arial" w:cs="Arial" w:eastAsia="Arial" w:hAnsi="Arial"/>
          <w:b/>
          <w:bCs/>
          <w:color w:val="1F4E79"/>
          <w:sz w:val="36"/>
          <w:szCs w:val="36"/>
        </w:rPr>
        <w:t xml:space="preserve">and Breakthrough Seizure Protocols</w:t>
      </w:r>
    </w:p>
    <w:p>
      <w:pPr>
        <w:spacing w:after="100" w:before="400"/>
        <w:jc w:val="center"/>
      </w:pPr>
      <w:r>
        <w:rPr>
          <w:rFonts w:ascii="Arial" w:cs="Arial" w:eastAsia="Arial" w:hAnsi="Arial"/>
          <w:color w:val="555555"/>
          <w:sz w:val="24"/>
          <w:szCs w:val="24"/>
        </w:rPr>
        <w:t xml:space="preserve">A Comprehensive Guide for Rural Nursery and Emergency Department Providers</w:t>
      </w:r>
    </w:p>
    <w:p>
      <w:pPr>
        <w:jc w:val="center"/>
      </w:pPr>
      <w:r>
        <w:rPr>
          <w:rFonts w:ascii="Arial" w:cs="Arial" w:eastAsia="Arial" w:hAnsi="Arial"/>
          <w:color w:val="555555"/>
          <w:sz w:val="22"/>
          <w:szCs w:val="22"/>
        </w:rPr>
        <w:t xml:space="preserve">Level I and Level II/II+ Nursery Education Series</w:t>
      </w:r>
    </w:p>
    <w:p>
      <w:pPr>
        <w:spacing w:before="100"/>
        <w:jc w:val="center"/>
      </w:pPr>
      <w:r>
        <w:rPr>
          <w:rFonts w:ascii="Arial" w:cs="Arial" w:eastAsia="Arial" w:hAnsi="Arial"/>
          <w:color w:val="555555"/>
          <w:sz w:val="22"/>
          <w:szCs w:val="22"/>
        </w:rPr>
        <w:t xml:space="preserve">For the Pediatric Emergency Medicine CDS Project</w:t>
      </w:r>
    </w:p>
    <w:p>
      <w:pPr>
        <w:spacing w:before="600"/>
        <w:jc w:val="center"/>
      </w:pPr>
      <w:r>
        <w:rPr>
          <w:rFonts w:ascii="Arial" w:cs="Arial" w:eastAsia="Arial" w:hAnsi="Arial"/>
          <w:color w:val="777777"/>
          <w:sz w:val="22"/>
          <w:szCs w:val="22"/>
        </w:rPr>
        <w:t xml:space="preserve">April 2026</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Chapter 1: Introduction and Scope</w:t>
      </w:r>
    </w:p>
    <w:p>
      <w:pPr>
        <w:spacing w:after="120"/>
      </w:pPr>
      <w:r>
        <w:rPr>
          <w:rFonts w:ascii="Arial" w:cs="Arial" w:eastAsia="Arial" w:hAnsi="Arial"/>
          <w:sz w:val="22"/>
          <w:szCs w:val="22"/>
        </w:rPr>
        <w:t xml:space="preserve">Seizures represent one of the most common neurological emergencies encountered in both pediatric emergency departments and neonatal nurseries. The annual incidence of convulsive status epilepticus in children ranges from 10 to 73 episodes per 100,000, with the highest rates observed in children younger than two years of age. For rural providers—family medicine physicians, pediatricians, neonatal nurse practitioners, and registered nurses staffing Level I and Level II nurseries—the challenge is compounded by limited subspecialty access, longer transport times, and potentially constrained pharmacologic inventories.</w:t>
      </w:r>
    </w:p>
    <w:p>
      <w:pPr>
        <w:spacing w:after="120"/>
      </w:pPr>
      <w:r>
        <w:rPr>
          <w:rFonts w:ascii="Arial" w:cs="Arial" w:eastAsia="Arial" w:hAnsi="Arial"/>
          <w:sz w:val="22"/>
          <w:szCs w:val="22"/>
        </w:rPr>
        <w:t xml:space="preserve">This guide addresses three interconnected clinical scenarios that rural providers must be prepared to manage effectively:</w:t>
      </w:r>
    </w:p>
    <w:p>
      <w:pPr>
        <w:pStyle w:val="ListParagraph"/>
        <w:numPr>
          <w:ilvl w:val="0"/>
          <w:numId w:val="2"/>
        </w:numPr>
        <w:spacing w:after="60"/>
      </w:pPr>
      <w:r>
        <w:rPr>
          <w:rFonts w:ascii="Arial" w:cs="Arial" w:eastAsia="Arial" w:hAnsi="Arial"/>
          <w:sz w:val="22"/>
          <w:szCs w:val="22"/>
        </w:rPr>
        <w:t xml:space="preserve">Acute seizure management and status epilepticus: The time-sensitive, algorithmic approach to terminating active seizures, from first-line benzodiazepines through refractory status epilepticus.</w:t>
      </w:r>
    </w:p>
    <w:p>
      <w:pPr>
        <w:pStyle w:val="ListParagraph"/>
        <w:numPr>
          <w:ilvl w:val="0"/>
          <w:numId w:val="2"/>
        </w:numPr>
        <w:spacing w:after="60"/>
      </w:pPr>
      <w:r>
        <w:rPr>
          <w:rFonts w:ascii="Arial" w:cs="Arial" w:eastAsia="Arial" w:hAnsi="Arial"/>
          <w:sz w:val="22"/>
          <w:szCs w:val="22"/>
        </w:rPr>
        <w:t xml:space="preserve">Chronic epilepsy sick day management: Preventing breakthrough seizures during intercurrent illness by maintaining anti-seizure medication (ASM) adherence, managing fever, ensuring hydration, and recognizing when emergency department evaluation is warranted.</w:t>
      </w:r>
    </w:p>
    <w:p>
      <w:pPr>
        <w:pStyle w:val="ListParagraph"/>
        <w:numPr>
          <w:ilvl w:val="0"/>
          <w:numId w:val="2"/>
        </w:numPr>
        <w:spacing w:after="60"/>
      </w:pPr>
      <w:r>
        <w:rPr>
          <w:rFonts w:ascii="Arial" w:cs="Arial" w:eastAsia="Arial" w:hAnsi="Arial"/>
          <w:sz w:val="22"/>
          <w:szCs w:val="22"/>
        </w:rPr>
        <w:t xml:space="preserve">Breakthrough seizure evaluation and management: Systematic assessment of seizure recurrence in patients on established ASM therapy, including compliance assessment, drug level interpretation, trigger identification, and rescue medication protocols.</w:t>
      </w:r>
    </w:p>
    <w:p>
      <w:pPr>
        <w:pStyle w:val="Heading2"/>
        <w:spacing w:after="160" w:before="280"/>
      </w:pPr>
      <w:r>
        <w:rPr>
          <w:rFonts w:ascii="Arial" w:cs="Arial" w:eastAsia="Arial" w:hAnsi="Arial"/>
          <w:b/>
          <w:bCs/>
          <w:sz w:val="28"/>
          <w:szCs w:val="28"/>
        </w:rPr>
        <w:t xml:space="preserve">1.1 Why This Matters in the Rural Setting</w:t>
      </w:r>
    </w:p>
    <w:p>
      <w:pPr>
        <w:spacing w:after="120"/>
      </w:pPr>
      <w:r>
        <w:rPr>
          <w:rFonts w:ascii="Arial" w:cs="Arial" w:eastAsia="Arial" w:hAnsi="Arial"/>
          <w:sz w:val="22"/>
          <w:szCs w:val="22"/>
        </w:rPr>
        <w:t xml:space="preserve">Rural and critical access hospitals face unique challenges in seizure management. Transport times to tertiary pediatric centers may exceed 60 to 90 minutes, making early and aggressive local treatment essential. Community emergency departments have been shown to have variable adherence to evidence-based status epilepticus guidelines, with common deviations including delayed benzodiazepine administration, underdosing of first-line agents, and delays in escalation to second-line therapy.</w:t>
      </w:r>
    </w:p>
    <w:p>
      <w:pPr>
        <w:spacing w:after="120"/>
      </w:pPr>
      <w:r>
        <w:rPr>
          <w:rFonts w:ascii="Arial" w:cs="Arial" w:eastAsia="Arial" w:hAnsi="Arial"/>
          <w:sz w:val="22"/>
          <w:szCs w:val="22"/>
        </w:rPr>
        <w:t xml:space="preserve">A 2025 simulation study by Firn and colleagues at Boston University examined community ED teams managing simulated pediatric status epilepticus and found that zero of four teams adhered to all twelve guideline-based metrics. Common barriers included repeated attempts at IV access delaying benzodiazepine administration and failure to reference current treatment algorithms. These findings underscore the critical need for accessible, evidence-based decision support tools in community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9C" w:val="clear"/>
            <w:tcMar>
              <w:top w:type="dxa" w:w="100"/>
              <w:left w:type="dxa" w:w="160"/>
              <w:bottom w:type="dxa" w:w="100"/>
              <w:right w:type="dxa" w:w="160"/>
            </w:tcMar>
          </w:tcPr>
          <w:p>
            <w:pPr>
              <w:spacing w:after="60"/>
            </w:pPr>
            <w:r>
              <w:rPr>
                <w:rFonts w:ascii="Arial" w:cs="Arial" w:eastAsia="Arial" w:hAnsi="Arial"/>
                <w:b/>
                <w:bCs/>
                <w:color w:val="9C6500"/>
                <w:sz w:val="22"/>
                <w:szCs w:val="22"/>
              </w:rPr>
              <w:t xml:space="preserve">RURAL CONSIDERATION</w:t>
            </w:r>
          </w:p>
          <w:p>
            <w:pPr>
              <w:spacing w:after="0"/>
            </w:pPr>
            <w:r>
              <w:rPr>
                <w:rFonts w:ascii="Arial" w:cs="Arial" w:eastAsia="Arial" w:hAnsi="Arial"/>
                <w:sz w:val="20"/>
                <w:szCs w:val="20"/>
              </w:rPr>
              <w:t xml:space="preserve">In a rural ED without PICU capability, the transport team should be activated EARLY—ideally when a seizure fails to respond to the first benzodiazepine dose, not after refractory status has been established. Anticipatory activation saves critical minutes.</w:t>
            </w:r>
          </w:p>
        </w:tc>
      </w:tr>
    </w:tbl>
    <w:p>
      <w:pPr>
        <w:pStyle w:val="Heading2"/>
        <w:spacing w:after="160" w:before="280"/>
      </w:pPr>
      <w:r>
        <w:rPr>
          <w:rFonts w:ascii="Arial" w:cs="Arial" w:eastAsia="Arial" w:hAnsi="Arial"/>
          <w:b/>
          <w:bCs/>
          <w:sz w:val="28"/>
          <w:szCs w:val="28"/>
        </w:rPr>
        <w:t xml:space="preserve">1.2 How to Use This Guide</w:t>
      </w:r>
    </w:p>
    <w:p>
      <w:pPr>
        <w:spacing w:after="120"/>
      </w:pPr>
      <w:r>
        <w:rPr>
          <w:rFonts w:ascii="Arial" w:cs="Arial" w:eastAsia="Arial" w:hAnsi="Arial"/>
          <w:sz w:val="22"/>
          <w:szCs w:val="22"/>
        </w:rPr>
        <w:t xml:space="preserve">This textbook is designed for sequential reading during education sessions and as a reference during clinical care. Each chapter builds on the preceding content. The companion cheat sheet provides a point-of-care quick reference for the most critical dosing and algorithmic information, while the interactive decision tree offers a clickable, branching approach to clinical decision-making.</w:t>
      </w:r>
    </w:p>
    <w:p>
      <w:r>
        <w:br w:type="page"/>
      </w:r>
    </w:p>
    <w:p>
      <w:pPr>
        <w:pStyle w:val="Heading1"/>
        <w:spacing w:after="200" w:before="360"/>
      </w:pPr>
      <w:r>
        <w:rPr>
          <w:rFonts w:ascii="Arial" w:cs="Arial" w:eastAsia="Arial" w:hAnsi="Arial"/>
          <w:b/>
          <w:bCs/>
          <w:sz w:val="32"/>
          <w:szCs w:val="32"/>
        </w:rPr>
        <w:t xml:space="preserve">Chapter 2: Foundational Knowledge — Seizure Pathophysiology</w:t>
      </w:r>
    </w:p>
    <w:p>
      <w:pPr>
        <w:pStyle w:val="Heading2"/>
        <w:spacing w:after="160" w:before="280"/>
      </w:pPr>
      <w:r>
        <w:rPr>
          <w:rFonts w:ascii="Arial" w:cs="Arial" w:eastAsia="Arial" w:hAnsi="Arial"/>
          <w:b/>
          <w:bCs/>
          <w:sz w:val="28"/>
          <w:szCs w:val="28"/>
        </w:rPr>
        <w:t xml:space="preserve">2.1 Definitions</w:t>
      </w:r>
    </w:p>
    <w:p>
      <w:pPr>
        <w:spacing w:after="120"/>
      </w:pPr>
      <w:r>
        <w:rPr>
          <w:rFonts w:ascii="Arial" w:cs="Arial" w:eastAsia="Arial" w:hAnsi="Arial"/>
          <w:b/>
          <w:bCs/>
          <w:sz w:val="22"/>
          <w:szCs w:val="22"/>
        </w:rPr>
        <w:t xml:space="preserve">Seizure: </w:t>
      </w:r>
      <w:r>
        <w:rPr>
          <w:rFonts w:ascii="Arial" w:cs="Arial" w:eastAsia="Arial" w:hAnsi="Arial"/>
          <w:sz w:val="22"/>
          <w:szCs w:val="22"/>
        </w:rPr>
        <w:t xml:space="preserve">A transient occurrence of signs and symptoms due to abnormal excessive or synchronous neuronal activity in the brain.</w:t>
      </w:r>
    </w:p>
    <w:p>
      <w:pPr>
        <w:spacing w:after="120"/>
      </w:pPr>
      <w:r>
        <w:rPr>
          <w:rFonts w:ascii="Arial" w:cs="Arial" w:eastAsia="Arial" w:hAnsi="Arial"/>
          <w:b/>
          <w:bCs/>
          <w:sz w:val="22"/>
          <w:szCs w:val="22"/>
        </w:rPr>
        <w:t xml:space="preserve">Status epilepticus (SE): </w:t>
      </w:r>
      <w:r>
        <w:rPr>
          <w:rFonts w:ascii="Arial" w:cs="Arial" w:eastAsia="Arial" w:hAnsi="Arial"/>
          <w:sz w:val="22"/>
          <w:szCs w:val="22"/>
        </w:rPr>
        <w:t xml:space="preserve">Continuous seizure activity lasting five minutes or longer, or two or more discrete seizures without full recovery of consciousness between them. The traditional 30-minute definition has been largely abandoned in clinical practice in favor of the operational 5-minute definition, reflecting evidence that early treatment is more effective.</w:t>
      </w:r>
    </w:p>
    <w:p>
      <w:pPr>
        <w:spacing w:after="120"/>
      </w:pPr>
      <w:r>
        <w:rPr>
          <w:rFonts w:ascii="Arial" w:cs="Arial" w:eastAsia="Arial" w:hAnsi="Arial"/>
          <w:b/>
          <w:bCs/>
          <w:sz w:val="22"/>
          <w:szCs w:val="22"/>
        </w:rPr>
        <w:t xml:space="preserve">Established SE: </w:t>
      </w:r>
      <w:r>
        <w:rPr>
          <w:rFonts w:ascii="Arial" w:cs="Arial" w:eastAsia="Arial" w:hAnsi="Arial"/>
          <w:sz w:val="22"/>
          <w:szCs w:val="22"/>
        </w:rPr>
        <w:t xml:space="preserve">Status epilepticus that persists after two adequate doses of a first-line benzodiazepine (approximately 10-20 minutes from seizure onset).</w:t>
      </w:r>
    </w:p>
    <w:p>
      <w:pPr>
        <w:spacing w:after="120"/>
      </w:pPr>
      <w:r>
        <w:rPr>
          <w:rFonts w:ascii="Arial" w:cs="Arial" w:eastAsia="Arial" w:hAnsi="Arial"/>
          <w:b/>
          <w:bCs/>
          <w:sz w:val="22"/>
          <w:szCs w:val="22"/>
        </w:rPr>
        <w:t xml:space="preserve">Refractory SE: </w:t>
      </w:r>
      <w:r>
        <w:rPr>
          <w:rFonts w:ascii="Arial" w:cs="Arial" w:eastAsia="Arial" w:hAnsi="Arial"/>
          <w:sz w:val="22"/>
          <w:szCs w:val="22"/>
        </w:rPr>
        <w:t xml:space="preserve">Status epilepticus that persists after adequate treatment with a first-line benzodiazepine AND a second-line anti-seizure medication (approximately 30+ minutes from onset).</w:t>
      </w:r>
    </w:p>
    <w:p>
      <w:pPr>
        <w:spacing w:after="120"/>
      </w:pPr>
      <w:r>
        <w:rPr>
          <w:rFonts w:ascii="Arial" w:cs="Arial" w:eastAsia="Arial" w:hAnsi="Arial"/>
          <w:b/>
          <w:bCs/>
          <w:sz w:val="22"/>
          <w:szCs w:val="22"/>
        </w:rPr>
        <w:t xml:space="preserve">Super-refractory SE: </w:t>
      </w:r>
      <w:r>
        <w:rPr>
          <w:rFonts w:ascii="Arial" w:cs="Arial" w:eastAsia="Arial" w:hAnsi="Arial"/>
          <w:sz w:val="22"/>
          <w:szCs w:val="22"/>
        </w:rPr>
        <w:t xml:space="preserve">Status epilepticus that continues for 24 hours or more after the initiation of continuous infusion therapy, including cases that recur when the infusion is weaned.</w:t>
      </w:r>
    </w:p>
    <w:p>
      <w:pPr>
        <w:pStyle w:val="Heading2"/>
        <w:spacing w:after="160" w:before="280"/>
      </w:pPr>
      <w:r>
        <w:rPr>
          <w:rFonts w:ascii="Arial" w:cs="Arial" w:eastAsia="Arial" w:hAnsi="Arial"/>
          <w:b/>
          <w:bCs/>
          <w:sz w:val="28"/>
          <w:szCs w:val="28"/>
        </w:rPr>
        <w:t xml:space="preserve">2.2 Pathophysiology of Prolonged Seizures</w:t>
      </w:r>
    </w:p>
    <w:p>
      <w:pPr>
        <w:spacing w:after="120"/>
      </w:pPr>
      <w:r>
        <w:rPr>
          <w:rFonts w:ascii="Arial" w:cs="Arial" w:eastAsia="Arial" w:hAnsi="Arial"/>
          <w:sz w:val="22"/>
          <w:szCs w:val="22"/>
        </w:rPr>
        <w:t xml:space="preserve">The pathophysiology of status epilepticus involves a progressive failure of the brain's normal inhibitory mechanisms. In the first minutes of a seizure, gamma-aminobutyric acid (GABA) receptors—the primary inhibitory receptors in the brain—are internalized from the synaptic membrane. This receptor trafficking reduces the number of GABA receptors available for benzodiazepines to act upon, explaining why treatment efficacy declines with increasing seizure duration.</w:t>
      </w:r>
    </w:p>
    <w:p>
      <w:pPr>
        <w:spacing w:after="120"/>
      </w:pPr>
      <w:r>
        <w:rPr>
          <w:rFonts w:ascii="Arial" w:cs="Arial" w:eastAsia="Arial" w:hAnsi="Arial"/>
          <w:sz w:val="22"/>
          <w:szCs w:val="22"/>
        </w:rPr>
        <w:t xml:space="preserve">Simultaneously, excitatory N-methyl-D-aspartate (NMDA) receptors are trafficked to the synaptic surface, creating a progressively excitotoxic environment. This dual process—loss of inhibition combined with enhanced excitation—establishes a self-sustaining seizure that becomes increasingly difficult to terminate pharmacologically. The clinical implication is unambiguous: every minute of delay reduces the probability of treatment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7CE" w:val="clear"/>
            <w:tcMar>
              <w:top w:type="dxa" w:w="100"/>
              <w:left w:type="dxa" w:w="160"/>
              <w:bottom w:type="dxa" w:w="100"/>
              <w:right w:type="dxa" w:w="160"/>
            </w:tcMar>
          </w:tcPr>
          <w:p>
            <w:pPr>
              <w:spacing w:after="60"/>
            </w:pPr>
            <w:r>
              <w:rPr>
                <w:rFonts w:ascii="Arial" w:cs="Arial" w:eastAsia="Arial" w:hAnsi="Arial"/>
                <w:b/>
                <w:bCs/>
                <w:color w:val="9C0006"/>
                <w:sz w:val="22"/>
                <w:szCs w:val="22"/>
              </w:rPr>
              <w:t xml:space="preserve">CRITICAL POINT</w:t>
            </w:r>
          </w:p>
          <w:p>
            <w:pPr>
              <w:spacing w:after="0"/>
            </w:pPr>
            <w:r>
              <w:rPr>
                <w:rFonts w:ascii="Arial" w:cs="Arial" w:eastAsia="Arial" w:hAnsi="Arial"/>
                <w:sz w:val="20"/>
                <w:szCs w:val="20"/>
              </w:rPr>
              <w:t xml:space="preserve">Time is brain. Approximately 80% of seizures respond to the first adequately-dosed benzodiazepine given within 5 minutes. By the time status epilepticus is established (after BZD failure), only about 50% of patients respond to second-line agents. After 30 minutes of continuous seizure activity, response rates drop below 30%.</w:t>
            </w:r>
          </w:p>
        </w:tc>
      </w:tr>
    </w:tbl>
    <w:p>
      <w:pPr>
        <w:pStyle w:val="Heading2"/>
        <w:spacing w:after="160" w:before="280"/>
      </w:pPr>
      <w:r>
        <w:rPr>
          <w:rFonts w:ascii="Arial" w:cs="Arial" w:eastAsia="Arial" w:hAnsi="Arial"/>
          <w:b/>
          <w:bCs/>
          <w:sz w:val="28"/>
          <w:szCs w:val="28"/>
        </w:rPr>
        <w:t xml:space="preserve">2.3 Seizure Classification Overview</w:t>
      </w:r>
    </w:p>
    <w:p>
      <w:pPr>
        <w:spacing w:after="120"/>
      </w:pPr>
      <w:r>
        <w:rPr>
          <w:rFonts w:ascii="Arial" w:cs="Arial" w:eastAsia="Arial" w:hAnsi="Arial"/>
          <w:sz w:val="22"/>
          <w:szCs w:val="22"/>
        </w:rPr>
        <w:t xml:space="preserve">For the purposes of acute management, the most important distinction is between convulsive and non-convulsive seizures. Convulsive seizures are clinically apparent with rhythmic jerking, tonic posturing, or both, and are the primary focus of the emergency management algorithms in this guide.</w:t>
      </w:r>
    </w:p>
    <w:p>
      <w:pPr>
        <w:spacing w:after="120"/>
      </w:pPr>
      <w:r>
        <w:rPr>
          <w:rFonts w:ascii="Arial" w:cs="Arial" w:eastAsia="Arial" w:hAnsi="Arial"/>
          <w:sz w:val="22"/>
          <w:szCs w:val="22"/>
        </w:rPr>
        <w:t xml:space="preserve">The International League Against Epilepsy (ILAE) classifies seizures by onset as focal (arising from one hemisphere), generalized (involving both hemispheres from onset), or unknown onset. Focal seizures may secondarily generalize into bilateral tonic-clonic convulsions. From an emergency management perspective, the treatment algorithm for convulsive status epilepticus is the same regardless of whether the seizure began as focal or generalized.</w:t>
      </w:r>
    </w:p>
    <w:p>
      <w:pPr>
        <w:pStyle w:val="Heading2"/>
        <w:spacing w:after="160" w:before="280"/>
      </w:pPr>
      <w:r>
        <w:rPr>
          <w:rFonts w:ascii="Arial" w:cs="Arial" w:eastAsia="Arial" w:hAnsi="Arial"/>
          <w:b/>
          <w:bCs/>
          <w:sz w:val="28"/>
          <w:szCs w:val="28"/>
        </w:rPr>
        <w:t xml:space="preserve">2.4 Neonatal Seizure Pathophysiology</w:t>
      </w:r>
    </w:p>
    <w:p>
      <w:pPr>
        <w:spacing w:after="120"/>
      </w:pPr>
      <w:r>
        <w:rPr>
          <w:rFonts w:ascii="Arial" w:cs="Arial" w:eastAsia="Arial" w:hAnsi="Arial"/>
          <w:sz w:val="22"/>
          <w:szCs w:val="22"/>
        </w:rPr>
        <w:t xml:space="preserve">Neonatal seizures differ fundamentally from seizures in older children and adults. The neonatal brain is in a state of developmental excitability, with GABAergic neurotransmission actually being excitatory rather than inhibitory during early development due to high intracellular chloride concentrations. This explains why benzodiazepines—which enhance GABA activity—are less effective in neonates than in older patients, and why phenobarbital (which has multiple mechanisms of action including direct chloride channel activation) remains the first-line treatment for neonatal seizures.</w:t>
      </w:r>
    </w:p>
    <w:p>
      <w:pPr>
        <w:spacing w:after="120"/>
      </w:pPr>
      <w:r>
        <w:rPr>
          <w:rFonts w:ascii="Arial" w:cs="Arial" w:eastAsia="Arial" w:hAnsi="Arial"/>
          <w:sz w:val="22"/>
          <w:szCs w:val="22"/>
        </w:rPr>
        <w:t xml:space="preserve">Many neonatal seizures are electrographic-only, meaning they produce abnormal electrical patterns on EEG without visible clinical correlates. Clinical manifestations, when present, may be subtle: lip smacking, bicycling movements, tonic eye deviation, or apneic episodes. Jitteriness—a common neonatal finding—is NOT a seizure; it is stimulus-sensitive, can be suppressed by gentle flexion, and does not involve abnormal eye movements.</w:t>
      </w:r>
    </w:p>
    <w:p>
      <w:r>
        <w:br w:type="page"/>
      </w:r>
    </w:p>
    <w:p>
      <w:pPr>
        <w:pStyle w:val="Heading1"/>
        <w:spacing w:after="200" w:before="360"/>
      </w:pPr>
      <w:r>
        <w:rPr>
          <w:rFonts w:ascii="Arial" w:cs="Arial" w:eastAsia="Arial" w:hAnsi="Arial"/>
          <w:b/>
          <w:bCs/>
          <w:sz w:val="32"/>
          <w:szCs w:val="32"/>
        </w:rPr>
        <w:t xml:space="preserve">Chapter 3: Acute Seizure Management — The Algorithmic Approach</w:t>
      </w:r>
    </w:p>
    <w:p>
      <w:pPr>
        <w:pStyle w:val="Heading2"/>
        <w:spacing w:after="160" w:before="280"/>
      </w:pPr>
      <w:r>
        <w:rPr>
          <w:rFonts w:ascii="Arial" w:cs="Arial" w:eastAsia="Arial" w:hAnsi="Arial"/>
          <w:b/>
          <w:bCs/>
          <w:sz w:val="28"/>
          <w:szCs w:val="28"/>
        </w:rPr>
        <w:t xml:space="preserve">3.1 Initial Stabilization (Time Zero)</w:t>
      </w:r>
    </w:p>
    <w:p>
      <w:pPr>
        <w:spacing w:after="120"/>
      </w:pPr>
      <w:r>
        <w:rPr>
          <w:rFonts w:ascii="Arial" w:cs="Arial" w:eastAsia="Arial" w:hAnsi="Arial"/>
          <w:sz w:val="22"/>
          <w:szCs w:val="22"/>
        </w:rPr>
        <w:t xml:space="preserve">The initial management of any patient presenting with an active seizure follows the standard resuscitation framework of airway, breathing, and circulation, performed simultaneously with seizure-specific interventions.</w:t>
      </w:r>
    </w:p>
    <w:p>
      <w:pPr>
        <w:pStyle w:val="Heading3"/>
        <w:spacing w:after="120" w:before="200"/>
      </w:pPr>
      <w:r>
        <w:rPr>
          <w:rFonts w:ascii="Arial" w:cs="Arial" w:eastAsia="Arial" w:hAnsi="Arial"/>
          <w:b/>
          <w:bCs/>
          <w:sz w:val="24"/>
          <w:szCs w:val="24"/>
        </w:rPr>
        <w:t xml:space="preserve">3.1.1 Airway and Breathing</w:t>
      </w:r>
    </w:p>
    <w:p>
      <w:pPr>
        <w:pStyle w:val="ListParagraph"/>
        <w:numPr>
          <w:ilvl w:val="0"/>
          <w:numId w:val="2"/>
        </w:numPr>
        <w:spacing w:after="60"/>
      </w:pPr>
      <w:r>
        <w:rPr>
          <w:rFonts w:ascii="Arial" w:cs="Arial" w:eastAsia="Arial" w:hAnsi="Arial"/>
          <w:sz w:val="22"/>
          <w:szCs w:val="22"/>
        </w:rPr>
        <w:t xml:space="preserve">Position the patient on their side to reduce aspiration risk and facilitate drainage of secretions.</w:t>
      </w:r>
    </w:p>
    <w:p>
      <w:pPr>
        <w:pStyle w:val="ListParagraph"/>
        <w:numPr>
          <w:ilvl w:val="0"/>
          <w:numId w:val="2"/>
        </w:numPr>
        <w:spacing w:after="60"/>
      </w:pPr>
      <w:r>
        <w:rPr>
          <w:rFonts w:ascii="Arial" w:cs="Arial" w:eastAsia="Arial" w:hAnsi="Arial"/>
          <w:sz w:val="22"/>
          <w:szCs w:val="22"/>
        </w:rPr>
        <w:t xml:space="preserve">Suction the oropharynx gently; do NOT insert anything into the mouth and do NOT pry the jaw open.</w:t>
      </w:r>
    </w:p>
    <w:p>
      <w:pPr>
        <w:pStyle w:val="ListParagraph"/>
        <w:numPr>
          <w:ilvl w:val="0"/>
          <w:numId w:val="2"/>
        </w:numPr>
        <w:spacing w:after="60"/>
      </w:pPr>
      <w:r>
        <w:rPr>
          <w:rFonts w:ascii="Arial" w:cs="Arial" w:eastAsia="Arial" w:hAnsi="Arial"/>
          <w:sz w:val="22"/>
          <w:szCs w:val="22"/>
        </w:rPr>
        <w:t xml:space="preserve">Apply 100% oxygen by face mask.</w:t>
      </w:r>
    </w:p>
    <w:p>
      <w:pPr>
        <w:pStyle w:val="ListParagraph"/>
        <w:numPr>
          <w:ilvl w:val="0"/>
          <w:numId w:val="2"/>
        </w:numPr>
        <w:spacing w:after="60"/>
      </w:pPr>
      <w:r>
        <w:rPr>
          <w:rFonts w:ascii="Arial" w:cs="Arial" w:eastAsia="Arial" w:hAnsi="Arial"/>
          <w:sz w:val="22"/>
          <w:szCs w:val="22"/>
        </w:rPr>
        <w:t xml:space="preserve">Attach continuous pulse oximetry and cardiorespiratory monitoring.</w:t>
      </w:r>
    </w:p>
    <w:p>
      <w:pPr>
        <w:pStyle w:val="ListParagraph"/>
        <w:numPr>
          <w:ilvl w:val="0"/>
          <w:numId w:val="2"/>
        </w:numPr>
        <w:spacing w:after="60"/>
      </w:pPr>
      <w:r>
        <w:rPr>
          <w:rFonts w:ascii="Arial" w:cs="Arial" w:eastAsia="Arial" w:hAnsi="Arial"/>
          <w:sz w:val="22"/>
          <w:szCs w:val="22"/>
        </w:rPr>
        <w:t xml:space="preserve">If oxygen saturations remain below 90% despite supplemental oxygen, consider assisted ventilation with bag-valve-mask.</w:t>
      </w:r>
    </w:p>
    <w:p>
      <w:pPr>
        <w:pStyle w:val="Heading3"/>
        <w:spacing w:after="120" w:before="200"/>
      </w:pPr>
      <w:r>
        <w:rPr>
          <w:rFonts w:ascii="Arial" w:cs="Arial" w:eastAsia="Arial" w:hAnsi="Arial"/>
          <w:b/>
          <w:bCs/>
          <w:sz w:val="24"/>
          <w:szCs w:val="24"/>
        </w:rPr>
        <w:t xml:space="preserve">3.1.2 Circulation and Access</w:t>
      </w:r>
    </w:p>
    <w:p>
      <w:pPr>
        <w:pStyle w:val="ListParagraph"/>
        <w:numPr>
          <w:ilvl w:val="0"/>
          <w:numId w:val="2"/>
        </w:numPr>
        <w:spacing w:after="60"/>
      </w:pPr>
      <w:r>
        <w:rPr>
          <w:rFonts w:ascii="Arial" w:cs="Arial" w:eastAsia="Arial" w:hAnsi="Arial"/>
          <w:sz w:val="22"/>
          <w:szCs w:val="22"/>
        </w:rPr>
        <w:t xml:space="preserve">Establish IV access, but DO NOT delay benzodiazepine administration to obtain an IV line. Intramuscular or intranasal routes are effective and should be used immediately when IV access is not available.</w:t>
      </w:r>
    </w:p>
    <w:p>
      <w:pPr>
        <w:pStyle w:val="ListParagraph"/>
        <w:numPr>
          <w:ilvl w:val="0"/>
          <w:numId w:val="2"/>
        </w:numPr>
        <w:spacing w:after="60"/>
      </w:pPr>
      <w:r>
        <w:rPr>
          <w:rFonts w:ascii="Arial" w:cs="Arial" w:eastAsia="Arial" w:hAnsi="Arial"/>
          <w:sz w:val="22"/>
          <w:szCs w:val="22"/>
        </w:rPr>
        <w:t xml:space="preserve">Check point-of-care glucose immediately. Hypoglycemia (glucose less than 60 mg/dL in children, less than 47 mg/dL in neonates) should be corrected with D10W 5 mL/kg IV in children or D10W 2 mL/kg IV in neonates.</w:t>
      </w:r>
    </w:p>
    <w:p>
      <w:pPr>
        <w:pStyle w:val="Heading3"/>
        <w:spacing w:after="120" w:before="200"/>
      </w:pPr>
      <w:r>
        <w:rPr>
          <w:rFonts w:ascii="Arial" w:cs="Arial" w:eastAsia="Arial" w:hAnsi="Arial"/>
          <w:b/>
          <w:bCs/>
          <w:sz w:val="24"/>
          <w:szCs w:val="24"/>
        </w:rPr>
        <w:t xml:space="preserve">3.1.3 Start the Clock</w:t>
      </w:r>
    </w:p>
    <w:p>
      <w:pPr>
        <w:spacing w:after="120"/>
      </w:pPr>
      <w:r>
        <w:rPr>
          <w:rFonts w:ascii="Arial" w:cs="Arial" w:eastAsia="Arial" w:hAnsi="Arial"/>
          <w:sz w:val="22"/>
          <w:szCs w:val="22"/>
        </w:rPr>
        <w:t xml:space="preserve">Note the time the seizure began or, if already in progress on arrival, the time of first observation. All subsequent treatment decisions are time-anchored. Designate one team member to be the timekeeper.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9C" w:val="clear"/>
            <w:tcMar>
              <w:top w:type="dxa" w:w="100"/>
              <w:left w:type="dxa" w:w="160"/>
              <w:bottom w:type="dxa" w:w="100"/>
              <w:right w:type="dxa" w:w="160"/>
            </w:tcMar>
          </w:tcPr>
          <w:p>
            <w:pPr>
              <w:spacing w:after="60"/>
            </w:pPr>
            <w:r>
              <w:rPr>
                <w:rFonts w:ascii="Arial" w:cs="Arial" w:eastAsia="Arial" w:hAnsi="Arial"/>
                <w:b/>
                <w:bCs/>
                <w:color w:val="9C6500"/>
                <w:sz w:val="22"/>
                <w:szCs w:val="22"/>
              </w:rPr>
              <w:t xml:space="preserve">RURAL CONSIDERATION</w:t>
            </w:r>
          </w:p>
          <w:p>
            <w:pPr>
              <w:spacing w:after="0"/>
            </w:pPr>
            <w:r>
              <w:rPr>
                <w:rFonts w:ascii="Arial" w:cs="Arial" w:eastAsia="Arial" w:hAnsi="Arial"/>
                <w:sz w:val="20"/>
                <w:szCs w:val="20"/>
              </w:rPr>
              <w:t xml:space="preserve">In a rural ED with limited nursing staff, designating roles is especially critical. At minimum: one provider managing the airway and directing treatment, one nurse administering medications and monitoring, and one person documenting and tracking time. If only two providers are available, the documenter/timekeeper role may be performed by any available staff member (clerk, respiratory therapist).</w:t>
            </w:r>
          </w:p>
        </w:tc>
      </w:tr>
    </w:tbl>
    <w:p>
      <w:pPr>
        <w:pStyle w:val="Heading2"/>
        <w:spacing w:after="160" w:before="280"/>
      </w:pPr>
      <w:r>
        <w:rPr>
          <w:rFonts w:ascii="Arial" w:cs="Arial" w:eastAsia="Arial" w:hAnsi="Arial"/>
          <w:b/>
          <w:bCs/>
          <w:sz w:val="28"/>
          <w:szCs w:val="28"/>
        </w:rPr>
        <w:t xml:space="preserve">3.2 First-Line Therapy: Benzodiazepines (T = 0-5 Minutes)</w:t>
      </w:r>
    </w:p>
    <w:p>
      <w:pPr>
        <w:spacing w:after="120"/>
      </w:pPr>
      <w:r>
        <w:rPr>
          <w:rFonts w:ascii="Arial" w:cs="Arial" w:eastAsia="Arial" w:hAnsi="Arial"/>
          <w:sz w:val="22"/>
          <w:szCs w:val="22"/>
        </w:rPr>
        <w:t xml:space="preserve">Benzodiazepines are the established first-line treatment for convulsive status epilepticus in all age groups beyond the neonatal period. The American Epilepsy Society (AES) guideline rates the evidence for IV lorazepam and IV diazepam at Level A (established as efficacious). Intramuscular midazolam has Level A evidence for superior effectiveness compared to IV lorazepam when IV access is not established, based on the landmark RAMPART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600"/>
        <w:gridCol w:w="17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Drug</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Dose</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Onset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Lorazepam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0.1 mg/kg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IV</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4 mg</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2-3 min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Diazepam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0.15-0.2 mg/kg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IV</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10 mg</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1-3 min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Midazolam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0.2 mg/kg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IM</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10 mg</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3-5 min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Midazolam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0.2 mg/kg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IN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10 mg</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3-5 min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Diazepam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0.2-0.5 mg/kg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Rectal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20 mg</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5-10 min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7CE" w:val="clear"/>
            <w:tcMar>
              <w:top w:type="dxa" w:w="100"/>
              <w:left w:type="dxa" w:w="160"/>
              <w:bottom w:type="dxa" w:w="100"/>
              <w:right w:type="dxa" w:w="160"/>
            </w:tcMar>
          </w:tcPr>
          <w:p>
            <w:pPr>
              <w:spacing w:after="60"/>
            </w:pPr>
            <w:r>
              <w:rPr>
                <w:rFonts w:ascii="Arial" w:cs="Arial" w:eastAsia="Arial" w:hAnsi="Arial"/>
                <w:b/>
                <w:bCs/>
                <w:color w:val="9C0006"/>
                <w:sz w:val="22"/>
                <w:szCs w:val="22"/>
              </w:rPr>
              <w:t xml:space="preserve">CRITICAL POINT</w:t>
            </w:r>
          </w:p>
          <w:p>
            <w:pPr>
              <w:spacing w:after="0"/>
            </w:pPr>
            <w:r>
              <w:rPr>
                <w:rFonts w:ascii="Arial" w:cs="Arial" w:eastAsia="Arial" w:hAnsi="Arial"/>
                <w:sz w:val="20"/>
                <w:szCs w:val="20"/>
              </w:rPr>
              <w:t xml:space="preserve">UNDERDOSING IS THE MOST COMMON ERROR. Data from the Pediatric Status Epilepticus Research Group (pSERG) demonstrate that benzodiazepine underdosing occurred in over 30% of cases. Use full weight-based doses. A child who weighs 30 kg should receive lorazepam 3 mg IV, not a generic '2 mg' dose.</w:t>
            </w:r>
          </w:p>
        </w:tc>
      </w:tr>
    </w:tbl>
    <w:p>
      <w:pPr>
        <w:spacing w:after="120"/>
      </w:pPr>
      <w:r>
        <w:rPr>
          <w:rFonts w:ascii="Arial" w:cs="Arial" w:eastAsia="Arial" w:hAnsi="Arial"/>
          <w:sz w:val="22"/>
          <w:szCs w:val="22"/>
        </w:rPr>
        <w:t xml:space="preserve">If the seizure does not stop within five minutes of the first benzodiazepine dose, a second dose of the SAME benzodiazepine at the SAME dose should be administered. A maximum of two benzodiazepine doses is recommended; additional doses increase the risk of respiratory depression without proportional efficacy gains.</w:t>
      </w:r>
    </w:p>
    <w:p>
      <w:pPr>
        <w:pStyle w:val="Heading2"/>
        <w:spacing w:after="160" w:before="280"/>
      </w:pPr>
      <w:r>
        <w:rPr>
          <w:rFonts w:ascii="Arial" w:cs="Arial" w:eastAsia="Arial" w:hAnsi="Arial"/>
          <w:b/>
          <w:bCs/>
          <w:sz w:val="28"/>
          <w:szCs w:val="28"/>
        </w:rPr>
        <w:t xml:space="preserve">3.3 Second-Line Therapy: Established Status Epilepticus (T = 10-20 Minutes)</w:t>
      </w:r>
    </w:p>
    <w:p>
      <w:pPr>
        <w:spacing w:after="120"/>
      </w:pPr>
      <w:r>
        <w:rPr>
          <w:rFonts w:ascii="Arial" w:cs="Arial" w:eastAsia="Arial" w:hAnsi="Arial"/>
          <w:sz w:val="22"/>
          <w:szCs w:val="22"/>
        </w:rPr>
        <w:t xml:space="preserve">When seizures persist after two adequate doses of a benzodiazepine, the diagnosis of established (benzodiazepine-refractory) status epilepticus is made, and a second-line anti-seizure medication should be administered. The landmark Established Status Epilepticus Treatment Trial (ESETT), published by Kapur and colleagues in the New England Journal of Medicine in 2019, provides the definitive evidence base for second-line agent selection.</w:t>
      </w:r>
    </w:p>
    <w:p>
      <w:pPr>
        <w:pStyle w:val="Heading3"/>
        <w:spacing w:after="120" w:before="200"/>
      </w:pPr>
      <w:r>
        <w:rPr>
          <w:rFonts w:ascii="Arial" w:cs="Arial" w:eastAsia="Arial" w:hAnsi="Arial"/>
          <w:b/>
          <w:bCs/>
          <w:sz w:val="24"/>
          <w:szCs w:val="24"/>
        </w:rPr>
        <w:t xml:space="preserve">3.3.1 The ESETT Trial</w:t>
      </w:r>
    </w:p>
    <w:p>
      <w:pPr>
        <w:spacing w:after="120"/>
      </w:pPr>
      <w:r>
        <w:rPr>
          <w:rFonts w:ascii="Arial" w:cs="Arial" w:eastAsia="Arial" w:hAnsi="Arial"/>
          <w:sz w:val="22"/>
          <w:szCs w:val="22"/>
        </w:rPr>
        <w:t xml:space="preserve">ESETT was a multicenter, randomized, blinded, comparative-effectiveness trial conducted across 58 US emergency departments through the NETT Network and PECARN. A total of 384 patients (both children and adults) with benzodiazepine-refractory convulsive status epilepticus were randomized to receive levetiracetam (60 mg/kg, max 4500 mg), fosphenytoin (20 mg/kg PE, max 1500 mg PE), or valproate (40 mg/kg, max 3000 mg).</w:t>
      </w:r>
    </w:p>
    <w:p>
      <w:pPr>
        <w:spacing w:after="120"/>
      </w:pPr>
      <w:r>
        <w:rPr>
          <w:rFonts w:ascii="Arial" w:cs="Arial" w:eastAsia="Arial" w:hAnsi="Arial"/>
          <w:sz w:val="22"/>
          <w:szCs w:val="22"/>
        </w:rPr>
        <w:t xml:space="preserve">The primary outcome—cessation of status epilepticus with improved level of consciousness at 60 minutes—occurred in 47% of the levetiracetam group, 45% of the fosphenytoin group, and 46% of the valproate group. No statistically significant differences in efficacy or safety were detected between the three agents. A subsequent age-stratified analysis published in The Lancet in 2020 confirmed that children, adults, and older adults responded similarly to all three drugs, with treatment success in approximately half of patients across all subgroups.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7CE" w:val="clear"/>
            <w:tcMar>
              <w:top w:type="dxa" w:w="100"/>
              <w:left w:type="dxa" w:w="160"/>
              <w:bottom w:type="dxa" w:w="100"/>
              <w:right w:type="dxa" w:w="160"/>
            </w:tcMar>
          </w:tcPr>
          <w:p>
            <w:pPr>
              <w:spacing w:after="60"/>
            </w:pPr>
            <w:r>
              <w:rPr>
                <w:rFonts w:ascii="Arial" w:cs="Arial" w:eastAsia="Arial" w:hAnsi="Arial"/>
                <w:b/>
                <w:bCs/>
                <w:color w:val="9C0006"/>
                <w:sz w:val="22"/>
                <w:szCs w:val="22"/>
              </w:rPr>
              <w:t xml:space="preserve">CRITICAL POINT</w:t>
            </w:r>
          </w:p>
          <w:p>
            <w:pPr>
              <w:spacing w:after="0"/>
            </w:pPr>
            <w:r>
              <w:rPr>
                <w:rFonts w:ascii="Arial" w:cs="Arial" w:eastAsia="Arial" w:hAnsi="Arial"/>
                <w:sz w:val="20"/>
                <w:szCs w:val="20"/>
              </w:rPr>
              <w:t xml:space="preserve">USE FULL ESETT DOSES. The trial used levetiracetam at 60 mg/kg (not the commonly cited 20 mg/kg loading dose from other contexts), fosphenytoin at 20 mg/kg PE, and valproate at 40 mg/kg. Underdosing of second-line agents is a well-documented problem that contributes to treatment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Drug</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Infusion</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Precautions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Levetiracetam</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60 mg/kg IV</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4500 mg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Over 10 min</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Fewest interactions; no cardiac monitoring needed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Fosphenytoin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20 mg/kg PE IV</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1500 mg PE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Over 10 min</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Requires cardiac monitoring; avoid in cardiac disease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Valproate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40 mg/kg IV</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3000 mg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center"/>
            </w:pPr>
            <w:r>
              <w:rPr>
                <w:rFonts w:ascii="Arial" w:cs="Arial" w:eastAsia="Arial" w:hAnsi="Arial"/>
                <w:sz w:val="20"/>
                <w:szCs w:val="20"/>
              </w:rPr>
              <w:t xml:space="preserve">Over 10 min</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Avoid &lt;2 yr; avoid liver/mitochondrial disease</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3.3.2 Levetiracetam (Keppra) — Detailed Drug Profile</w:t>
      </w:r>
    </w:p>
    <w:p>
      <w:pPr>
        <w:spacing w:after="120"/>
      </w:pPr>
      <w:r>
        <w:rPr>
          <w:rFonts w:ascii="Arial" w:cs="Arial" w:eastAsia="Arial" w:hAnsi="Arial"/>
          <w:sz w:val="22"/>
          <w:szCs w:val="22"/>
        </w:rPr>
        <w:t xml:space="preserve">Levetiracetam (brand name Keppra) has emerged as an increasingly preferred second-line agent for status epilepticus, particularly in settings where its practical advantages over fosphenytoin and valproate are most relevant. Originally approved for adjunctive therapy in partial-onset seizures, levetiracetam gained widespread off-label use for status epilepticus based on its favorable pharmacokinetic and safety profile, culminating in Level A evidence from the ESETT trial.</w:t>
      </w:r>
    </w:p>
    <w:p>
      <w:pPr>
        <w:pStyle w:val="Heading3"/>
        <w:spacing w:after="120" w:before="200"/>
      </w:pPr>
      <w:r>
        <w:rPr>
          <w:rFonts w:ascii="Arial" w:cs="Arial" w:eastAsia="Arial" w:hAnsi="Arial"/>
          <w:b/>
          <w:bCs/>
          <w:sz w:val="24"/>
          <w:szCs w:val="24"/>
        </w:rPr>
        <w:t xml:space="preserve">Mechanism of Action</w:t>
      </w:r>
    </w:p>
    <w:p>
      <w:pPr>
        <w:spacing w:after="120"/>
      </w:pPr>
      <w:r>
        <w:rPr>
          <w:rFonts w:ascii="Arial" w:cs="Arial" w:eastAsia="Arial" w:hAnsi="Arial"/>
          <w:sz w:val="22"/>
          <w:szCs w:val="22"/>
        </w:rPr>
        <w:t xml:space="preserve">Levetiracetam binds to synaptic vesicle protein 2A (SV2A) in the brain, modulating neurotransmitter release. This mechanism is distinct from all other anti-seizure medications, making levetiracetam a valuable addition when other agents have failed. It does not interact with GABA or glutamate receptors, voltage-gated sodium channels, or T-type calcium channels.</w:t>
      </w:r>
    </w:p>
    <w:p>
      <w:pPr>
        <w:pStyle w:val="Heading3"/>
        <w:spacing w:after="120" w:before="200"/>
      </w:pPr>
      <w:r>
        <w:rPr>
          <w:rFonts w:ascii="Arial" w:cs="Arial" w:eastAsia="Arial" w:hAnsi="Arial"/>
          <w:b/>
          <w:bCs/>
          <w:sz w:val="24"/>
          <w:szCs w:val="24"/>
        </w:rPr>
        <w:t xml:space="preserve">Pharmacokinetics</w:t>
      </w:r>
    </w:p>
    <w:p>
      <w:pPr>
        <w:spacing w:after="120"/>
      </w:pPr>
      <w:r>
        <w:rPr>
          <w:rFonts w:ascii="Arial" w:cs="Arial" w:eastAsia="Arial" w:hAnsi="Arial"/>
          <w:sz w:val="22"/>
          <w:szCs w:val="22"/>
        </w:rPr>
        <w:t xml:space="preserve">Levetiracetam has near-complete oral bioavailability (approximately 100%), is minimally protein-bound (less than 10%), is not hepatically metabolized via cytochrome P450 enzymes, and is primarily renally excreted. These characteristics produce a remarkably clean drug interaction profile—a major practical advantage in the emergency setting where the patient's home medication list may be unknown or complex. The half-life in adults is 6-8 hours; in children it may be shorter (5-7 hours), necessitating twice-daily dosing for maintenance therapy.</w:t>
      </w:r>
    </w:p>
    <w:p>
      <w:pPr>
        <w:pStyle w:val="Heading3"/>
        <w:spacing w:after="120" w:before="200"/>
      </w:pPr>
      <w:r>
        <w:rPr>
          <w:rFonts w:ascii="Arial" w:cs="Arial" w:eastAsia="Arial" w:hAnsi="Arial"/>
          <w:b/>
          <w:bCs/>
          <w:sz w:val="24"/>
          <w:szCs w:val="24"/>
        </w:rPr>
        <w:t xml:space="preserve">Evidence for Second-Line Use in Status Epilepticus</w:t>
      </w:r>
    </w:p>
    <w:p>
      <w:pPr>
        <w:spacing w:after="120"/>
      </w:pPr>
      <w:r>
        <w:rPr>
          <w:rFonts w:ascii="Arial" w:cs="Arial" w:eastAsia="Arial" w:hAnsi="Arial"/>
          <w:sz w:val="22"/>
          <w:szCs w:val="22"/>
        </w:rPr>
        <w:t xml:space="preserve">Three landmark randomized controlled trials and two systematic reviews provide the evidence base for levetiracetam as a second-line agent in pediatric convulsive status epilepticus:</w:t>
      </w:r>
    </w:p>
    <w:p>
      <w:pPr>
        <w:pStyle w:val="ListParagraph"/>
        <w:numPr>
          <w:ilvl w:val="0"/>
          <w:numId w:val="2"/>
        </w:numPr>
        <w:spacing w:after="60"/>
      </w:pPr>
      <w:r>
        <w:rPr>
          <w:rFonts w:ascii="Arial" w:cs="Arial" w:eastAsia="Arial" w:hAnsi="Arial"/>
          <w:sz w:val="22"/>
          <w:szCs w:val="22"/>
        </w:rPr>
        <w:t xml:space="preserve">The EcLiPSE Trial (Lyttle et al., Lancet 2019): A multicenter, open-label RCT conducted across 30 UK emergency departments. A total of 286 children aged 6 months to under 18 years with benzodiazepine-refractory convulsive SE were randomized to levetiracetam (40 mg/kg over 5 minutes) or phenytoin (20 mg/kg over at least 20 minutes). Convulsive SE was terminated in 70% of children receiving levetiracetam versus 64% receiving phenytoin (HR 1.20, 95% CI 0.91-1.60, p=0.20). While not statistically superior, the authors concluded that levetiracetam's comparable efficacy, combined with its faster administration time (5 minutes versus 20+ minutes), better safety profile, and lack of need for cardiac monitoring, make it an appropriate alternative to phenytoin as a first-choice second-line agent.</w:t>
      </w:r>
    </w:p>
    <w:p>
      <w:pPr>
        <w:pStyle w:val="ListParagraph"/>
        <w:numPr>
          <w:ilvl w:val="0"/>
          <w:numId w:val="2"/>
        </w:numPr>
        <w:spacing w:after="60"/>
      </w:pPr>
      <w:r>
        <w:rPr>
          <w:rFonts w:ascii="Arial" w:cs="Arial" w:eastAsia="Arial" w:hAnsi="Arial"/>
          <w:sz w:val="22"/>
          <w:szCs w:val="22"/>
        </w:rPr>
        <w:t xml:space="preserve">The ConSEPT Trial (Dalziel et al., Lancet 2019): A multicenter, open-label RCT across 13 emergency departments in Australia and New Zealand. A total of 233 children aged 3 months to 16 years were randomized to phenytoin (20 mg/kg over 20 minutes) or levetiracetam (40 mg/kg over 5 minutes). Clinical seizure cessation at 5 minutes after infusion completion occurred in 60% of the phenytoin group and 50% of the levetiracetam group (risk difference -9.2%, 95% CI -21.9 to 3.5, p=0.16). Levetiracetam was not superior to phenytoin but had comparable safety.</w:t>
      </w:r>
    </w:p>
    <w:p>
      <w:pPr>
        <w:pStyle w:val="ListParagraph"/>
        <w:numPr>
          <w:ilvl w:val="0"/>
          <w:numId w:val="2"/>
        </w:numPr>
        <w:spacing w:after="60"/>
      </w:pPr>
      <w:r>
        <w:rPr>
          <w:rFonts w:ascii="Arial" w:cs="Arial" w:eastAsia="Arial" w:hAnsi="Arial"/>
          <w:sz w:val="22"/>
          <w:szCs w:val="22"/>
        </w:rPr>
        <w:t xml:space="preserve">The ESETT Trial (Kapur et al., NEJM 2019): The definitive double-blind RCT using higher doses: levetiracetam 60 mg/kg (max 4500 mg). Success at 60 minutes was 47% overall (52% in the pediatric subgroup, 95% CrI 41-62). No significant difference from fosphenytoin (49% in children) or valproate (52% in children).</w:t>
      </w:r>
    </w:p>
    <w:p>
      <w:pPr>
        <w:pStyle w:val="ListParagraph"/>
        <w:numPr>
          <w:ilvl w:val="0"/>
          <w:numId w:val="2"/>
        </w:numPr>
        <w:spacing w:after="60"/>
      </w:pPr>
      <w:r>
        <w:rPr>
          <w:rFonts w:ascii="Arial" w:cs="Arial" w:eastAsia="Arial" w:hAnsi="Arial"/>
          <w:sz w:val="22"/>
          <w:szCs w:val="22"/>
        </w:rPr>
        <w:t xml:space="preserve">Systematic review and meta-analysis (Abdelgadir et al., Arch Dis Child 2021): Pooling 10 RCTs with 1907 participants, this analysis confirmed no significant difference in seizure cessation between levetiracetam and phenytoin (RR 1.03, 95% CI 0.98-1.09), levetiracetam and fosphenytoin (RR 1.16, 95% CI 1.00-1.35), or levetiracetam and valproate (RR 1.10, 95% CI 0.94-1.27). No differences were found in ICU admissions, adverse events, seizure recurrence at 24 hours, need for intubation, or mortality.</w:t>
      </w:r>
    </w:p>
    <w:p>
      <w:pPr>
        <w:pStyle w:val="ListParagraph"/>
        <w:numPr>
          <w:ilvl w:val="0"/>
          <w:numId w:val="2"/>
        </w:numPr>
        <w:spacing w:after="60"/>
      </w:pPr>
      <w:r>
        <w:rPr>
          <w:rFonts w:ascii="Arial" w:cs="Arial" w:eastAsia="Arial" w:hAnsi="Arial"/>
          <w:sz w:val="22"/>
          <w:szCs w:val="22"/>
        </w:rPr>
        <w:t xml:space="preserve">Network meta-analysis (Zhang et al., Medicine 2024): Analyzing 23 RCTs, this study ranked levetiracetam as the safest option for children and elderly patients, with the lowest probability of respiratory depression among all second-line agents.</w:t>
      </w:r>
    </w:p>
    <w:p>
      <w:pPr>
        <w:pStyle w:val="Heading3"/>
        <w:spacing w:after="120" w:before="200"/>
      </w:pPr>
      <w:r>
        <w:rPr>
          <w:rFonts w:ascii="Arial" w:cs="Arial" w:eastAsia="Arial" w:hAnsi="Arial"/>
          <w:b/>
          <w:bCs/>
          <w:sz w:val="24"/>
          <w:szCs w:val="24"/>
        </w:rPr>
        <w:t xml:space="preserve">Dosing for Status Epilepticus</w:t>
      </w:r>
    </w:p>
    <w:p>
      <w:pPr>
        <w:spacing w:after="120"/>
      </w:pPr>
      <w:r>
        <w:rPr>
          <w:rFonts w:ascii="Arial" w:cs="Arial" w:eastAsia="Arial" w:hAnsi="Arial"/>
          <w:sz w:val="22"/>
          <w:szCs w:val="22"/>
        </w:rPr>
        <w:t xml:space="preserve">The ESETT trial dose of 60 mg/kg IV (maximum 4500 mg) over 10 minutes should be used for established SE. Note that this is significantly higher than the 20-40 mg/kg doses used in the ConSEPT and EcLiPSE trials. For maintenance therapy after successful termination, the standard dose is 30 mg/kg/day divided into two doses (every 12 hours).</w:t>
      </w:r>
    </w:p>
    <w:p>
      <w:pPr>
        <w:pStyle w:val="Heading3"/>
        <w:spacing w:after="120" w:before="200"/>
      </w:pPr>
      <w:r>
        <w:rPr>
          <w:rFonts w:ascii="Arial" w:cs="Arial" w:eastAsia="Arial" w:hAnsi="Arial"/>
          <w:b/>
          <w:bCs/>
          <w:sz w:val="24"/>
          <w:szCs w:val="24"/>
        </w:rPr>
        <w:t xml:space="preserve">Practical Advantages</w:t>
      </w:r>
    </w:p>
    <w:p>
      <w:pPr>
        <w:pStyle w:val="ListParagraph"/>
        <w:numPr>
          <w:ilvl w:val="0"/>
          <w:numId w:val="2"/>
        </w:numPr>
        <w:spacing w:after="60"/>
      </w:pPr>
      <w:r>
        <w:rPr>
          <w:rFonts w:ascii="Arial" w:cs="Arial" w:eastAsia="Arial" w:hAnsi="Arial"/>
          <w:sz w:val="22"/>
          <w:szCs w:val="22"/>
        </w:rPr>
        <w:t xml:space="preserve">No cardiac monitoring required during or after infusion (unlike fosphenytoin)</w:t>
      </w:r>
    </w:p>
    <w:p>
      <w:pPr>
        <w:pStyle w:val="ListParagraph"/>
        <w:numPr>
          <w:ilvl w:val="0"/>
          <w:numId w:val="2"/>
        </w:numPr>
        <w:spacing w:after="60"/>
      </w:pPr>
      <w:r>
        <w:rPr>
          <w:rFonts w:ascii="Arial" w:cs="Arial" w:eastAsia="Arial" w:hAnsi="Arial"/>
          <w:sz w:val="22"/>
          <w:szCs w:val="22"/>
        </w:rPr>
        <w:t xml:space="preserve">No hepatotoxicity risk (unlike valproate in young children)</w:t>
      </w:r>
    </w:p>
    <w:p>
      <w:pPr>
        <w:pStyle w:val="ListParagraph"/>
        <w:numPr>
          <w:ilvl w:val="0"/>
          <w:numId w:val="2"/>
        </w:numPr>
        <w:spacing w:after="60"/>
      </w:pPr>
      <w:r>
        <w:rPr>
          <w:rFonts w:ascii="Arial" w:cs="Arial" w:eastAsia="Arial" w:hAnsi="Arial"/>
          <w:sz w:val="22"/>
          <w:szCs w:val="22"/>
        </w:rPr>
        <w:t xml:space="preserve">Fastest infusion time: can be administered over 5-10 minutes</w:t>
      </w:r>
    </w:p>
    <w:p>
      <w:pPr>
        <w:pStyle w:val="ListParagraph"/>
        <w:numPr>
          <w:ilvl w:val="0"/>
          <w:numId w:val="2"/>
        </w:numPr>
        <w:spacing w:after="60"/>
      </w:pPr>
      <w:r>
        <w:rPr>
          <w:rFonts w:ascii="Arial" w:cs="Arial" w:eastAsia="Arial" w:hAnsi="Arial"/>
          <w:sz w:val="22"/>
          <w:szCs w:val="22"/>
        </w:rPr>
        <w:t xml:space="preserve">Minimal drug interactions: does not induce or inhibit cytochrome P450 enzymes</w:t>
      </w:r>
    </w:p>
    <w:p>
      <w:pPr>
        <w:pStyle w:val="ListParagraph"/>
        <w:numPr>
          <w:ilvl w:val="0"/>
          <w:numId w:val="2"/>
        </w:numPr>
        <w:spacing w:after="60"/>
      </w:pPr>
      <w:r>
        <w:rPr>
          <w:rFonts w:ascii="Arial" w:cs="Arial" w:eastAsia="Arial" w:hAnsi="Arial"/>
          <w:sz w:val="22"/>
          <w:szCs w:val="22"/>
        </w:rPr>
        <w:t xml:space="preserve">Available in IV and oral formulations at equivalent doses (no dose conversion needed)</w:t>
      </w:r>
    </w:p>
    <w:p>
      <w:pPr>
        <w:pStyle w:val="ListParagraph"/>
        <w:numPr>
          <w:ilvl w:val="0"/>
          <w:numId w:val="2"/>
        </w:numPr>
        <w:spacing w:after="60"/>
      </w:pPr>
      <w:r>
        <w:rPr>
          <w:rFonts w:ascii="Arial" w:cs="Arial" w:eastAsia="Arial" w:hAnsi="Arial"/>
          <w:sz w:val="22"/>
          <w:szCs w:val="22"/>
        </w:rPr>
        <w:t xml:space="preserve">Lowest probability of respiratory depression among second-line agents (2024 network meta-analysis)</w:t>
      </w:r>
    </w:p>
    <w:p>
      <w:pPr>
        <w:pStyle w:val="ListParagraph"/>
        <w:numPr>
          <w:ilvl w:val="0"/>
          <w:numId w:val="2"/>
        </w:numPr>
        <w:spacing w:after="60"/>
      </w:pPr>
      <w:r>
        <w:rPr>
          <w:rFonts w:ascii="Arial" w:cs="Arial" w:eastAsia="Arial" w:hAnsi="Arial"/>
          <w:sz w:val="22"/>
          <w:szCs w:val="22"/>
        </w:rPr>
        <w:t xml:space="preserve">No need for drug level monitoring in most clinical scenarios</w:t>
      </w:r>
    </w:p>
    <w:p>
      <w:pPr>
        <w:pStyle w:val="ListParagraph"/>
        <w:numPr>
          <w:ilvl w:val="0"/>
          <w:numId w:val="2"/>
        </w:numPr>
        <w:spacing w:after="60"/>
      </w:pPr>
      <w:r>
        <w:rPr>
          <w:rFonts w:ascii="Arial" w:cs="Arial" w:eastAsia="Arial" w:hAnsi="Arial"/>
          <w:sz w:val="22"/>
          <w:szCs w:val="22"/>
        </w:rPr>
        <w:t xml:space="preserve">Can be given via IV, oral, or NG routes; IV-to-oral conversion is 1:1</w:t>
      </w:r>
    </w:p>
    <w:p>
      <w:pPr>
        <w:pStyle w:val="Heading3"/>
        <w:spacing w:after="120" w:before="200"/>
      </w:pPr>
      <w:r>
        <w:rPr>
          <w:rFonts w:ascii="Arial" w:cs="Arial" w:eastAsia="Arial" w:hAnsi="Arial"/>
          <w:b/>
          <w:bCs/>
          <w:sz w:val="24"/>
          <w:szCs w:val="24"/>
        </w:rPr>
        <w:t xml:space="preserve">Precautions and Adverse Effects</w:t>
      </w:r>
    </w:p>
    <w:p>
      <w:pPr>
        <w:pStyle w:val="ListParagraph"/>
        <w:numPr>
          <w:ilvl w:val="0"/>
          <w:numId w:val="2"/>
        </w:numPr>
        <w:spacing w:after="60"/>
      </w:pPr>
      <w:r>
        <w:rPr>
          <w:rFonts w:ascii="Arial" w:cs="Arial" w:eastAsia="Arial" w:hAnsi="Arial"/>
          <w:sz w:val="22"/>
          <w:szCs w:val="22"/>
        </w:rPr>
        <w:t xml:space="preserve">Behavioral side effects: irritability, agitation, and aggression occur in 5-15% of patients on chronic therapy; less relevant in acute SE management</w:t>
      </w:r>
    </w:p>
    <w:p>
      <w:pPr>
        <w:pStyle w:val="ListParagraph"/>
        <w:numPr>
          <w:ilvl w:val="0"/>
          <w:numId w:val="2"/>
        </w:numPr>
        <w:spacing w:after="60"/>
      </w:pPr>
      <w:r>
        <w:rPr>
          <w:rFonts w:ascii="Arial" w:cs="Arial" w:eastAsia="Arial" w:hAnsi="Arial"/>
          <w:sz w:val="22"/>
          <w:szCs w:val="22"/>
        </w:rPr>
        <w:t xml:space="preserve">Somnolence: common but difficult to distinguish from post-ictal state</w:t>
      </w:r>
    </w:p>
    <w:p>
      <w:pPr>
        <w:pStyle w:val="ListParagraph"/>
        <w:numPr>
          <w:ilvl w:val="0"/>
          <w:numId w:val="2"/>
        </w:numPr>
        <w:spacing w:after="60"/>
      </w:pPr>
      <w:r>
        <w:rPr>
          <w:rFonts w:ascii="Arial" w:cs="Arial" w:eastAsia="Arial" w:hAnsi="Arial"/>
          <w:sz w:val="22"/>
          <w:szCs w:val="22"/>
        </w:rPr>
        <w:t xml:space="preserve">Dose adjustment required in renal impairment (CrCl less than 50 mL/min)</w:t>
      </w:r>
    </w:p>
    <w:p>
      <w:pPr>
        <w:pStyle w:val="ListParagraph"/>
        <w:numPr>
          <w:ilvl w:val="0"/>
          <w:numId w:val="2"/>
        </w:numPr>
        <w:spacing w:after="60"/>
      </w:pPr>
      <w:r>
        <w:rPr>
          <w:rFonts w:ascii="Arial" w:cs="Arial" w:eastAsia="Arial" w:hAnsi="Arial"/>
          <w:sz w:val="22"/>
          <w:szCs w:val="22"/>
        </w:rPr>
        <w:t xml:space="preserve">In the ESETT trial, numerically more deaths occurred in the levetiracetam group (4.7%) than fosphenytoin (2.5%) or valproate (1.7%), but this difference was NOT statistically significant and is likely attributable to chance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9C" w:val="clear"/>
            <w:tcMar>
              <w:top w:type="dxa" w:w="100"/>
              <w:left w:type="dxa" w:w="160"/>
              <w:bottom w:type="dxa" w:w="100"/>
              <w:right w:type="dxa" w:w="160"/>
            </w:tcMar>
          </w:tcPr>
          <w:p>
            <w:pPr>
              <w:spacing w:after="60"/>
            </w:pPr>
            <w:r>
              <w:rPr>
                <w:rFonts w:ascii="Arial" w:cs="Arial" w:eastAsia="Arial" w:hAnsi="Arial"/>
                <w:b/>
                <w:bCs/>
                <w:color w:val="9C6500"/>
                <w:sz w:val="22"/>
                <w:szCs w:val="22"/>
              </w:rPr>
              <w:t xml:space="preserve">RURAL CONSIDERATION</w:t>
            </w:r>
          </w:p>
          <w:p>
            <w:pPr>
              <w:spacing w:after="0"/>
            </w:pPr>
            <w:r>
              <w:rPr>
                <w:rFonts w:ascii="Arial" w:cs="Arial" w:eastAsia="Arial" w:hAnsi="Arial"/>
                <w:sz w:val="20"/>
                <w:szCs w:val="20"/>
              </w:rPr>
              <w:t xml:space="preserve">Levetiracetam is the most practical second-line agent for rural EDs. It requires no cardiac monitoring, has the fastest infusion time, has virtually no drug interactions, and is safe across all age groups (including patients with liver disease or cardiac disease where fosphenytoin and valproate may be relatively contraindicated). If your ED can stock only one second-line agent for SE, levetiracetam is the most versatile choice.</w:t>
            </w:r>
          </w:p>
        </w:tc>
      </w:tr>
    </w:tbl>
    <w:p>
      <w:pPr>
        <w:pStyle w:val="Heading3"/>
        <w:spacing w:after="120" w:before="200"/>
      </w:pPr>
      <w:r>
        <w:rPr>
          <w:rFonts w:ascii="Arial" w:cs="Arial" w:eastAsia="Arial" w:hAnsi="Arial"/>
          <w:b/>
          <w:bCs/>
          <w:sz w:val="24"/>
          <w:szCs w:val="24"/>
        </w:rPr>
        <w:t xml:space="preserve">3.3.3 Fosphenytoin — Detailed Drug Profile</w:t>
      </w:r>
    </w:p>
    <w:p>
      <w:pPr>
        <w:spacing w:after="120"/>
      </w:pPr>
      <w:r>
        <w:rPr>
          <w:rFonts w:ascii="Arial" w:cs="Arial" w:eastAsia="Arial" w:hAnsi="Arial"/>
          <w:sz w:val="22"/>
          <w:szCs w:val="22"/>
        </w:rPr>
        <w:t xml:space="preserve">Fosphenytoin is a water-soluble phosphate ester prodrug of phenytoin. It was developed to address the limitations of intravenous phenytoin, which requires propylene glycol as a solvent and is associated with significant risks of extravasation injury (purple glove syndrome), cardiovascular depression, and pain at the injection site. Fosphenytoin is the only second-line agent with specific FDA labeling for status epilepticus in adults.</w:t>
      </w:r>
    </w:p>
    <w:p>
      <w:pPr>
        <w:pStyle w:val="Heading3"/>
        <w:spacing w:after="120" w:before="200"/>
      </w:pPr>
      <w:r>
        <w:rPr>
          <w:rFonts w:ascii="Arial" w:cs="Arial" w:eastAsia="Arial" w:hAnsi="Arial"/>
          <w:b/>
          <w:bCs/>
          <w:sz w:val="24"/>
          <w:szCs w:val="24"/>
        </w:rPr>
        <w:t xml:space="preserve">Mechanism of Action</w:t>
      </w:r>
    </w:p>
    <w:p>
      <w:pPr>
        <w:spacing w:after="120"/>
      </w:pPr>
      <w:r>
        <w:rPr>
          <w:rFonts w:ascii="Arial" w:cs="Arial" w:eastAsia="Arial" w:hAnsi="Arial"/>
          <w:sz w:val="22"/>
          <w:szCs w:val="22"/>
        </w:rPr>
        <w:t xml:space="preserve">Following rapid enzymatic conversion to phenytoin by phosphatases in the blood, the active drug blocks voltage-gated sodium channels in a use-dependent manner. This stabilizes neuronal membranes and reduces repetitive neuronal firing. The sodium channel blockade mechanism is complementary to the GABAergic mechanism of benzodiazepines, providing theoretical rationale for its use after benzodiazepine failure.</w:t>
      </w:r>
    </w:p>
    <w:p>
      <w:pPr>
        <w:pStyle w:val="Heading3"/>
        <w:spacing w:after="120" w:before="200"/>
      </w:pPr>
      <w:r>
        <w:rPr>
          <w:rFonts w:ascii="Arial" w:cs="Arial" w:eastAsia="Arial" w:hAnsi="Arial"/>
          <w:b/>
          <w:bCs/>
          <w:sz w:val="24"/>
          <w:szCs w:val="24"/>
        </w:rPr>
        <w:t xml:space="preserve">Pharmacokinetics</w:t>
      </w:r>
    </w:p>
    <w:p>
      <w:pPr>
        <w:spacing w:after="120"/>
      </w:pPr>
      <w:r>
        <w:rPr>
          <w:rFonts w:ascii="Arial" w:cs="Arial" w:eastAsia="Arial" w:hAnsi="Arial"/>
          <w:sz w:val="22"/>
          <w:szCs w:val="22"/>
        </w:rPr>
        <w:t xml:space="preserve">Fosphenytoin is dosed in phenytoin equivalents (PE) to simplify conversion. One milligram of fosphenytoin equals one milligram of phenytoin equivalent. Following IV administration, fosphenytoin is rapidly converted to phenytoin with a conversion half-life of approximately 8-15 minutes. Phenytoin is approximately 90% protein-bound (primarily to albumin), which is clinically important: in patients with hypoalbuminemia (common in neonates, critically ill children, and patients with hepatic or renal disease), the free (unbound) phenytoin fraction increases, potentially causing toxicity even when total levels appear therapeutic. In these patients, free phenytoin levels (target 1-2 mcg/mL) should be obtained rather than total levels.</w:t>
      </w:r>
    </w:p>
    <w:p>
      <w:pPr>
        <w:pStyle w:val="Heading3"/>
        <w:spacing w:after="120" w:before="200"/>
      </w:pPr>
      <w:r>
        <w:rPr>
          <w:rFonts w:ascii="Arial" w:cs="Arial" w:eastAsia="Arial" w:hAnsi="Arial"/>
          <w:b/>
          <w:bCs/>
          <w:sz w:val="24"/>
          <w:szCs w:val="24"/>
        </w:rPr>
        <w:t xml:space="preserve">Evidence for Second-Line Use in Status Epilepticus</w:t>
      </w:r>
    </w:p>
    <w:p>
      <w:pPr>
        <w:spacing w:after="120"/>
      </w:pPr>
      <w:r>
        <w:rPr>
          <w:rFonts w:ascii="Arial" w:cs="Arial" w:eastAsia="Arial" w:hAnsi="Arial"/>
          <w:sz w:val="22"/>
          <w:szCs w:val="22"/>
        </w:rPr>
        <w:t xml:space="preserve">Fosphenytoin has the longest track record as a second-line agent for status epilepticus, predating levetiracetam's use in this setting by decades. Key evidence:</w:t>
      </w:r>
    </w:p>
    <w:p>
      <w:pPr>
        <w:pStyle w:val="ListParagraph"/>
        <w:numPr>
          <w:ilvl w:val="0"/>
          <w:numId w:val="2"/>
        </w:numPr>
        <w:spacing w:after="60"/>
      </w:pPr>
      <w:r>
        <w:rPr>
          <w:rFonts w:ascii="Arial" w:cs="Arial" w:eastAsia="Arial" w:hAnsi="Arial"/>
          <w:sz w:val="22"/>
          <w:szCs w:val="22"/>
        </w:rPr>
        <w:t xml:space="preserve">AES Guideline (Glauser et al., 2016): Fosphenytoin is recommended as a second-line agent with the notation that it is preferred over phenytoin based on tolerability, though phenytoin is an acceptable alternative (Level A).</w:t>
      </w:r>
    </w:p>
    <w:p>
      <w:pPr>
        <w:pStyle w:val="ListParagraph"/>
        <w:numPr>
          <w:ilvl w:val="0"/>
          <w:numId w:val="2"/>
        </w:numPr>
        <w:spacing w:after="60"/>
      </w:pPr>
      <w:r>
        <w:rPr>
          <w:rFonts w:ascii="Arial" w:cs="Arial" w:eastAsia="Arial" w:hAnsi="Arial"/>
          <w:sz w:val="22"/>
          <w:szCs w:val="22"/>
        </w:rPr>
        <w:t xml:space="preserve">ESETT Trial (Kapur et al., NEJM 2019): Fosphenytoin at 20 mg/kg PE achieved seizure cessation with improved consciousness at 60 minutes in 45% of patients overall and 49% of children (95% CrI 38-61). No significant difference from levetiracetam or valproate.</w:t>
      </w:r>
    </w:p>
    <w:p>
      <w:pPr>
        <w:pStyle w:val="ListParagraph"/>
        <w:numPr>
          <w:ilvl w:val="0"/>
          <w:numId w:val="2"/>
        </w:numPr>
        <w:spacing w:after="60"/>
      </w:pPr>
      <w:r>
        <w:rPr>
          <w:rFonts w:ascii="Arial" w:cs="Arial" w:eastAsia="Arial" w:hAnsi="Arial"/>
          <w:sz w:val="22"/>
          <w:szCs w:val="22"/>
        </w:rPr>
        <w:t xml:space="preserve">ESETT Age Subgroup Analysis (Chamberlain et al., Lancet 2020): In the pediatric subgroup, fosphenytoin had a numerically higher rate of endotracheal intubation than the other agents in children, though this difference did not reach statistical significance for the primary safety outcome.</w:t>
      </w:r>
    </w:p>
    <w:p>
      <w:pPr>
        <w:pStyle w:val="ListParagraph"/>
        <w:numPr>
          <w:ilvl w:val="0"/>
          <w:numId w:val="2"/>
        </w:numPr>
        <w:spacing w:after="60"/>
      </w:pPr>
      <w:r>
        <w:rPr>
          <w:rFonts w:ascii="Arial" w:cs="Arial" w:eastAsia="Arial" w:hAnsi="Arial"/>
          <w:sz w:val="22"/>
          <w:szCs w:val="22"/>
        </w:rPr>
        <w:t xml:space="preserve">pSERG Hospital Pathways: Nine of ten participating pSERG hospitals recommended fosphenytoin as the second-line agent in their status epilepticus pathways, reflecting its long-standing institutional familiarity.</w:t>
      </w:r>
    </w:p>
    <w:p>
      <w:pPr>
        <w:pStyle w:val="ListParagraph"/>
        <w:numPr>
          <w:ilvl w:val="0"/>
          <w:numId w:val="2"/>
        </w:numPr>
        <w:spacing w:after="60"/>
      </w:pPr>
      <w:r>
        <w:rPr>
          <w:rFonts w:ascii="Arial" w:cs="Arial" w:eastAsia="Arial" w:hAnsi="Arial"/>
          <w:sz w:val="22"/>
          <w:szCs w:val="22"/>
        </w:rPr>
        <w:t xml:space="preserve">Network meta-analysis (Zhang et al., Clin Drug Investig 2020): Among second-line agents in children, fosphenytoin ranked below phenobarbital and valproate for seizure cessation but was comparable in overall safety profile.</w:t>
      </w:r>
    </w:p>
    <w:p>
      <w:pPr>
        <w:pStyle w:val="Heading3"/>
        <w:spacing w:after="120" w:before="200"/>
      </w:pPr>
      <w:r>
        <w:rPr>
          <w:rFonts w:ascii="Arial" w:cs="Arial" w:eastAsia="Arial" w:hAnsi="Arial"/>
          <w:b/>
          <w:bCs/>
          <w:sz w:val="24"/>
          <w:szCs w:val="24"/>
        </w:rPr>
        <w:t xml:space="preserve">Dosing for Status Epilepticus</w:t>
      </w:r>
    </w:p>
    <w:p>
      <w:pPr>
        <w:spacing w:after="120"/>
      </w:pPr>
      <w:r>
        <w:rPr>
          <w:rFonts w:ascii="Arial" w:cs="Arial" w:eastAsia="Arial" w:hAnsi="Arial"/>
          <w:sz w:val="22"/>
          <w:szCs w:val="22"/>
        </w:rPr>
        <w:t xml:space="preserve">The standard loading dose is 20 mg/kg PE IV (maximum 1500 mg PE) infused at a maximum rate of 150 mg PE/min in adults or 2-3 mg PE/kg/min in children. In the ESETT trial, the infusion was administered over 10 minutes. For maintenance therapy, the standard dose is 5-7 mg/kg/day divided into 2-3 doses, with a target total phenytoin level of 10-20 mcg/mL (or free level of 1-2 mcg/mL).</w:t>
      </w:r>
    </w:p>
    <w:p>
      <w:pPr>
        <w:pStyle w:val="Heading3"/>
        <w:spacing w:after="120" w:before="200"/>
      </w:pPr>
      <w:r>
        <w:rPr>
          <w:rFonts w:ascii="Arial" w:cs="Arial" w:eastAsia="Arial" w:hAnsi="Arial"/>
          <w:b/>
          <w:bCs/>
          <w:sz w:val="24"/>
          <w:szCs w:val="24"/>
        </w:rPr>
        <w:t xml:space="preserve">Practical Advantages</w:t>
      </w:r>
    </w:p>
    <w:p>
      <w:pPr>
        <w:pStyle w:val="ListParagraph"/>
        <w:numPr>
          <w:ilvl w:val="0"/>
          <w:numId w:val="2"/>
        </w:numPr>
        <w:spacing w:after="60"/>
      </w:pPr>
      <w:r>
        <w:rPr>
          <w:rFonts w:ascii="Arial" w:cs="Arial" w:eastAsia="Arial" w:hAnsi="Arial"/>
          <w:sz w:val="22"/>
          <w:szCs w:val="22"/>
        </w:rPr>
        <w:t xml:space="preserve">FDA-approved specifically for status epilepticus (adults)</w:t>
      </w:r>
    </w:p>
    <w:p>
      <w:pPr>
        <w:pStyle w:val="ListParagraph"/>
        <w:numPr>
          <w:ilvl w:val="0"/>
          <w:numId w:val="2"/>
        </w:numPr>
        <w:spacing w:after="60"/>
      </w:pPr>
      <w:r>
        <w:rPr>
          <w:rFonts w:ascii="Arial" w:cs="Arial" w:eastAsia="Arial" w:hAnsi="Arial"/>
          <w:sz w:val="22"/>
          <w:szCs w:val="22"/>
        </w:rPr>
        <w:t xml:space="preserve">Longest clinical track record: decades of institutional experience and familiarity</w:t>
      </w:r>
    </w:p>
    <w:p>
      <w:pPr>
        <w:pStyle w:val="ListParagraph"/>
        <w:numPr>
          <w:ilvl w:val="0"/>
          <w:numId w:val="2"/>
        </w:numPr>
        <w:spacing w:after="60"/>
      </w:pPr>
      <w:r>
        <w:rPr>
          <w:rFonts w:ascii="Arial" w:cs="Arial" w:eastAsia="Arial" w:hAnsi="Arial"/>
          <w:sz w:val="22"/>
          <w:szCs w:val="22"/>
        </w:rPr>
        <w:t xml:space="preserve">Water-soluble: can be administered IM if IV access fails (unlike phenytoin)</w:t>
      </w:r>
    </w:p>
    <w:p>
      <w:pPr>
        <w:pStyle w:val="ListParagraph"/>
        <w:numPr>
          <w:ilvl w:val="0"/>
          <w:numId w:val="2"/>
        </w:numPr>
        <w:spacing w:after="60"/>
      </w:pPr>
      <w:r>
        <w:rPr>
          <w:rFonts w:ascii="Arial" w:cs="Arial" w:eastAsia="Arial" w:hAnsi="Arial"/>
          <w:sz w:val="22"/>
          <w:szCs w:val="22"/>
        </w:rPr>
        <w:t xml:space="preserve">Well-defined therapeutic drug monitoring: total and free phenytoin levels are widely available</w:t>
      </w:r>
    </w:p>
    <w:p>
      <w:pPr>
        <w:pStyle w:val="ListParagraph"/>
        <w:numPr>
          <w:ilvl w:val="0"/>
          <w:numId w:val="2"/>
        </w:numPr>
        <w:spacing w:after="60"/>
      </w:pPr>
      <w:r>
        <w:rPr>
          <w:rFonts w:ascii="Arial" w:cs="Arial" w:eastAsia="Arial" w:hAnsi="Arial"/>
          <w:sz w:val="22"/>
          <w:szCs w:val="22"/>
        </w:rPr>
        <w:t xml:space="preserve">Complementary mechanism of action (sodium channel blockade) to benzodiazepines (GABA modulation)</w:t>
      </w:r>
    </w:p>
    <w:p>
      <w:pPr>
        <w:pStyle w:val="Heading3"/>
        <w:spacing w:after="120" w:before="200"/>
      </w:pPr>
      <w:r>
        <w:rPr>
          <w:rFonts w:ascii="Arial" w:cs="Arial" w:eastAsia="Arial" w:hAnsi="Arial"/>
          <w:b/>
          <w:bCs/>
          <w:sz w:val="24"/>
          <w:szCs w:val="24"/>
        </w:rPr>
        <w:t xml:space="preserve">Precautions and Adverse Effects</w:t>
      </w:r>
    </w:p>
    <w:p>
      <w:pPr>
        <w:pStyle w:val="ListParagraph"/>
        <w:numPr>
          <w:ilvl w:val="0"/>
          <w:numId w:val="2"/>
        </w:numPr>
        <w:spacing w:after="60"/>
      </w:pPr>
      <w:r>
        <w:rPr>
          <w:rFonts w:ascii="Arial" w:cs="Arial" w:eastAsia="Arial" w:hAnsi="Arial"/>
          <w:sz w:val="22"/>
          <w:szCs w:val="22"/>
        </w:rPr>
        <w:t xml:space="preserve">Requires continuous cardiac monitoring during infusion: risk of QT prolongation, bradycardia, and hypotension</w:t>
      </w:r>
    </w:p>
    <w:p>
      <w:pPr>
        <w:pStyle w:val="ListParagraph"/>
        <w:numPr>
          <w:ilvl w:val="0"/>
          <w:numId w:val="2"/>
        </w:numPr>
        <w:spacing w:after="60"/>
      </w:pPr>
      <w:r>
        <w:rPr>
          <w:rFonts w:ascii="Arial" w:cs="Arial" w:eastAsia="Arial" w:hAnsi="Arial"/>
          <w:sz w:val="22"/>
          <w:szCs w:val="22"/>
        </w:rPr>
        <w:t xml:space="preserve">Contraindicated in patients with cardiac conduction abnormalities (second- or third-degree AV block, Adams-Stokes syndrome)</w:t>
      </w:r>
    </w:p>
    <w:p>
      <w:pPr>
        <w:pStyle w:val="ListParagraph"/>
        <w:numPr>
          <w:ilvl w:val="0"/>
          <w:numId w:val="2"/>
        </w:numPr>
        <w:spacing w:after="60"/>
      </w:pPr>
      <w:r>
        <w:rPr>
          <w:rFonts w:ascii="Arial" w:cs="Arial" w:eastAsia="Arial" w:hAnsi="Arial"/>
          <w:sz w:val="22"/>
          <w:szCs w:val="22"/>
        </w:rPr>
        <w:t xml:space="preserve">Should NOT be combined with IV lidocaine (risk of additive cardiac conduction depression)</w:t>
      </w:r>
    </w:p>
    <w:p>
      <w:pPr>
        <w:pStyle w:val="ListParagraph"/>
        <w:numPr>
          <w:ilvl w:val="0"/>
          <w:numId w:val="2"/>
        </w:numPr>
        <w:spacing w:after="60"/>
      </w:pPr>
      <w:r>
        <w:rPr>
          <w:rFonts w:ascii="Arial" w:cs="Arial" w:eastAsia="Arial" w:hAnsi="Arial"/>
          <w:sz w:val="22"/>
          <w:szCs w:val="22"/>
        </w:rPr>
        <w:t xml:space="preserve">Complex pharmacokinetics: highly protein-bound, zero-order kinetics at therapeutic levels (small dose changes can cause disproportionate level changes)</w:t>
      </w:r>
    </w:p>
    <w:p>
      <w:pPr>
        <w:pStyle w:val="ListParagraph"/>
        <w:numPr>
          <w:ilvl w:val="0"/>
          <w:numId w:val="2"/>
        </w:numPr>
        <w:spacing w:after="60"/>
      </w:pPr>
      <w:r>
        <w:rPr>
          <w:rFonts w:ascii="Arial" w:cs="Arial" w:eastAsia="Arial" w:hAnsi="Arial"/>
          <w:sz w:val="22"/>
          <w:szCs w:val="22"/>
        </w:rPr>
        <w:t xml:space="preserve">Numerous drug interactions via CYP2C9 and CYP2C19 enzyme induction</w:t>
      </w:r>
    </w:p>
    <w:p>
      <w:pPr>
        <w:pStyle w:val="ListParagraph"/>
        <w:numPr>
          <w:ilvl w:val="0"/>
          <w:numId w:val="2"/>
        </w:numPr>
        <w:spacing w:after="60"/>
      </w:pPr>
      <w:r>
        <w:rPr>
          <w:rFonts w:ascii="Arial" w:cs="Arial" w:eastAsia="Arial" w:hAnsi="Arial"/>
          <w:sz w:val="22"/>
          <w:szCs w:val="22"/>
        </w:rPr>
        <w:t xml:space="preserve">In the ESETT trial, fosphenytoin had numerically higher rates of hypotension (3.2% vs 0.7% LEV, 1.6% VPA) and intubation (26.4% vs 20% LEV, 16.8% VPA), though not statistically significant</w:t>
      </w:r>
    </w:p>
    <w:p>
      <w:pPr>
        <w:pStyle w:val="ListParagraph"/>
        <w:numPr>
          <w:ilvl w:val="0"/>
          <w:numId w:val="2"/>
        </w:numPr>
        <w:spacing w:after="60"/>
      </w:pPr>
      <w:r>
        <w:rPr>
          <w:rFonts w:ascii="Arial" w:cs="Arial" w:eastAsia="Arial" w:hAnsi="Arial"/>
          <w:sz w:val="22"/>
          <w:szCs w:val="22"/>
        </w:rPr>
        <w:t xml:space="preserve">Phenytoin toxicity (nystagmus, ataxia, altered mental status) can be difficult to distinguish from post-ictal state or ongoing seizure</w:t>
      </w:r>
    </w:p>
    <w:p>
      <w:pPr>
        <w:pStyle w:val="ListParagraph"/>
        <w:numPr>
          <w:ilvl w:val="0"/>
          <w:numId w:val="2"/>
        </w:numPr>
        <w:spacing w:after="60"/>
      </w:pPr>
      <w:r>
        <w:rPr>
          <w:rFonts w:ascii="Arial" w:cs="Arial" w:eastAsia="Arial" w:hAnsi="Arial"/>
          <w:sz w:val="22"/>
          <w:szCs w:val="22"/>
        </w:rPr>
        <w:t xml:space="preserve">Purple glove syndrome risk is eliminated with fosphenytoin (compared to phenytoin) but extravasation should still be avoided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7CE" w:val="clear"/>
            <w:tcMar>
              <w:top w:type="dxa" w:w="100"/>
              <w:left w:type="dxa" w:w="160"/>
              <w:bottom w:type="dxa" w:w="100"/>
              <w:right w:type="dxa" w:w="160"/>
            </w:tcMar>
          </w:tcPr>
          <w:p>
            <w:pPr>
              <w:spacing w:after="60"/>
            </w:pPr>
            <w:r>
              <w:rPr>
                <w:rFonts w:ascii="Arial" w:cs="Arial" w:eastAsia="Arial" w:hAnsi="Arial"/>
                <w:b/>
                <w:bCs/>
                <w:color w:val="9C0006"/>
                <w:sz w:val="22"/>
                <w:szCs w:val="22"/>
              </w:rPr>
              <w:t xml:space="preserve">CRITICAL POINT</w:t>
            </w:r>
          </w:p>
          <w:p>
            <w:pPr>
              <w:spacing w:after="0"/>
            </w:pPr>
            <w:r>
              <w:rPr>
                <w:rFonts w:ascii="Arial" w:cs="Arial" w:eastAsia="Arial" w:hAnsi="Arial"/>
                <w:sz w:val="20"/>
                <w:szCs w:val="20"/>
              </w:rPr>
              <w:t xml:space="preserve">When choosing between levetiracetam and fosphenytoin, consider the clinical scenario. Fosphenytoin requires cardiac monitoring and has more drug interactions but has the longest track record and well-established therapeutic drug monitoring. Levetiracetam requires no cardiac monitoring, has virtually no drug interactions, and is infused faster. For rural EDs without continuous cardiac monitoring capability, levetiracetam is the more practical choice. Both are equally effective based on ESETT data.</w:t>
            </w:r>
          </w:p>
        </w:tc>
      </w:tr>
    </w:tbl>
    <w:p>
      <w:pPr>
        <w:pStyle w:val="Heading2"/>
        <w:spacing w:after="160" w:before="280"/>
      </w:pPr>
      <w:r>
        <w:rPr>
          <w:rFonts w:ascii="Arial" w:cs="Arial" w:eastAsia="Arial" w:hAnsi="Arial"/>
          <w:b/>
          <w:bCs/>
          <w:sz w:val="28"/>
          <w:szCs w:val="28"/>
        </w:rPr>
        <w:t xml:space="preserve">3.4 Refractory Status Epilepticus (T &gt; 30 Minutes)</w:t>
      </w:r>
    </w:p>
    <w:p>
      <w:pPr>
        <w:spacing w:after="120"/>
      </w:pPr>
      <w:r>
        <w:rPr>
          <w:rFonts w:ascii="Arial" w:cs="Arial" w:eastAsia="Arial" w:hAnsi="Arial"/>
          <w:sz w:val="22"/>
          <w:szCs w:val="22"/>
        </w:rPr>
        <w:t xml:space="preserve">When seizures persist after a benzodiazepine and one second-line agent, the clinical situation is classified as refractory status epilepticus. At this point, the provider faces two options: administer a DIFFERENT second-line agent (if not yet tried), or escalate to continuous infusion therapy. Refractory SE requires ICU-level care with continuous EEG monitoring. In a rural or community ED setting, this is the point at which transport to a pediatric center with PICU capability becomes mandatory if not already activated.</w:t>
      </w:r>
    </w:p>
    <w:p>
      <w:pPr>
        <w:spacing w:after="120"/>
      </w:pPr>
      <w:r>
        <w:rPr>
          <w:rFonts w:ascii="Arial" w:cs="Arial" w:eastAsia="Arial" w:hAnsi="Arial"/>
          <w:sz w:val="22"/>
          <w:szCs w:val="22"/>
        </w:rPr>
        <w:t xml:space="preserve">Third-line options include phenobarbital (20 mg/kg IV, max 1000 mg, over 20-30 minutes), continuous midazolam infusion (0.1-0.2 mg/kg bolus followed by 0.05-2 mg/kg/hr), pentobarbital infusion (5-15 mg/kg bolus followed by 0.5-5 mg/kg/hr), or ketamine (1-3 mg/kg bolus followed by 0.5-4 mg/kg/hr). The evidence base for third-line agents is limited, and treatment decisions should be made in consultation with neurology.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9C" w:val="clear"/>
            <w:tcMar>
              <w:top w:type="dxa" w:w="100"/>
              <w:left w:type="dxa" w:w="160"/>
              <w:bottom w:type="dxa" w:w="100"/>
              <w:right w:type="dxa" w:w="160"/>
            </w:tcMar>
          </w:tcPr>
          <w:p>
            <w:pPr>
              <w:spacing w:after="60"/>
            </w:pPr>
            <w:r>
              <w:rPr>
                <w:rFonts w:ascii="Arial" w:cs="Arial" w:eastAsia="Arial" w:hAnsi="Arial"/>
                <w:b/>
                <w:bCs/>
                <w:color w:val="9C6500"/>
                <w:sz w:val="22"/>
                <w:szCs w:val="22"/>
              </w:rPr>
              <w:t xml:space="preserve">RURAL CONSIDERATION</w:t>
            </w:r>
          </w:p>
          <w:p>
            <w:pPr>
              <w:spacing w:after="0"/>
            </w:pPr>
            <w:r>
              <w:rPr>
                <w:rFonts w:ascii="Arial" w:cs="Arial" w:eastAsia="Arial" w:hAnsi="Arial"/>
                <w:sz w:val="20"/>
                <w:szCs w:val="20"/>
              </w:rPr>
              <w:t xml:space="preserve">TRANSPORT CRITERIA — Activate the neonatal/pediatric transport team if: (1) SE is refractory to BZD + one second-line agent, (2) continuous infusion is needed, (3) intubation is required, (4) the etiology is unknown with focal deficits or altered consciousness, (5) there are signs of CNS infection, or (6) non-accidental trauma is suspected. Provide SBAR handoff to the receiving center.</w:t>
            </w:r>
          </w:p>
        </w:tc>
      </w:tr>
    </w:tbl>
    <w:p>
      <w:r>
        <w:br w:type="page"/>
      </w:r>
    </w:p>
    <w:p>
      <w:pPr>
        <w:pStyle w:val="Heading1"/>
        <w:spacing w:after="200" w:before="360"/>
      </w:pPr>
      <w:r>
        <w:rPr>
          <w:rFonts w:ascii="Arial" w:cs="Arial" w:eastAsia="Arial" w:hAnsi="Arial"/>
          <w:b/>
          <w:bCs/>
          <w:sz w:val="32"/>
          <w:szCs w:val="32"/>
        </w:rPr>
        <w:t xml:space="preserve">Chapter 4: Chronic Epilepsy — Sick Day Management</w:t>
      </w:r>
    </w:p>
    <w:p>
      <w:pPr>
        <w:pStyle w:val="Heading2"/>
        <w:spacing w:after="160" w:before="280"/>
      </w:pPr>
      <w:r>
        <w:rPr>
          <w:rFonts w:ascii="Arial" w:cs="Arial" w:eastAsia="Arial" w:hAnsi="Arial"/>
          <w:b/>
          <w:bCs/>
          <w:sz w:val="28"/>
          <w:szCs w:val="28"/>
        </w:rPr>
        <w:t xml:space="preserve">4.1 Why Illness Provokes Seizures</w:t>
      </w:r>
    </w:p>
    <w:p>
      <w:pPr>
        <w:spacing w:after="120"/>
      </w:pPr>
      <w:r>
        <w:rPr>
          <w:rFonts w:ascii="Arial" w:cs="Arial" w:eastAsia="Arial" w:hAnsi="Arial"/>
          <w:sz w:val="22"/>
          <w:szCs w:val="22"/>
        </w:rPr>
        <w:t xml:space="preserve">Patients with established epilepsy face an elevated risk of breakthrough seizures during intercurrent illness. Several physiological mechanisms contribute to this increased vulnerability. Fever directly lowers the seizure threshold by increasing neuronal excitability; this effect is well documented even in patients without a history of febrile seizures. Dehydration and electrolyte disturbances (hyponatremia, hypoglycemia, hypocalcemia) can independently provoke seizures. Sleep disruption associated with illness further compounds the risk.</w:t>
      </w:r>
    </w:p>
    <w:p>
      <w:pPr>
        <w:spacing w:after="120"/>
      </w:pPr>
      <w:r>
        <w:rPr>
          <w:rFonts w:ascii="Arial" w:cs="Arial" w:eastAsia="Arial" w:hAnsi="Arial"/>
          <w:sz w:val="22"/>
          <w:szCs w:val="22"/>
        </w:rPr>
        <w:t xml:space="preserve">Perhaps most critically, gastrointestinal illness may impair the absorption of oral anti-seizure medications. If a patient vomits within 30 minutes of taking an oral ASM dose, the medication should be considered not absorbed and the dose should be repeated. If vomiting occurs more than 30 minutes after ingestion, the dose is likely absorbed and should NOT be repeated to avoid potential toxicity.</w:t>
      </w:r>
    </w:p>
    <w:p>
      <w:pPr>
        <w:pStyle w:val="Heading2"/>
        <w:spacing w:after="160" w:before="280"/>
      </w:pPr>
      <w:r>
        <w:rPr>
          <w:rFonts w:ascii="Arial" w:cs="Arial" w:eastAsia="Arial" w:hAnsi="Arial"/>
          <w:b/>
          <w:bCs/>
          <w:sz w:val="28"/>
          <w:szCs w:val="28"/>
        </w:rPr>
        <w:t xml:space="preserve">4.2 Core Principles of Sick Day Management</w:t>
      </w:r>
    </w:p>
    <w:p>
      <w:pPr>
        <w:pStyle w:val="Heading3"/>
        <w:spacing w:after="120" w:before="200"/>
      </w:pPr>
      <w:r>
        <w:rPr>
          <w:rFonts w:ascii="Arial" w:cs="Arial" w:eastAsia="Arial" w:hAnsi="Arial"/>
          <w:b/>
          <w:bCs/>
          <w:sz w:val="24"/>
          <w:szCs w:val="24"/>
        </w:rPr>
        <w:t xml:space="preserve">4.2.1 Maintain All Scheduled Anti-Seizure Medications</w:t>
      </w:r>
    </w:p>
    <w:p>
      <w:pPr>
        <w:spacing w:after="120"/>
      </w:pPr>
      <w:r>
        <w:rPr>
          <w:rFonts w:ascii="Arial" w:cs="Arial" w:eastAsia="Arial" w:hAnsi="Arial"/>
          <w:b/>
          <w:bCs/>
          <w:sz w:val="22"/>
          <w:szCs w:val="22"/>
        </w:rPr>
        <w:t xml:space="preserve">Missed ASM doses are the single most common cause of breakthrough seizures in patients with epilepsy.</w:t>
      </w:r>
      <w:r>
        <w:rPr>
          <w:rFonts w:ascii="Arial" w:cs="Arial" w:eastAsia="Arial" w:hAnsi="Arial"/>
          <w:sz w:val="22"/>
          <w:szCs w:val="22"/>
        </w:rPr>
        <w:t xml:space="preserve"> During illness, maintaining medication adherence is the highest priority. All scheduled doses should be given at their usual times. If oral administration is not possible due to vomiting, alternative routes must be identified immediately.</w:t>
      </w:r>
    </w:p>
    <w:p>
      <w:pPr>
        <w:pStyle w:val="Heading3"/>
        <w:spacing w:after="120" w:before="200"/>
      </w:pPr>
      <w:r>
        <w:rPr>
          <w:rFonts w:ascii="Arial" w:cs="Arial" w:eastAsia="Arial" w:hAnsi="Arial"/>
          <w:b/>
          <w:bCs/>
          <w:sz w:val="24"/>
          <w:szCs w:val="24"/>
        </w:rPr>
        <w:t xml:space="preserve">4.2.2 Aggressive Fever Management</w:t>
      </w:r>
    </w:p>
    <w:p>
      <w:pPr>
        <w:spacing w:after="120"/>
      </w:pPr>
      <w:r>
        <w:rPr>
          <w:rFonts w:ascii="Arial" w:cs="Arial" w:eastAsia="Arial" w:hAnsi="Arial"/>
          <w:sz w:val="22"/>
          <w:szCs w:val="22"/>
        </w:rPr>
        <w:t xml:space="preserve">Fever should be treated proactively with scheduled (not as-needed) antipyretics during the febrile illness period. Acetaminophen (15 mg/kg PO or PR every 4-6 hours, maximum 75 mg/kg/day) and ibuprofen (10 mg/kg PO every 6-8 hours, maximum 40 mg/kg/day, for patients older than 6 months) may be alternated every 3 hours for more consistent temperature control. Aspirin should be avoided in all pediatric patients and is specifically contraindicated with valproate due to displacement of protein binding.</w:t>
      </w:r>
    </w:p>
    <w:p>
      <w:pPr>
        <w:pStyle w:val="Heading3"/>
        <w:spacing w:after="120" w:before="200"/>
      </w:pPr>
      <w:r>
        <w:rPr>
          <w:rFonts w:ascii="Arial" w:cs="Arial" w:eastAsia="Arial" w:hAnsi="Arial"/>
          <w:b/>
          <w:bCs/>
          <w:sz w:val="24"/>
          <w:szCs w:val="24"/>
        </w:rPr>
        <w:t xml:space="preserve">4.2.3 Hydration</w:t>
      </w:r>
    </w:p>
    <w:p>
      <w:pPr>
        <w:spacing w:after="120"/>
      </w:pPr>
      <w:r>
        <w:rPr>
          <w:rFonts w:ascii="Arial" w:cs="Arial" w:eastAsia="Arial" w:hAnsi="Arial"/>
          <w:sz w:val="22"/>
          <w:szCs w:val="22"/>
        </w:rPr>
        <w:t xml:space="preserve">Dehydration lowers the seizure threshold through electrolyte derangements and hemoconcentration. Oral rehydration solutions should be pushed aggressively. If the patient cannot maintain adequate oral intake for more than 6-8 hours, emergency department evaluation for IV hydration is indicated.</w:t>
      </w:r>
    </w:p>
    <w:p>
      <w:pPr>
        <w:pStyle w:val="Heading3"/>
        <w:spacing w:after="120" w:before="200"/>
      </w:pPr>
      <w:r>
        <w:rPr>
          <w:rFonts w:ascii="Arial" w:cs="Arial" w:eastAsia="Arial" w:hAnsi="Arial"/>
          <w:b/>
          <w:bCs/>
          <w:sz w:val="24"/>
          <w:szCs w:val="24"/>
        </w:rPr>
        <w:t xml:space="preserve">4.2.4 Alternative Medication Routes</w:t>
      </w:r>
    </w:p>
    <w:p>
      <w:pPr>
        <w:spacing w:after="120"/>
      </w:pPr>
      <w:r>
        <w:rPr>
          <w:rFonts w:ascii="Arial" w:cs="Arial" w:eastAsia="Arial" w:hAnsi="Arial"/>
          <w:sz w:val="22"/>
          <w:szCs w:val="22"/>
        </w:rPr>
        <w:t xml:space="preserve">When oral administration is not possible, the following alternative routes should be considered:</w:t>
      </w:r>
    </w:p>
    <w:p>
      <w:pPr>
        <w:pStyle w:val="ListParagraph"/>
        <w:numPr>
          <w:ilvl w:val="0"/>
          <w:numId w:val="2"/>
        </w:numPr>
        <w:spacing w:after="60"/>
      </w:pPr>
      <w:r>
        <w:rPr>
          <w:rFonts w:ascii="Arial" w:cs="Arial" w:eastAsia="Arial" w:hAnsi="Arial"/>
          <w:sz w:val="22"/>
          <w:szCs w:val="22"/>
        </w:rPr>
        <w:t xml:space="preserve">Rectal: Carbamazepine suspension can be administered rectally at the same oral dose and retained for at least 2 hours. Valproic acid syrup can be given rectally at 1.5 times the oral dose. Diazepam rectal gel (Diastat) is available for seizure rescue.</w:t>
      </w:r>
    </w:p>
    <w:p>
      <w:pPr>
        <w:pStyle w:val="ListParagraph"/>
        <w:numPr>
          <w:ilvl w:val="0"/>
          <w:numId w:val="2"/>
        </w:numPr>
        <w:spacing w:after="60"/>
      </w:pPr>
      <w:r>
        <w:rPr>
          <w:rFonts w:ascii="Arial" w:cs="Arial" w:eastAsia="Arial" w:hAnsi="Arial"/>
          <w:sz w:val="22"/>
          <w:szCs w:val="22"/>
        </w:rPr>
        <w:t xml:space="preserve">Intravenous: Levetiracetam, phenytoin/fosphenytoin, valproate, lacosamide, and phenobarbital are all available in IV formulations at the same doses as oral equivalents.</w:t>
      </w:r>
    </w:p>
    <w:p>
      <w:pPr>
        <w:pStyle w:val="ListParagraph"/>
        <w:numPr>
          <w:ilvl w:val="0"/>
          <w:numId w:val="2"/>
        </w:numPr>
        <w:spacing w:after="60"/>
      </w:pPr>
      <w:r>
        <w:rPr>
          <w:rFonts w:ascii="Arial" w:cs="Arial" w:eastAsia="Arial" w:hAnsi="Arial"/>
          <w:sz w:val="22"/>
          <w:szCs w:val="22"/>
        </w:rPr>
        <w:t xml:space="preserve">Sublingual/Buccal: Lorazepam orally disintegrating tablets and clobazam suspension can be administered buccally.</w:t>
      </w:r>
    </w:p>
    <w:p>
      <w:pPr>
        <w:pStyle w:val="ListParagraph"/>
        <w:numPr>
          <w:ilvl w:val="0"/>
          <w:numId w:val="2"/>
        </w:numPr>
        <w:spacing w:after="60"/>
      </w:pPr>
      <w:r>
        <w:rPr>
          <w:rFonts w:ascii="Arial" w:cs="Arial" w:eastAsia="Arial" w:hAnsi="Arial"/>
          <w:sz w:val="22"/>
          <w:szCs w:val="22"/>
        </w:rPr>
        <w:t xml:space="preserve">Nasogastric: Most liquid ASM formulations can be administered via NG tube if one is placed for other clinical reasons.</w:t>
      </w:r>
    </w:p>
    <w:p>
      <w:pPr>
        <w:pStyle w:val="Heading3"/>
        <w:spacing w:after="120" w:before="200"/>
      </w:pPr>
      <w:r>
        <w:rPr>
          <w:rFonts w:ascii="Arial" w:cs="Arial" w:eastAsia="Arial" w:hAnsi="Arial"/>
          <w:b/>
          <w:bCs/>
          <w:sz w:val="24"/>
          <w:szCs w:val="24"/>
        </w:rPr>
        <w:t xml:space="preserve">4.2.5 Drug Interaction Awareness</w:t>
      </w:r>
    </w:p>
    <w:p>
      <w:pPr>
        <w:spacing w:after="120"/>
      </w:pPr>
      <w:r>
        <w:rPr>
          <w:rFonts w:ascii="Arial" w:cs="Arial" w:eastAsia="Arial" w:hAnsi="Arial"/>
          <w:sz w:val="22"/>
          <w:szCs w:val="22"/>
        </w:rPr>
        <w:t xml:space="preserve">When prescribing antibiotics, antivirals, or other medications during illness, providers must check for interactions with the patient's existing ASM regimen. Critical interactions include:</w:t>
      </w:r>
    </w:p>
    <w:p>
      <w:pPr>
        <w:pStyle w:val="ListParagraph"/>
        <w:numPr>
          <w:ilvl w:val="0"/>
          <w:numId w:val="2"/>
        </w:numPr>
        <w:spacing w:after="60"/>
      </w:pPr>
      <w:r>
        <w:rPr>
          <w:rFonts w:ascii="Arial" w:cs="Arial" w:eastAsia="Arial" w:hAnsi="Arial"/>
          <w:sz w:val="22"/>
          <w:szCs w:val="22"/>
        </w:rPr>
        <w:t xml:space="preserve">Erythromycin and clarithromycin inhibit CYP3A4, causing potentially dangerous elevation of carbamazepine levels and toxicity (ataxia, diplopia, nystagmus).</w:t>
      </w:r>
    </w:p>
    <w:p>
      <w:pPr>
        <w:pStyle w:val="ListParagraph"/>
        <w:numPr>
          <w:ilvl w:val="0"/>
          <w:numId w:val="2"/>
        </w:numPr>
        <w:spacing w:after="60"/>
      </w:pPr>
      <w:r>
        <w:rPr>
          <w:rFonts w:ascii="Arial" w:cs="Arial" w:eastAsia="Arial" w:hAnsi="Arial"/>
          <w:sz w:val="22"/>
          <w:szCs w:val="22"/>
        </w:rPr>
        <w:t xml:space="preserve">Ciprofloxacin inhibits CYP1A2, increasing phenytoin levels.</w:t>
      </w:r>
    </w:p>
    <w:p>
      <w:pPr>
        <w:pStyle w:val="ListParagraph"/>
        <w:numPr>
          <w:ilvl w:val="0"/>
          <w:numId w:val="2"/>
        </w:numPr>
        <w:spacing w:after="60"/>
      </w:pPr>
      <w:r>
        <w:rPr>
          <w:rFonts w:ascii="Arial" w:cs="Arial" w:eastAsia="Arial" w:hAnsi="Arial"/>
          <w:sz w:val="22"/>
          <w:szCs w:val="22"/>
        </w:rPr>
        <w:t xml:space="preserve">Acyclovir and valacyclovir may lower the seizure threshold independently.</w:t>
      </w:r>
    </w:p>
    <w:p>
      <w:pPr>
        <w:pStyle w:val="ListParagraph"/>
        <w:numPr>
          <w:ilvl w:val="0"/>
          <w:numId w:val="2"/>
        </w:numPr>
        <w:spacing w:after="60"/>
      </w:pPr>
      <w:r>
        <w:rPr>
          <w:rFonts w:ascii="Arial" w:cs="Arial" w:eastAsia="Arial" w:hAnsi="Arial"/>
          <w:sz w:val="22"/>
          <w:szCs w:val="22"/>
        </w:rPr>
        <w:t xml:space="preserve">Metoclopramide (sometimes used for nausea) lowers the seizure threshold and should be avoided in epilepsy patients.</w:t>
      </w:r>
    </w:p>
    <w:p>
      <w:pPr>
        <w:pStyle w:val="Heading2"/>
        <w:spacing w:after="160" w:before="280"/>
      </w:pPr>
      <w:r>
        <w:rPr>
          <w:rFonts w:ascii="Arial" w:cs="Arial" w:eastAsia="Arial" w:hAnsi="Arial"/>
          <w:b/>
          <w:bCs/>
          <w:sz w:val="28"/>
          <w:szCs w:val="28"/>
        </w:rPr>
        <w:t xml:space="preserve">4.3 When to Seek Emergency Care During Illness</w:t>
      </w:r>
    </w:p>
    <w:p>
      <w:pPr>
        <w:spacing w:after="120"/>
      </w:pPr>
      <w:r>
        <w:rPr>
          <w:rFonts w:ascii="Arial" w:cs="Arial" w:eastAsia="Arial" w:hAnsi="Arial"/>
          <w:sz w:val="22"/>
          <w:szCs w:val="22"/>
        </w:rPr>
        <w:t xml:space="preserve">Parents and caregivers should be instructed to bring their child to the emergency department during illness if any of the following occur:</w:t>
      </w:r>
    </w:p>
    <w:p>
      <w:pPr>
        <w:pStyle w:val="ListParagraph"/>
        <w:numPr>
          <w:ilvl w:val="0"/>
          <w:numId w:val="2"/>
        </w:numPr>
        <w:spacing w:after="60"/>
      </w:pPr>
      <w:r>
        <w:rPr>
          <w:rFonts w:ascii="Arial" w:cs="Arial" w:eastAsia="Arial" w:hAnsi="Arial"/>
          <w:sz w:val="22"/>
          <w:szCs w:val="22"/>
        </w:rPr>
        <w:t xml:space="preserve">Unable to take any fluids or medications for more than 6-8 hours</w:t>
      </w:r>
    </w:p>
    <w:p>
      <w:pPr>
        <w:pStyle w:val="ListParagraph"/>
        <w:numPr>
          <w:ilvl w:val="0"/>
          <w:numId w:val="2"/>
        </w:numPr>
        <w:spacing w:after="60"/>
      </w:pPr>
      <w:r>
        <w:rPr>
          <w:rFonts w:ascii="Arial" w:cs="Arial" w:eastAsia="Arial" w:hAnsi="Arial"/>
          <w:sz w:val="22"/>
          <w:szCs w:val="22"/>
        </w:rPr>
        <w:t xml:space="preserve">Two or more missed ASM doses</w:t>
      </w:r>
    </w:p>
    <w:p>
      <w:pPr>
        <w:pStyle w:val="ListParagraph"/>
        <w:numPr>
          <w:ilvl w:val="0"/>
          <w:numId w:val="2"/>
        </w:numPr>
        <w:spacing w:after="60"/>
      </w:pPr>
      <w:r>
        <w:rPr>
          <w:rFonts w:ascii="Arial" w:cs="Arial" w:eastAsia="Arial" w:hAnsi="Arial"/>
          <w:sz w:val="22"/>
          <w:szCs w:val="22"/>
        </w:rPr>
        <w:t xml:space="preserve">Seizure frequency exceeds the patient's baseline pattern</w:t>
      </w:r>
    </w:p>
    <w:p>
      <w:pPr>
        <w:pStyle w:val="ListParagraph"/>
        <w:numPr>
          <w:ilvl w:val="0"/>
          <w:numId w:val="2"/>
        </w:numPr>
        <w:spacing w:after="60"/>
      </w:pPr>
      <w:r>
        <w:rPr>
          <w:rFonts w:ascii="Arial" w:cs="Arial" w:eastAsia="Arial" w:hAnsi="Arial"/>
          <w:sz w:val="22"/>
          <w:szCs w:val="22"/>
        </w:rPr>
        <w:t xml:space="preserve">Any seizure lasting more than 5 minutes</w:t>
      </w:r>
    </w:p>
    <w:p>
      <w:pPr>
        <w:pStyle w:val="ListParagraph"/>
        <w:numPr>
          <w:ilvl w:val="0"/>
          <w:numId w:val="2"/>
        </w:numPr>
        <w:spacing w:after="60"/>
      </w:pPr>
      <w:r>
        <w:rPr>
          <w:rFonts w:ascii="Arial" w:cs="Arial" w:eastAsia="Arial" w:hAnsi="Arial"/>
          <w:sz w:val="22"/>
          <w:szCs w:val="22"/>
        </w:rPr>
        <w:t xml:space="preserve">Altered mental status beyond what is expected post-ictally</w:t>
      </w:r>
    </w:p>
    <w:p>
      <w:pPr>
        <w:pStyle w:val="ListParagraph"/>
        <w:numPr>
          <w:ilvl w:val="0"/>
          <w:numId w:val="2"/>
        </w:numPr>
        <w:spacing w:after="60"/>
      </w:pPr>
      <w:r>
        <w:rPr>
          <w:rFonts w:ascii="Arial" w:cs="Arial" w:eastAsia="Arial" w:hAnsi="Arial"/>
          <w:sz w:val="22"/>
          <w:szCs w:val="22"/>
        </w:rPr>
        <w:t xml:space="preserve">Signs of dehydration: dry mucous membranes, decreased urine output, tachycardia, sunken fontanelle in infants</w:t>
      </w:r>
    </w:p>
    <w:p>
      <w:pPr>
        <w:pStyle w:val="ListParagraph"/>
        <w:numPr>
          <w:ilvl w:val="0"/>
          <w:numId w:val="2"/>
        </w:numPr>
        <w:spacing w:after="60"/>
      </w:pPr>
      <w:r>
        <w:rPr>
          <w:rFonts w:ascii="Arial" w:cs="Arial" w:eastAsia="Arial" w:hAnsi="Arial"/>
          <w:sz w:val="22"/>
          <w:szCs w:val="22"/>
        </w:rPr>
        <w:t xml:space="preserve">Signs of serious infection: stiff neck, bulging fontanelle, petechial rash, persistent high fever unresponsive to antipyretics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7CE" w:val="clear"/>
            <w:tcMar>
              <w:top w:type="dxa" w:w="100"/>
              <w:left w:type="dxa" w:w="160"/>
              <w:bottom w:type="dxa" w:w="100"/>
              <w:right w:type="dxa" w:w="160"/>
            </w:tcMar>
          </w:tcPr>
          <w:p>
            <w:pPr>
              <w:spacing w:after="60"/>
            </w:pPr>
            <w:r>
              <w:rPr>
                <w:rFonts w:ascii="Arial" w:cs="Arial" w:eastAsia="Arial" w:hAnsi="Arial"/>
                <w:b/>
                <w:bCs/>
                <w:color w:val="9C0006"/>
                <w:sz w:val="22"/>
                <w:szCs w:val="22"/>
              </w:rPr>
              <w:t xml:space="preserve">CRITICAL POINT</w:t>
            </w:r>
          </w:p>
          <w:p>
            <w:pPr>
              <w:spacing w:after="0"/>
            </w:pPr>
            <w:r>
              <w:rPr>
                <w:rFonts w:ascii="Arial" w:cs="Arial" w:eastAsia="Arial" w:hAnsi="Arial"/>
                <w:sz w:val="20"/>
                <w:szCs w:val="20"/>
              </w:rPr>
              <w:t xml:space="preserve">NEVER abruptly discontinue anti-seizure medications. Abrupt withdrawal of barbiturates, benzodiazepines, or other ASMs can precipitate status epilepticus. Even during illness, every effort must be made to continue or replace scheduled ASM doses.</w:t>
            </w:r>
          </w:p>
        </w:tc>
      </w:tr>
    </w:tbl>
    <w:p>
      <w:r>
        <w:br w:type="page"/>
      </w:r>
    </w:p>
    <w:p>
      <w:pPr>
        <w:pStyle w:val="Heading1"/>
        <w:spacing w:after="200" w:before="360"/>
      </w:pPr>
      <w:r>
        <w:rPr>
          <w:rFonts w:ascii="Arial" w:cs="Arial" w:eastAsia="Arial" w:hAnsi="Arial"/>
          <w:b/>
          <w:bCs/>
          <w:sz w:val="32"/>
          <w:szCs w:val="32"/>
        </w:rPr>
        <w:t xml:space="preserve">Chapter 5: Breakthrough Seizure Evaluation and Rescue Therapy</w:t>
      </w:r>
    </w:p>
    <w:p>
      <w:pPr>
        <w:pStyle w:val="Heading2"/>
        <w:spacing w:after="160" w:before="280"/>
      </w:pPr>
      <w:r>
        <w:rPr>
          <w:rFonts w:ascii="Arial" w:cs="Arial" w:eastAsia="Arial" w:hAnsi="Arial"/>
          <w:b/>
          <w:bCs/>
          <w:sz w:val="28"/>
          <w:szCs w:val="28"/>
        </w:rPr>
        <w:t xml:space="preserve">5.1 Systematic Evaluation of Breakthrough Seizures</w:t>
      </w:r>
    </w:p>
    <w:p>
      <w:pPr>
        <w:spacing w:after="120"/>
      </w:pPr>
      <w:r>
        <w:rPr>
          <w:rFonts w:ascii="Arial" w:cs="Arial" w:eastAsia="Arial" w:hAnsi="Arial"/>
          <w:sz w:val="22"/>
          <w:szCs w:val="22"/>
        </w:rPr>
        <w:t xml:space="preserve">A breakthrough seizure in a patient on established anti-seizure therapy demands systematic evaluation. The differential diagnosis spans medication factors, physiological triggers, disease progression, and new pathology. A structured approach ensures that no common cause is overlooked.</w:t>
      </w:r>
    </w:p>
    <w:p>
      <w:pPr>
        <w:pStyle w:val="Heading3"/>
        <w:spacing w:after="120" w:before="200"/>
      </w:pPr>
      <w:r>
        <w:rPr>
          <w:rFonts w:ascii="Arial" w:cs="Arial" w:eastAsia="Arial" w:hAnsi="Arial"/>
          <w:b/>
          <w:bCs/>
          <w:sz w:val="24"/>
          <w:szCs w:val="24"/>
        </w:rPr>
        <w:t xml:space="preserve">5.1.1 Compliance Assessment</w:t>
      </w:r>
    </w:p>
    <w:p>
      <w:pPr>
        <w:spacing w:after="120"/>
      </w:pPr>
      <w:r>
        <w:rPr>
          <w:rFonts w:ascii="Arial" w:cs="Arial" w:eastAsia="Arial" w:hAnsi="Arial"/>
          <w:sz w:val="22"/>
          <w:szCs w:val="22"/>
        </w:rPr>
        <w:t xml:space="preserve">Medication non-compliance is the most frequent cause of breakthrough seizures in epilepsy patients. The assessment should include a specific medication history asking when the last dose was taken, whether any doses were missed in the preceding 72 hours, when the prescription was last filled, and a pill count if possible. Barriers to adherence should be explored: medication cost, complex dosing schedules, intolerable side effects, and patient or family misunderstanding of the importance of continuous therapy.</w:t>
      </w:r>
    </w:p>
    <w:p>
      <w:pPr>
        <w:pStyle w:val="Heading3"/>
        <w:spacing w:after="120" w:before="200"/>
      </w:pPr>
      <w:r>
        <w:rPr>
          <w:rFonts w:ascii="Arial" w:cs="Arial" w:eastAsia="Arial" w:hAnsi="Arial"/>
          <w:b/>
          <w:bCs/>
          <w:sz w:val="24"/>
          <w:szCs w:val="24"/>
        </w:rPr>
        <w:t xml:space="preserve">5.1.2 Drug Level Interpretation</w:t>
      </w:r>
    </w:p>
    <w:p>
      <w:pPr>
        <w:spacing w:after="120"/>
      </w:pPr>
      <w:r>
        <w:rPr>
          <w:rFonts w:ascii="Arial" w:cs="Arial" w:eastAsia="Arial" w:hAnsi="Arial"/>
          <w:sz w:val="22"/>
          <w:szCs w:val="22"/>
        </w:rPr>
        <w:t xml:space="preserve">Anti-seizure medication levels should be obtained as trough levels when possible. The following therapeutic ranges serve as general guides, though individual patients may be well-controlled at levels outside these ranges or may experience toxicity within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Drug</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Therapeutic Range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Phenytoin</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10-20 mcg/mL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Free level (1-2 mcg/mL) more accurate in hypoalbuminemia, renal disease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Valproate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50-100 mcg/mL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Highly protein-bound; free level useful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Carbamazepine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4-12 mcg/mL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Auto-induces own metabolism; levels may fall over weeks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Phenobarbital</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15-40 mcg/mL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Very long half-life; steady state takes 2-3 weeks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Levetiracetam</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12-46 mcg/mL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Levels often not clinically necessary; minimal interactions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b/>
                <w:bCs/>
                <w:sz w:val="20"/>
                <w:szCs w:val="20"/>
              </w:rPr>
              <w:t xml:space="preserve">Lacosamide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20"/>
                <w:szCs w:val="20"/>
              </w:rPr>
              <w:t xml:space="preserve">1-10 mcg/mL</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jc w:val="left"/>
            </w:pPr>
            <w:r>
              <w:rPr>
                <w:rFonts w:ascii="Arial" w:cs="Arial" w:eastAsia="Arial" w:hAnsi="Arial"/>
                <w:sz w:val="18"/>
                <w:szCs w:val="18"/>
              </w:rPr>
              <w:t xml:space="preserve">Relatively new; therapeutic range less well-established</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5.1.3 Trigger Assessment</w:t>
      </w:r>
    </w:p>
    <w:p>
      <w:pPr>
        <w:spacing w:after="120"/>
      </w:pPr>
      <w:r>
        <w:rPr>
          <w:rFonts w:ascii="Arial" w:cs="Arial" w:eastAsia="Arial" w:hAnsi="Arial"/>
          <w:sz w:val="22"/>
          <w:szCs w:val="22"/>
        </w:rPr>
        <w:t xml:space="preserve">Beyond compliance, the following triggers should be systematically explored:</w:t>
      </w:r>
    </w:p>
    <w:p>
      <w:pPr>
        <w:pStyle w:val="ListParagraph"/>
        <w:numPr>
          <w:ilvl w:val="0"/>
          <w:numId w:val="2"/>
        </w:numPr>
        <w:spacing w:after="60"/>
      </w:pPr>
      <w:r>
        <w:rPr>
          <w:rFonts w:ascii="Arial" w:cs="Arial" w:eastAsia="Arial" w:hAnsi="Arial"/>
          <w:sz w:val="22"/>
          <w:szCs w:val="22"/>
        </w:rPr>
        <w:t xml:space="preserve">Fever or intercurrent illness (the most common physiological trigger)</w:t>
      </w:r>
    </w:p>
    <w:p>
      <w:pPr>
        <w:pStyle w:val="ListParagraph"/>
        <w:numPr>
          <w:ilvl w:val="0"/>
          <w:numId w:val="2"/>
        </w:numPr>
        <w:spacing w:after="60"/>
      </w:pPr>
      <w:r>
        <w:rPr>
          <w:rFonts w:ascii="Arial" w:cs="Arial" w:eastAsia="Arial" w:hAnsi="Arial"/>
          <w:sz w:val="22"/>
          <w:szCs w:val="22"/>
        </w:rPr>
        <w:t xml:space="preserve">Sleep deprivation</w:t>
      </w:r>
    </w:p>
    <w:p>
      <w:pPr>
        <w:pStyle w:val="ListParagraph"/>
        <w:numPr>
          <w:ilvl w:val="0"/>
          <w:numId w:val="2"/>
        </w:numPr>
        <w:spacing w:after="60"/>
      </w:pPr>
      <w:r>
        <w:rPr>
          <w:rFonts w:ascii="Arial" w:cs="Arial" w:eastAsia="Arial" w:hAnsi="Arial"/>
          <w:sz w:val="22"/>
          <w:szCs w:val="22"/>
        </w:rPr>
        <w:t xml:space="preserve">New medications with drug interaction potential (including over-the-counter products and supplements)</w:t>
      </w:r>
    </w:p>
    <w:p>
      <w:pPr>
        <w:pStyle w:val="ListParagraph"/>
        <w:numPr>
          <w:ilvl w:val="0"/>
          <w:numId w:val="2"/>
        </w:numPr>
        <w:spacing w:after="60"/>
      </w:pPr>
      <w:r>
        <w:rPr>
          <w:rFonts w:ascii="Arial" w:cs="Arial" w:eastAsia="Arial" w:hAnsi="Arial"/>
          <w:sz w:val="22"/>
          <w:szCs w:val="22"/>
        </w:rPr>
        <w:t xml:space="preserve">Alcohol or recreational substance use (particularly relevant in adolescents)</w:t>
      </w:r>
    </w:p>
    <w:p>
      <w:pPr>
        <w:pStyle w:val="ListParagraph"/>
        <w:numPr>
          <w:ilvl w:val="0"/>
          <w:numId w:val="2"/>
        </w:numPr>
        <w:spacing w:after="60"/>
      </w:pPr>
      <w:r>
        <w:rPr>
          <w:rFonts w:ascii="Arial" w:cs="Arial" w:eastAsia="Arial" w:hAnsi="Arial"/>
          <w:sz w:val="22"/>
          <w:szCs w:val="22"/>
        </w:rPr>
        <w:t xml:space="preserve">Recent head trauma</w:t>
      </w:r>
    </w:p>
    <w:p>
      <w:pPr>
        <w:pStyle w:val="ListParagraph"/>
        <w:numPr>
          <w:ilvl w:val="0"/>
          <w:numId w:val="2"/>
        </w:numPr>
        <w:spacing w:after="60"/>
      </w:pPr>
      <w:r>
        <w:rPr>
          <w:rFonts w:ascii="Arial" w:cs="Arial" w:eastAsia="Arial" w:hAnsi="Arial"/>
          <w:sz w:val="22"/>
          <w:szCs w:val="22"/>
        </w:rPr>
        <w:t xml:space="preserve">Catamenial pattern in female patients (seizures clustering around menstruation)</w:t>
      </w:r>
    </w:p>
    <w:p>
      <w:pPr>
        <w:pStyle w:val="ListParagraph"/>
        <w:numPr>
          <w:ilvl w:val="0"/>
          <w:numId w:val="2"/>
        </w:numPr>
        <w:spacing w:after="60"/>
      </w:pPr>
      <w:r>
        <w:rPr>
          <w:rFonts w:ascii="Arial" w:cs="Arial" w:eastAsia="Arial" w:hAnsi="Arial"/>
          <w:sz w:val="22"/>
          <w:szCs w:val="22"/>
        </w:rPr>
        <w:t xml:space="preserve">Weight gain in pediatric patients (the original dose may now be subtherapeutic for the child's increased weight)</w:t>
      </w:r>
    </w:p>
    <w:p>
      <w:pPr>
        <w:pStyle w:val="ListParagraph"/>
        <w:numPr>
          <w:ilvl w:val="0"/>
          <w:numId w:val="2"/>
        </w:numPr>
        <w:spacing w:after="60"/>
      </w:pPr>
      <w:r>
        <w:rPr>
          <w:rFonts w:ascii="Arial" w:cs="Arial" w:eastAsia="Arial" w:hAnsi="Arial"/>
          <w:sz w:val="22"/>
          <w:szCs w:val="22"/>
        </w:rPr>
        <w:t xml:space="preserve">Emotional or physical stress</w:t>
      </w:r>
    </w:p>
    <w:p>
      <w:pPr>
        <w:pStyle w:val="Heading2"/>
        <w:spacing w:after="160" w:before="280"/>
      </w:pPr>
      <w:r>
        <w:rPr>
          <w:rFonts w:ascii="Arial" w:cs="Arial" w:eastAsia="Arial" w:hAnsi="Arial"/>
          <w:b/>
          <w:bCs/>
          <w:sz w:val="28"/>
          <w:szCs w:val="28"/>
        </w:rPr>
        <w:t xml:space="preserve">5.2 Rescue Medications for Seizure Clusters</w:t>
      </w:r>
    </w:p>
    <w:p>
      <w:pPr>
        <w:spacing w:after="120"/>
      </w:pPr>
      <w:r>
        <w:rPr>
          <w:rFonts w:ascii="Arial" w:cs="Arial" w:eastAsia="Arial" w:hAnsi="Arial"/>
          <w:sz w:val="22"/>
          <w:szCs w:val="22"/>
        </w:rPr>
        <w:t xml:space="preserve">Seizure clusters—acute repetitive seizures that differ from a patient's usual seizure pattern—require prompt treatment to prevent progression to status epilepticus. The FDA has approved three benzodiazepine formulations for out-of-hospital use in seizure clusters:</w:t>
      </w:r>
    </w:p>
    <w:p>
      <w:pPr>
        <w:pStyle w:val="ListParagraph"/>
        <w:numPr>
          <w:ilvl w:val="0"/>
          <w:numId w:val="2"/>
        </w:numPr>
        <w:spacing w:after="60"/>
      </w:pPr>
      <w:r>
        <w:rPr>
          <w:rFonts w:ascii="Arial" w:cs="Arial" w:eastAsia="Arial" w:hAnsi="Arial"/>
          <w:sz w:val="22"/>
          <w:szCs w:val="22"/>
        </w:rPr>
        <w:t xml:space="preserve">Diazepam rectal gel (Diastat): Approved for patients aged 2 years and older. Dosing is weight-based (0.2-0.5 mg/kg). This was the first FDA-approved rescue therapy and remains widely used, though many patients and caregivers prefer the intranasal options.</w:t>
      </w:r>
    </w:p>
    <w:p>
      <w:pPr>
        <w:pStyle w:val="ListParagraph"/>
        <w:numPr>
          <w:ilvl w:val="0"/>
          <w:numId w:val="2"/>
        </w:numPr>
        <w:spacing w:after="60"/>
      </w:pPr>
      <w:r>
        <w:rPr>
          <w:rFonts w:ascii="Arial" w:cs="Arial" w:eastAsia="Arial" w:hAnsi="Arial"/>
          <w:sz w:val="22"/>
          <w:szCs w:val="22"/>
        </w:rPr>
        <w:t xml:space="preserve">Midazolam nasal spray (Nayzilam): Approved for patients aged 12 years and older. A single 5 mg spray is administered into one nostril, with a second dose available after 10 minutes if needed. Rapid onset (3-5 minutes).</w:t>
      </w:r>
    </w:p>
    <w:p>
      <w:pPr>
        <w:pStyle w:val="ListParagraph"/>
        <w:numPr>
          <w:ilvl w:val="0"/>
          <w:numId w:val="2"/>
        </w:numPr>
        <w:spacing w:after="60"/>
      </w:pPr>
      <w:r>
        <w:rPr>
          <w:rFonts w:ascii="Arial" w:cs="Arial" w:eastAsia="Arial" w:hAnsi="Arial"/>
          <w:sz w:val="22"/>
          <w:szCs w:val="22"/>
        </w:rPr>
        <w:t xml:space="preserve">Diazepam nasal spray (Valtoco): Approved for patients aged 6 years and older. Weight-based dosing in pre-filled delivery devices.</w:t>
      </w:r>
    </w:p>
    <w:p>
      <w:pPr>
        <w:spacing w:after="120"/>
      </w:pPr>
      <w:r>
        <w:rPr>
          <w:rFonts w:ascii="Arial" w:cs="Arial" w:eastAsia="Arial" w:hAnsi="Arial"/>
          <w:sz w:val="22"/>
          <w:szCs w:val="22"/>
        </w:rPr>
        <w:t xml:space="preserve">A 2023 narrative review by Becker and colleagues published in Neurology and Therapy found that despite the effectiveness of rescue medications and the importance of rapid treatment, as many as 80% of adult patients do not use rescue medication to treat seizure clusters. Barriers include lack of a prescribed rescue medication, lack of training on when and how to use it, and social stigma. The development and distribution of personalized seizure action plans has been shown to improve both the time to rescue medication administration and clinical outcomes.</w:t>
      </w:r>
    </w:p>
    <w:p>
      <w:pPr>
        <w:pStyle w:val="Heading2"/>
        <w:spacing w:after="160" w:before="280"/>
      </w:pPr>
      <w:r>
        <w:rPr>
          <w:rFonts w:ascii="Arial" w:cs="Arial" w:eastAsia="Arial" w:hAnsi="Arial"/>
          <w:b/>
          <w:bCs/>
          <w:sz w:val="28"/>
          <w:szCs w:val="28"/>
        </w:rPr>
        <w:t xml:space="preserve">5.3 Seizure Action Plans</w:t>
      </w:r>
    </w:p>
    <w:p>
      <w:pPr>
        <w:spacing w:after="120"/>
      </w:pPr>
      <w:r>
        <w:rPr>
          <w:rFonts w:ascii="Arial" w:cs="Arial" w:eastAsia="Arial" w:hAnsi="Arial"/>
          <w:sz w:val="22"/>
          <w:szCs w:val="22"/>
        </w:rPr>
        <w:t xml:space="preserve">A seizure action plan (SAP) is a written document outlining the patient's seizure types, current medications, rescue medication instructions, seizure first aid, and criteria for calling emergency medical services. The Boston Children's Hospital prospective study by Stredny and colleagues (2025) demonstrated that patients with a personalized SAP had a median time to first anti-seizure medication of 5 minutes compared to 16 minutes in patients without a plan. Seizure duration was also significantly shorter (9 vs 22 minutes), and intubation rates were lower (14% vs 53%).</w:t>
      </w:r>
    </w:p>
    <w:p>
      <w:pPr>
        <w:spacing w:after="120"/>
      </w:pPr>
      <w:r>
        <w:rPr>
          <w:rFonts w:ascii="Arial" w:cs="Arial" w:eastAsia="Arial" w:hAnsi="Arial"/>
          <w:sz w:val="22"/>
          <w:szCs w:val="22"/>
        </w:rPr>
        <w:t xml:space="preserve">Every patient with epilepsy should have a seizure action plan. At minimum, the plan should include the patient's name and diagnosis, a description of typical seizure types, instructions for seizure first aid, specific rescue medication instructions (drug, dose, route, when to administer), and clear criteria for when to call 911.</w:t>
      </w:r>
    </w:p>
    <w:p>
      <w:r>
        <w:br w:type="page"/>
      </w:r>
    </w:p>
    <w:p>
      <w:pPr>
        <w:pStyle w:val="Heading1"/>
        <w:spacing w:after="200" w:before="360"/>
      </w:pPr>
      <w:r>
        <w:rPr>
          <w:rFonts w:ascii="Arial" w:cs="Arial" w:eastAsia="Arial" w:hAnsi="Arial"/>
          <w:b/>
          <w:bCs/>
          <w:sz w:val="32"/>
          <w:szCs w:val="32"/>
        </w:rPr>
        <w:t xml:space="preserve">Chapter 6: Neonatal Seizure Management</w:t>
      </w:r>
    </w:p>
    <w:p>
      <w:pPr>
        <w:pStyle w:val="Heading2"/>
        <w:spacing w:after="160" w:before="280"/>
      </w:pPr>
      <w:r>
        <w:rPr>
          <w:rFonts w:ascii="Arial" w:cs="Arial" w:eastAsia="Arial" w:hAnsi="Arial"/>
          <w:b/>
          <w:bCs/>
          <w:sz w:val="28"/>
          <w:szCs w:val="28"/>
        </w:rPr>
        <w:t xml:space="preserve">6.1 ILAE 2023 Guidelines</w:t>
      </w:r>
    </w:p>
    <w:p>
      <w:pPr>
        <w:spacing w:after="120"/>
      </w:pPr>
      <w:r>
        <w:rPr>
          <w:rFonts w:ascii="Arial" w:cs="Arial" w:eastAsia="Arial" w:hAnsi="Arial"/>
          <w:sz w:val="22"/>
          <w:szCs w:val="22"/>
        </w:rPr>
        <w:t xml:space="preserve">The International League Against Epilepsy (ILAE) Task Force on Neonatal Seizures published comprehensive guidelines in Epilepsia in 2023, representing the most authoritative current recommendations for neonatal seizure management. The guideline was developed through systematic literature review, meta-analysis, and Delphi consensus methodology.</w:t>
      </w:r>
    </w:p>
    <w:p>
      <w:pPr>
        <w:spacing w:after="120"/>
      </w:pPr>
      <w:r>
        <w:rPr>
          <w:rFonts w:ascii="Arial" w:cs="Arial" w:eastAsia="Arial" w:hAnsi="Arial"/>
          <w:sz w:val="22"/>
          <w:szCs w:val="22"/>
        </w:rPr>
        <w:t xml:space="preserve">The six principal recommendations are:</w:t>
      </w:r>
    </w:p>
    <w:p>
      <w:pPr>
        <w:pStyle w:val="ListParagraph"/>
        <w:numPr>
          <w:ilvl w:val="0"/>
          <w:numId w:val="2"/>
        </w:numPr>
        <w:spacing w:after="60"/>
      </w:pPr>
      <w:r>
        <w:rPr>
          <w:rFonts w:ascii="Arial" w:cs="Arial" w:eastAsia="Arial" w:hAnsi="Arial"/>
          <w:b/>
          <w:bCs/>
          <w:sz w:val="22"/>
          <w:szCs w:val="22"/>
        </w:rPr>
        <w:t xml:space="preserve">1. Phenobarbital as first-line: </w:t>
      </w:r>
      <w:r>
        <w:rPr>
          <w:rFonts w:ascii="Arial" w:cs="Arial" w:eastAsia="Arial" w:hAnsi="Arial"/>
          <w:sz w:val="22"/>
          <w:szCs w:val="22"/>
        </w:rPr>
        <w:t xml:space="preserve">Phenobarbital should be the first-line ASM for neonatal seizures regardless of etiology (evidence-based recommendation), unless a channelopathy is suspected (e.g., based on family history), in which case phenytoin or carbamazepine should be used.</w:t>
      </w:r>
    </w:p>
    <w:p>
      <w:pPr>
        <w:pStyle w:val="ListParagraph"/>
        <w:numPr>
          <w:ilvl w:val="0"/>
          <w:numId w:val="2"/>
        </w:numPr>
        <w:spacing w:after="60"/>
      </w:pPr>
      <w:r>
        <w:rPr>
          <w:rFonts w:ascii="Arial" w:cs="Arial" w:eastAsia="Arial" w:hAnsi="Arial"/>
          <w:b/>
          <w:bCs/>
          <w:sz w:val="22"/>
          <w:szCs w:val="22"/>
        </w:rPr>
        <w:t xml:space="preserve">2. Second-line options: </w:t>
      </w:r>
      <w:r>
        <w:rPr>
          <w:rFonts w:ascii="Arial" w:cs="Arial" w:eastAsia="Arial" w:hAnsi="Arial"/>
          <w:sz w:val="22"/>
          <w:szCs w:val="22"/>
        </w:rPr>
        <w:t xml:space="preserve">For neonates not responding to phenobarbital, phenytoin, levetiracetam, midazolam, or lidocaine may be used. In neonates with cardiac disorders, levetiracetam is preferred (expert agreement).</w:t>
      </w:r>
    </w:p>
    <w:p>
      <w:pPr>
        <w:pStyle w:val="ListParagraph"/>
        <w:numPr>
          <w:ilvl w:val="0"/>
          <w:numId w:val="2"/>
        </w:numPr>
        <w:spacing w:after="60"/>
      </w:pPr>
      <w:r>
        <w:rPr>
          <w:rFonts w:ascii="Arial" w:cs="Arial" w:eastAsia="Arial" w:hAnsi="Arial"/>
          <w:b/>
          <w:bCs/>
          <w:sz w:val="22"/>
          <w:szCs w:val="22"/>
        </w:rPr>
        <w:t xml:space="preserve">3. ASM discontinuation: </w:t>
      </w:r>
      <w:r>
        <w:rPr>
          <w:rFonts w:ascii="Arial" w:cs="Arial" w:eastAsia="Arial" w:hAnsi="Arial"/>
          <w:sz w:val="22"/>
          <w:szCs w:val="22"/>
        </w:rPr>
        <w:t xml:space="preserve">Following cessation of acute provoked seizures without evidence for neonatal-onset epilepsy, ASMs should be discontinued before discharge home, regardless of MRI or EEG findings (expert agreement).</w:t>
      </w:r>
    </w:p>
    <w:p>
      <w:pPr>
        <w:pStyle w:val="ListParagraph"/>
        <w:numPr>
          <w:ilvl w:val="0"/>
          <w:numId w:val="2"/>
        </w:numPr>
        <w:spacing w:after="60"/>
      </w:pPr>
      <w:r>
        <w:rPr>
          <w:rFonts w:ascii="Arial" w:cs="Arial" w:eastAsia="Arial" w:hAnsi="Arial"/>
          <w:b/>
          <w:bCs/>
          <w:sz w:val="22"/>
          <w:szCs w:val="22"/>
        </w:rPr>
        <w:t xml:space="preserve">4. Therapeutic hypothermia: </w:t>
      </w:r>
      <w:r>
        <w:rPr>
          <w:rFonts w:ascii="Arial" w:cs="Arial" w:eastAsia="Arial" w:hAnsi="Arial"/>
          <w:sz w:val="22"/>
          <w:szCs w:val="22"/>
        </w:rPr>
        <w:t xml:space="preserve">May reduce seizure burden in neonates with hypoxic-ischemic encephalopathy (evidence-based).</w:t>
      </w:r>
    </w:p>
    <w:p>
      <w:pPr>
        <w:pStyle w:val="ListParagraph"/>
        <w:numPr>
          <w:ilvl w:val="0"/>
          <w:numId w:val="2"/>
        </w:numPr>
        <w:spacing w:after="60"/>
      </w:pPr>
      <w:r>
        <w:rPr>
          <w:rFonts w:ascii="Arial" w:cs="Arial" w:eastAsia="Arial" w:hAnsi="Arial"/>
          <w:b/>
          <w:bCs/>
          <w:sz w:val="22"/>
          <w:szCs w:val="22"/>
        </w:rPr>
        <w:t xml:space="preserve">5. Treating electrographic seizures: </w:t>
      </w:r>
      <w:r>
        <w:rPr>
          <w:rFonts w:ascii="Arial" w:cs="Arial" w:eastAsia="Arial" w:hAnsi="Arial"/>
          <w:sz w:val="22"/>
          <w:szCs w:val="22"/>
        </w:rPr>
        <w:t xml:space="preserve">Treating neonatal seizures (including electrographic-only seizures) to achieve a lower seizure burden may be associated with improved outcomes (expert agreement).</w:t>
      </w:r>
    </w:p>
    <w:p>
      <w:pPr>
        <w:pStyle w:val="ListParagraph"/>
        <w:numPr>
          <w:ilvl w:val="0"/>
          <w:numId w:val="2"/>
        </w:numPr>
        <w:spacing w:after="60"/>
      </w:pPr>
      <w:r>
        <w:rPr>
          <w:rFonts w:ascii="Arial" w:cs="Arial" w:eastAsia="Arial" w:hAnsi="Arial"/>
          <w:b/>
          <w:bCs/>
          <w:sz w:val="22"/>
          <w:szCs w:val="22"/>
        </w:rPr>
        <w:t xml:space="preserve">6. Pyridoxine trial: </w:t>
      </w:r>
      <w:r>
        <w:rPr>
          <w:rFonts w:ascii="Arial" w:cs="Arial" w:eastAsia="Arial" w:hAnsi="Arial"/>
          <w:sz w:val="22"/>
          <w:szCs w:val="22"/>
        </w:rPr>
        <w:t xml:space="preserve">A trial of pyridoxine (100 mg IV) should be attempted in neonates with features of vitamin B6-dependent epilepsy and seizures unresponsive to second-line ASMs (expert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9C" w:val="clear"/>
            <w:tcMar>
              <w:top w:type="dxa" w:w="100"/>
              <w:left w:type="dxa" w:w="160"/>
              <w:bottom w:type="dxa" w:w="100"/>
              <w:right w:type="dxa" w:w="160"/>
            </w:tcMar>
          </w:tcPr>
          <w:p>
            <w:pPr>
              <w:spacing w:after="60"/>
            </w:pPr>
            <w:r>
              <w:rPr>
                <w:rFonts w:ascii="Arial" w:cs="Arial" w:eastAsia="Arial" w:hAnsi="Arial"/>
                <w:b/>
                <w:bCs/>
                <w:color w:val="9C6500"/>
                <w:sz w:val="22"/>
                <w:szCs w:val="22"/>
              </w:rPr>
              <w:t xml:space="preserve">RURAL CONSIDERATION</w:t>
            </w:r>
          </w:p>
          <w:p>
            <w:pPr>
              <w:spacing w:after="0"/>
            </w:pPr>
            <w:r>
              <w:rPr>
                <w:rFonts w:ascii="Arial" w:cs="Arial" w:eastAsia="Arial" w:hAnsi="Arial"/>
                <w:sz w:val="20"/>
                <w:szCs w:val="20"/>
              </w:rPr>
              <w:t xml:space="preserve">Level I and Level II nurseries should have phenobarbital readily available for neonatal seizure management. If a neonate requires a second-line agent beyond phenobarbital, this typically exceeds Level II scope of care and transport to a Level III or IV NICU should be activated.</w:t>
            </w:r>
          </w:p>
        </w:tc>
      </w:tr>
    </w:tbl>
    <w:p>
      <w:r>
        <w:br w:type="page"/>
      </w:r>
    </w:p>
    <w:p>
      <w:pPr>
        <w:pStyle w:val="Heading1"/>
        <w:spacing w:after="200" w:before="360"/>
      </w:pPr>
      <w:r>
        <w:rPr>
          <w:rFonts w:ascii="Arial" w:cs="Arial" w:eastAsia="Arial" w:hAnsi="Arial"/>
          <w:b/>
          <w:bCs/>
          <w:sz w:val="32"/>
          <w:szCs w:val="32"/>
        </w:rPr>
        <w:t xml:space="preserve">Chapter 7: Transport and Escalation</w:t>
      </w:r>
    </w:p>
    <w:p>
      <w:pPr>
        <w:spacing w:after="120"/>
      </w:pPr>
      <w:r>
        <w:rPr>
          <w:rFonts w:ascii="Arial" w:cs="Arial" w:eastAsia="Arial" w:hAnsi="Arial"/>
          <w:sz w:val="22"/>
          <w:szCs w:val="22"/>
        </w:rPr>
        <w:t xml:space="preserve">In the rural setting, the decision to activate transport should be made early and proactively. Status epilepticus refractory to benzodiazepines and one second-line agent, neonatal seizures refractory to phenobarbital at 40 mg/kg, the need for continuous infusion therapy, airway compromise requiring intubation, unknown etiology with focal neurologic deficits, and suspected CNS infection all constitute indications for transfer to a higher level of care.</w:t>
      </w:r>
    </w:p>
    <w:p>
      <w:pPr>
        <w:spacing w:after="120"/>
      </w:pPr>
      <w:r>
        <w:rPr>
          <w:rFonts w:ascii="Arial" w:cs="Arial" w:eastAsia="Arial" w:hAnsi="Arial"/>
          <w:sz w:val="22"/>
          <w:szCs w:val="22"/>
        </w:rPr>
        <w:t xml:space="preserve">Stabilization before transport includes ensuring a secure airway, maintaining IV access with ongoing ASM infusion if applicable, continuous monitoring of vital signs and oxygen saturation, temperature regulation (especially important in neonates), and glucose management. A complete SBAR handoff—covering the seizure history, all medications administered with times and doses, laboratory results, and current clinical status—should be communicated to the receiving team prior to departure.</w:t>
      </w:r>
    </w:p>
    <w:p>
      <w:r>
        <w:br w:type="page"/>
      </w:r>
    </w:p>
    <w:p>
      <w:pPr>
        <w:pStyle w:val="Heading1"/>
        <w:spacing w:after="200" w:before="360"/>
      </w:pPr>
      <w:r>
        <w:rPr>
          <w:rFonts w:ascii="Arial" w:cs="Arial" w:eastAsia="Arial" w:hAnsi="Arial"/>
          <w:b/>
          <w:bCs/>
          <w:sz w:val="32"/>
          <w:szCs w:val="32"/>
        </w:rPr>
        <w:t xml:space="preserve">Chapter 8: References</w:t>
      </w:r>
    </w:p>
    <w:p>
      <w:pPr>
        <w:spacing w:after="120"/>
      </w:pPr>
      <w:r>
        <w:rPr>
          <w:rFonts w:ascii="Arial" w:cs="Arial" w:eastAsia="Arial" w:hAnsi="Arial"/>
          <w:sz w:val="22"/>
          <w:szCs w:val="22"/>
        </w:rPr>
        <w:t xml:space="preserve">1. Glauser T, Shinnar S, Gloss D, et al. Evidence-based guideline: treatment of convulsive status epilepticus in children and adults. </w:t>
      </w:r>
      <w:r>
        <w:rPr>
          <w:rFonts w:ascii="Arial" w:cs="Arial" w:eastAsia="Arial" w:hAnsi="Arial"/>
          <w:i/>
          <w:iCs/>
          <w:sz w:val="22"/>
          <w:szCs w:val="22"/>
        </w:rPr>
        <w:t xml:space="preserve">Epilepsy Curr.</w:t>
      </w:r>
      <w:r>
        <w:rPr>
          <w:rFonts w:ascii="Arial" w:cs="Arial" w:eastAsia="Arial" w:hAnsi="Arial"/>
          <w:sz w:val="22"/>
          <w:szCs w:val="22"/>
        </w:rPr>
        <w:t xml:space="preserve"> 2016;16(1):48-61. DOI: 10.5698/1535-7597-16.1.48. PMID: 26900382.</w:t>
      </w:r>
    </w:p>
    <w:p>
      <w:pPr>
        <w:spacing w:after="120"/>
      </w:pPr>
      <w:r>
        <w:rPr>
          <w:rFonts w:ascii="Arial" w:cs="Arial" w:eastAsia="Arial" w:hAnsi="Arial"/>
          <w:sz w:val="22"/>
          <w:szCs w:val="22"/>
        </w:rPr>
        <w:t xml:space="preserve">2. Kapur J, Elm J, Chamberlain JM, et al. Randomized trial of three anticonvulsant medications for status epilepticus. </w:t>
      </w:r>
      <w:r>
        <w:rPr>
          <w:rFonts w:ascii="Arial" w:cs="Arial" w:eastAsia="Arial" w:hAnsi="Arial"/>
          <w:i/>
          <w:iCs/>
          <w:sz w:val="22"/>
          <w:szCs w:val="22"/>
        </w:rPr>
        <w:t xml:space="preserve">N Engl J Med.</w:t>
      </w:r>
      <w:r>
        <w:rPr>
          <w:rFonts w:ascii="Arial" w:cs="Arial" w:eastAsia="Arial" w:hAnsi="Arial"/>
          <w:sz w:val="22"/>
          <w:szCs w:val="22"/>
        </w:rPr>
        <w:t xml:space="preserve"> 2019;381(22):2103-2113. DOI: 10.1056/NEJMoa1905795. PMID: 31774955.</w:t>
      </w:r>
    </w:p>
    <w:p>
      <w:pPr>
        <w:spacing w:after="120"/>
      </w:pPr>
      <w:r>
        <w:rPr>
          <w:rFonts w:ascii="Arial" w:cs="Arial" w:eastAsia="Arial" w:hAnsi="Arial"/>
          <w:sz w:val="22"/>
          <w:szCs w:val="22"/>
        </w:rPr>
        <w:t xml:space="preserve">3. Chamberlain JM, Kapur J, Shinnar S, et al. Efficacy of levetiracetam, fosphenytoin, and valproate for established status epilepticus by age group (ESETT). </w:t>
      </w:r>
      <w:r>
        <w:rPr>
          <w:rFonts w:ascii="Arial" w:cs="Arial" w:eastAsia="Arial" w:hAnsi="Arial"/>
          <w:i/>
          <w:iCs/>
          <w:sz w:val="22"/>
          <w:szCs w:val="22"/>
        </w:rPr>
        <w:t xml:space="preserve">Lancet.</w:t>
      </w:r>
      <w:r>
        <w:rPr>
          <w:rFonts w:ascii="Arial" w:cs="Arial" w:eastAsia="Arial" w:hAnsi="Arial"/>
          <w:sz w:val="22"/>
          <w:szCs w:val="22"/>
        </w:rPr>
        <w:t xml:space="preserve"> 2020;395(10231):1217-1224. DOI: 10.1016/S0140-6736(20)30611-5. PMID: 32203691.</w:t>
      </w:r>
    </w:p>
    <w:p>
      <w:pPr>
        <w:spacing w:after="120"/>
      </w:pPr>
      <w:r>
        <w:rPr>
          <w:rFonts w:ascii="Arial" w:cs="Arial" w:eastAsia="Arial" w:hAnsi="Arial"/>
          <w:sz w:val="22"/>
          <w:szCs w:val="22"/>
        </w:rPr>
        <w:t xml:space="preserve">4. Pressler RM, Abend NS, Auvin S, et al. Treatment of seizures in the neonate: guidelines and consensus-based recommendations. </w:t>
      </w:r>
      <w:r>
        <w:rPr>
          <w:rFonts w:ascii="Arial" w:cs="Arial" w:eastAsia="Arial" w:hAnsi="Arial"/>
          <w:i/>
          <w:iCs/>
          <w:sz w:val="22"/>
          <w:szCs w:val="22"/>
        </w:rPr>
        <w:t xml:space="preserve">Epilepsia.</w:t>
      </w:r>
      <w:r>
        <w:rPr>
          <w:rFonts w:ascii="Arial" w:cs="Arial" w:eastAsia="Arial" w:hAnsi="Arial"/>
          <w:sz w:val="22"/>
          <w:szCs w:val="22"/>
        </w:rPr>
        <w:t xml:space="preserve"> 2023;64(10):2550-2570. DOI: 10.1111/epi.17745. PMID: 37655702.</w:t>
      </w:r>
    </w:p>
    <w:p>
      <w:pPr>
        <w:spacing w:after="120"/>
      </w:pPr>
      <w:r>
        <w:rPr>
          <w:rFonts w:ascii="Arial" w:cs="Arial" w:eastAsia="Arial" w:hAnsi="Arial"/>
          <w:sz w:val="22"/>
          <w:szCs w:val="22"/>
        </w:rPr>
        <w:t xml:space="preserve">5. Stredny CM, Rostamian S, Sheehan TA, et al. Assessment of seizure action plans in pediatric convulsive status epilepticus. </w:t>
      </w:r>
      <w:r>
        <w:rPr>
          <w:rFonts w:ascii="Arial" w:cs="Arial" w:eastAsia="Arial" w:hAnsi="Arial"/>
          <w:i/>
          <w:iCs/>
          <w:sz w:val="22"/>
          <w:szCs w:val="22"/>
        </w:rPr>
        <w:t xml:space="preserve">Neurol Clin Pract.</w:t>
      </w:r>
      <w:r>
        <w:rPr>
          <w:rFonts w:ascii="Arial" w:cs="Arial" w:eastAsia="Arial" w:hAnsi="Arial"/>
          <w:sz w:val="22"/>
          <w:szCs w:val="22"/>
        </w:rPr>
        <w:t xml:space="preserve"> 2025;15(3):e200449. DOI: 10.1212/CPJ.0000000000200449. PMID: 40190590.</w:t>
      </w:r>
    </w:p>
    <w:p>
      <w:pPr>
        <w:spacing w:after="120"/>
      </w:pPr>
      <w:r>
        <w:rPr>
          <w:rFonts w:ascii="Arial" w:cs="Arial" w:eastAsia="Arial" w:hAnsi="Arial"/>
          <w:sz w:val="22"/>
          <w:szCs w:val="22"/>
        </w:rPr>
        <w:t xml:space="preserve">6. Becker DA, Wheless JW, Sirven J, et al. Treatment of seizure clusters in epilepsy: a narrative review on rescue therapies. </w:t>
      </w:r>
      <w:r>
        <w:rPr>
          <w:rFonts w:ascii="Arial" w:cs="Arial" w:eastAsia="Arial" w:hAnsi="Arial"/>
          <w:i/>
          <w:iCs/>
          <w:sz w:val="22"/>
          <w:szCs w:val="22"/>
        </w:rPr>
        <w:t xml:space="preserve">Neurol Ther.</w:t>
      </w:r>
      <w:r>
        <w:rPr>
          <w:rFonts w:ascii="Arial" w:cs="Arial" w:eastAsia="Arial" w:hAnsi="Arial"/>
          <w:sz w:val="22"/>
          <w:szCs w:val="22"/>
        </w:rPr>
        <w:t xml:space="preserve"> 2023;12(5):1439-1455. DOI: 10.1007/s40120-023-00515-3. PMID: 37341903.</w:t>
      </w:r>
    </w:p>
    <w:p>
      <w:pPr>
        <w:spacing w:after="120"/>
      </w:pPr>
      <w:r>
        <w:rPr>
          <w:rFonts w:ascii="Arial" w:cs="Arial" w:eastAsia="Arial" w:hAnsi="Arial"/>
          <w:sz w:val="22"/>
          <w:szCs w:val="22"/>
        </w:rPr>
        <w:t xml:space="preserve">7. Becker LL, Gratopp A, Prager C, Elger CE, Kaindl AM. Treatment of pediatric convulsive status epilepticus. </w:t>
      </w:r>
      <w:r>
        <w:rPr>
          <w:rFonts w:ascii="Arial" w:cs="Arial" w:eastAsia="Arial" w:hAnsi="Arial"/>
          <w:i/>
          <w:iCs/>
          <w:sz w:val="22"/>
          <w:szCs w:val="22"/>
        </w:rPr>
        <w:t xml:space="preserve">Front Neurol.</w:t>
      </w:r>
      <w:r>
        <w:rPr>
          <w:rFonts w:ascii="Arial" w:cs="Arial" w:eastAsia="Arial" w:hAnsi="Arial"/>
          <w:sz w:val="22"/>
          <w:szCs w:val="22"/>
        </w:rPr>
        <w:t xml:space="preserve"> 2023;14:1175370. DOI: 10.3389/fneur.2023.1175370. PMID: 37456627.</w:t>
      </w:r>
    </w:p>
    <w:p>
      <w:pPr>
        <w:spacing w:after="120"/>
      </w:pPr>
      <w:r>
        <w:rPr>
          <w:rFonts w:ascii="Arial" w:cs="Arial" w:eastAsia="Arial" w:hAnsi="Arial"/>
          <w:sz w:val="22"/>
          <w:szCs w:val="22"/>
        </w:rPr>
        <w:t xml:space="preserve">8. Messahel S, Bracken L, Appleton R. Optimal management of status epilepticus in children in the emergency setting: a review. </w:t>
      </w:r>
      <w:r>
        <w:rPr>
          <w:rFonts w:ascii="Arial" w:cs="Arial" w:eastAsia="Arial" w:hAnsi="Arial"/>
          <w:i/>
          <w:iCs/>
          <w:sz w:val="22"/>
          <w:szCs w:val="22"/>
        </w:rPr>
        <w:t xml:space="preserve">Open Access Emerg Med.</w:t>
      </w:r>
      <w:r>
        <w:rPr>
          <w:rFonts w:ascii="Arial" w:cs="Arial" w:eastAsia="Arial" w:hAnsi="Arial"/>
          <w:sz w:val="22"/>
          <w:szCs w:val="22"/>
        </w:rPr>
        <w:t xml:space="preserve"> 2022;14:491-506. DOI: 10.2147/OAEM.S293258. PMID: 36158897.</w:t>
      </w:r>
    </w:p>
    <w:p>
      <w:pPr>
        <w:spacing w:after="120"/>
      </w:pPr>
      <w:r>
        <w:rPr>
          <w:rFonts w:ascii="Arial" w:cs="Arial" w:eastAsia="Arial" w:hAnsi="Arial"/>
          <w:sz w:val="22"/>
          <w:szCs w:val="22"/>
        </w:rPr>
        <w:t xml:space="preserve">9. Stieren ES, Rottkamp CA, Brooks-Kayal AR. Neonatal seizures. </w:t>
      </w:r>
      <w:r>
        <w:rPr>
          <w:rFonts w:ascii="Arial" w:cs="Arial" w:eastAsia="Arial" w:hAnsi="Arial"/>
          <w:i/>
          <w:iCs/>
          <w:sz w:val="22"/>
          <w:szCs w:val="22"/>
        </w:rPr>
        <w:t xml:space="preserve">NeoReviews.</w:t>
      </w:r>
      <w:r>
        <w:rPr>
          <w:rFonts w:ascii="Arial" w:cs="Arial" w:eastAsia="Arial" w:hAnsi="Arial"/>
          <w:sz w:val="22"/>
          <w:szCs w:val="22"/>
        </w:rPr>
        <w:t xml:space="preserve"> 2024;25(6):e338-e349. DOI: 10.1542/neo.25-6-e338. PMID: 38821905.</w:t>
      </w:r>
    </w:p>
    <w:p>
      <w:pPr>
        <w:spacing w:after="120"/>
      </w:pPr>
      <w:r>
        <w:rPr>
          <w:rFonts w:ascii="Arial" w:cs="Arial" w:eastAsia="Arial" w:hAnsi="Arial"/>
          <w:sz w:val="22"/>
          <w:szCs w:val="22"/>
        </w:rPr>
        <w:t xml:space="preserve">10. Vasquez A, Farias-Moeller R, et al. Super-refractory status epilepticus in children: a retrospective cohort study. </w:t>
      </w:r>
      <w:r>
        <w:rPr>
          <w:rFonts w:ascii="Arial" w:cs="Arial" w:eastAsia="Arial" w:hAnsi="Arial"/>
          <w:i/>
          <w:iCs/>
          <w:sz w:val="22"/>
          <w:szCs w:val="22"/>
        </w:rPr>
        <w:t xml:space="preserve">Pediatr Crit Care Med.</w:t>
      </w:r>
      <w:r>
        <w:rPr>
          <w:rFonts w:ascii="Arial" w:cs="Arial" w:eastAsia="Arial" w:hAnsi="Arial"/>
          <w:sz w:val="22"/>
          <w:szCs w:val="22"/>
        </w:rPr>
        <w:t xml:space="preserve"> 2021;22(12):e613-e625. DOI: 10.1097/PCC.0000000000002786. PMID: 34120133.</w:t>
      </w:r>
    </w:p>
    <w:p>
      <w:pPr>
        <w:spacing w:after="120"/>
      </w:pPr>
      <w:r>
        <w:rPr>
          <w:rFonts w:ascii="Arial" w:cs="Arial" w:eastAsia="Arial" w:hAnsi="Arial"/>
          <w:sz w:val="22"/>
          <w:szCs w:val="22"/>
        </w:rPr>
        <w:t xml:space="preserve">11. Firn ET, Jonas R, Douglass LM, Walsh BM. Using in-situ simulation to identify deviations from guideline-based management of pediatric SE in community EDs. </w:t>
      </w:r>
      <w:r>
        <w:rPr>
          <w:rFonts w:ascii="Arial" w:cs="Arial" w:eastAsia="Arial" w:hAnsi="Arial"/>
          <w:i/>
          <w:iCs/>
          <w:sz w:val="22"/>
          <w:szCs w:val="22"/>
        </w:rPr>
        <w:t xml:space="preserve">Open Access Emerg Med.</w:t>
      </w:r>
      <w:r>
        <w:rPr>
          <w:rFonts w:ascii="Arial" w:cs="Arial" w:eastAsia="Arial" w:hAnsi="Arial"/>
          <w:sz w:val="22"/>
          <w:szCs w:val="22"/>
        </w:rPr>
        <w:t xml:space="preserve"> 2025;17:165-171. DOI: 10.2147/OAEM.S507770. PMID: 40357448.</w:t>
      </w:r>
    </w:p>
    <w:p>
      <w:pPr>
        <w:spacing w:after="120"/>
      </w:pPr>
      <w:r>
        <w:rPr>
          <w:rFonts w:ascii="Arial" w:cs="Arial" w:eastAsia="Arial" w:hAnsi="Arial"/>
          <w:sz w:val="22"/>
          <w:szCs w:val="22"/>
        </w:rPr>
        <w:t xml:space="preserve">12. AAP. Seizure rescue medications and seizure action plan. Strengthen &amp; Enhance Epilepsy Knowledge Training. HRSA Grant U23MC26252.</w:t>
      </w:r>
    </w:p>
    <w:p>
      <w:pPr>
        <w:spacing w:after="120"/>
      </w:pPr>
      <w:r>
        <w:rPr>
          <w:rFonts w:ascii="Arial" w:cs="Arial" w:eastAsia="Arial" w:hAnsi="Arial"/>
          <w:sz w:val="22"/>
          <w:szCs w:val="22"/>
        </w:rPr>
        <w:t xml:space="preserve">13. Children's Hospital of Philadelphia. Status epilepticus clinical pathway. Last revised July 2025. Available at: chop.edu.</w:t>
      </w:r>
    </w:p>
    <w:p>
      <w:pPr>
        <w:spacing w:after="120"/>
      </w:pPr>
      <w:r>
        <w:rPr>
          <w:rFonts w:ascii="Arial" w:cs="Arial" w:eastAsia="Arial" w:hAnsi="Arial"/>
          <w:sz w:val="22"/>
          <w:szCs w:val="22"/>
        </w:rPr>
        <w:t xml:space="preserve">14. Silbergleit R, Durkalski V, Lowenstein D, et al. Intramuscular versus intravenous therapy for prehospital status epilepticus (RAMPART). </w:t>
      </w:r>
      <w:r>
        <w:rPr>
          <w:rFonts w:ascii="Arial" w:cs="Arial" w:eastAsia="Arial" w:hAnsi="Arial"/>
          <w:i/>
          <w:iCs/>
          <w:sz w:val="22"/>
          <w:szCs w:val="22"/>
        </w:rPr>
        <w:t xml:space="preserve">N Engl J Med.</w:t>
      </w:r>
      <w:r>
        <w:rPr>
          <w:rFonts w:ascii="Arial" w:cs="Arial" w:eastAsia="Arial" w:hAnsi="Arial"/>
          <w:sz w:val="22"/>
          <w:szCs w:val="22"/>
        </w:rPr>
        <w:t xml:space="preserve"> 2012;366:591-600. DOI: 10.1056/NEJMoa1107494.</w:t>
      </w:r>
    </w:p>
    <w:p>
      <w:pPr>
        <w:spacing w:after="120"/>
      </w:pPr>
      <w:r>
        <w:rPr>
          <w:rFonts w:ascii="Arial" w:cs="Arial" w:eastAsia="Arial" w:hAnsi="Arial"/>
          <w:sz w:val="22"/>
          <w:szCs w:val="22"/>
        </w:rPr>
        <w:t xml:space="preserve">15. Epilepsy Foundation. Seizure action plans. Available at: epilepsy.com/preparedness-safety/action-plans.</w:t>
      </w:r>
    </w:p>
    <w:p>
      <w:pPr>
        <w:spacing w:after="120"/>
      </w:pPr>
      <w:r>
        <w:rPr>
          <w:rFonts w:ascii="Arial" w:cs="Arial" w:eastAsia="Arial" w:hAnsi="Arial"/>
          <w:sz w:val="22"/>
          <w:szCs w:val="22"/>
        </w:rPr>
        <w:t xml:space="preserve">16. Lyttle MD, Rainford NEA, Gamble C, et al. Levetiracetam versus phenytoin for second-line treatment of paediatric convulsive status epilepticus (EcLiPSE): a multicentre, open-label, randomised trial. </w:t>
      </w:r>
      <w:r>
        <w:rPr>
          <w:rFonts w:ascii="Arial" w:cs="Arial" w:eastAsia="Arial" w:hAnsi="Arial"/>
          <w:i/>
          <w:iCs/>
          <w:sz w:val="22"/>
          <w:szCs w:val="22"/>
        </w:rPr>
        <w:t xml:space="preserve">Lancet.</w:t>
      </w:r>
      <w:r>
        <w:rPr>
          <w:rFonts w:ascii="Arial" w:cs="Arial" w:eastAsia="Arial" w:hAnsi="Arial"/>
          <w:sz w:val="22"/>
          <w:szCs w:val="22"/>
        </w:rPr>
        <w:t xml:space="preserve"> 2019;393(10186):2125-2134. DOI: 10.1016/S0140-6736(19)30724-X. PMID: 31005385.</w:t>
      </w:r>
    </w:p>
    <w:p>
      <w:pPr>
        <w:spacing w:after="120"/>
      </w:pPr>
      <w:r>
        <w:rPr>
          <w:rFonts w:ascii="Arial" w:cs="Arial" w:eastAsia="Arial" w:hAnsi="Arial"/>
          <w:sz w:val="22"/>
          <w:szCs w:val="22"/>
        </w:rPr>
        <w:t xml:space="preserve">17. Dalziel SR, Borland ML, Furyk J, et al. Levetiracetam versus phenytoin for second-line treatment of convulsive status epilepticus in children (ConSEPT): an open-label, multicentre, randomised controlled trial. </w:t>
      </w:r>
      <w:r>
        <w:rPr>
          <w:rFonts w:ascii="Arial" w:cs="Arial" w:eastAsia="Arial" w:hAnsi="Arial"/>
          <w:i/>
          <w:iCs/>
          <w:sz w:val="22"/>
          <w:szCs w:val="22"/>
        </w:rPr>
        <w:t xml:space="preserve">Lancet.</w:t>
      </w:r>
      <w:r>
        <w:rPr>
          <w:rFonts w:ascii="Arial" w:cs="Arial" w:eastAsia="Arial" w:hAnsi="Arial"/>
          <w:sz w:val="22"/>
          <w:szCs w:val="22"/>
        </w:rPr>
        <w:t xml:space="preserve"> 2019;393(10186):2135-2145. DOI: 10.1016/S0140-6736(19)30722-6. PMID: 31005386.</w:t>
      </w:r>
    </w:p>
    <w:p>
      <w:pPr>
        <w:spacing w:after="120"/>
      </w:pPr>
      <w:r>
        <w:rPr>
          <w:rFonts w:ascii="Arial" w:cs="Arial" w:eastAsia="Arial" w:hAnsi="Arial"/>
          <w:sz w:val="22"/>
          <w:szCs w:val="22"/>
        </w:rPr>
        <w:t xml:space="preserve">18. Abdelgadir I, Hamud A, Kadri A, et al. Levetiracetam for convulsive status epilepticus in childhood: systematic review and meta-analysis. </w:t>
      </w:r>
      <w:r>
        <w:rPr>
          <w:rFonts w:ascii="Arial" w:cs="Arial" w:eastAsia="Arial" w:hAnsi="Arial"/>
          <w:i/>
          <w:iCs/>
          <w:sz w:val="22"/>
          <w:szCs w:val="22"/>
        </w:rPr>
        <w:t xml:space="preserve">Arch Dis Child.</w:t>
      </w:r>
      <w:r>
        <w:rPr>
          <w:rFonts w:ascii="Arial" w:cs="Arial" w:eastAsia="Arial" w:hAnsi="Arial"/>
          <w:sz w:val="22"/>
          <w:szCs w:val="22"/>
        </w:rPr>
        <w:t xml:space="preserve"> 2021;106(5):470-476. DOI: 10.1136/archdischild-2020-319573. PMID: 33060105.</w:t>
      </w:r>
    </w:p>
    <w:p>
      <w:pPr>
        <w:spacing w:after="120"/>
      </w:pPr>
      <w:r>
        <w:rPr>
          <w:rFonts w:ascii="Arial" w:cs="Arial" w:eastAsia="Arial" w:hAnsi="Arial"/>
          <w:sz w:val="22"/>
          <w:szCs w:val="22"/>
        </w:rPr>
        <w:t xml:space="preserve">19. Zhang Q, Peng S, Wei Z, Cheng X. Comparative efficacy and safety of second-line medications for status epilepticus: a network meta-analysis. </w:t>
      </w:r>
      <w:r>
        <w:rPr>
          <w:rFonts w:ascii="Arial" w:cs="Arial" w:eastAsia="Arial" w:hAnsi="Arial"/>
          <w:i/>
          <w:iCs/>
          <w:sz w:val="22"/>
          <w:szCs w:val="22"/>
        </w:rPr>
        <w:t xml:space="preserve">Medicine.</w:t>
      </w:r>
      <w:r>
        <w:rPr>
          <w:rFonts w:ascii="Arial" w:cs="Arial" w:eastAsia="Arial" w:hAnsi="Arial"/>
          <w:sz w:val="22"/>
          <w:szCs w:val="22"/>
        </w:rPr>
        <w:t xml:space="preserve"> 2024;103(46):e40333. DOI: 10.1097/MD.0000000000040333. PMID: 39560557.</w:t>
      </w:r>
    </w:p>
    <w:p>
      <w:pPr>
        <w:spacing w:after="120"/>
      </w:pPr>
      <w:r>
        <w:rPr>
          <w:rFonts w:ascii="Arial" w:cs="Arial" w:eastAsia="Arial" w:hAnsi="Arial"/>
          <w:sz w:val="22"/>
          <w:szCs w:val="22"/>
        </w:rPr>
        <w:t xml:space="preserve">20. Zhang Y, Liu Y, Liao Q, Liu Z. Preferential antiseizure medications in pediatric patients with convulsive status epilepticus: a systematic review and network meta-analysis. </w:t>
      </w:r>
      <w:r>
        <w:rPr>
          <w:rFonts w:ascii="Arial" w:cs="Arial" w:eastAsia="Arial" w:hAnsi="Arial"/>
          <w:i/>
          <w:iCs/>
          <w:sz w:val="22"/>
          <w:szCs w:val="22"/>
        </w:rPr>
        <w:t xml:space="preserve">Clin Drug Investig.</w:t>
      </w:r>
      <w:r>
        <w:rPr>
          <w:rFonts w:ascii="Arial" w:cs="Arial" w:eastAsia="Arial" w:hAnsi="Arial"/>
          <w:sz w:val="22"/>
          <w:szCs w:val="22"/>
        </w:rPr>
        <w:t xml:space="preserve"> 2020;41(1):1-17. DOI: 10.1007/s40261-020-00975-7. PMID: 33145680.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Pediatric Emergency CDS Project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Arial" w:cs="Arial" w:eastAsia="Arial" w:hAnsi="Arial"/>
        <w:i/>
        <w:iCs/>
        <w:color w:val="888888"/>
        <w:sz w:val="18"/>
        <w:szCs w:val="18"/>
      </w:rPr>
      <w:t xml:space="preserve">Seizure Management — Rural Nursery &amp; ED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2026-04-03T10:40:12.111Z</dcterms:created>
  <dcterms:modified xsi:type="dcterms:W3CDTF">2026-04-03T10:40:12.112Z</dcterms:modified>
</cp:coreProperties>
</file>

<file path=docProps/custom.xml><?xml version="1.0" encoding="utf-8"?>
<Properties xmlns="http://schemas.openxmlformats.org/officeDocument/2006/custom-properties" xmlns:vt="http://schemas.openxmlformats.org/officeDocument/2006/docPropsVTypes"/>
</file>