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jc w:val="center"/>
      </w:pPr>
      <w:r>
        <w:rPr>
          <w:rFonts w:ascii="Arial" w:cs="Arial" w:eastAsia="Arial" w:hAnsi="Arial"/>
          <w:b/>
          <w:bCs/>
          <w:color w:val="2E75B6"/>
          <w:sz w:val="52"/>
          <w:szCs w:val="52"/>
        </w:rPr>
        <w:t xml:space="preserve">Escherichia coli and Gram-Negative Sepsis in Neonates</w:t>
      </w:r>
    </w:p>
    <w:p>
      <w:pPr>
        <w:spacing w:before="400"/>
        <w:jc w:val="center"/>
      </w:pPr>
      <w:r>
        <w:rPr>
          <w:rFonts w:ascii="Arial" w:cs="Arial" w:eastAsia="Arial" w:hAnsi="Arial"/>
          <w:color w:val="404040"/>
          <w:sz w:val="32"/>
          <w:szCs w:val="32"/>
        </w:rPr>
        <w:t xml:space="preserve">A Comprehensive Guide for Rural Nursery Providers</w:t>
      </w:r>
    </w:p>
    <w:p>
      <w:pPr>
        <w:spacing w:before="300"/>
        <w:jc w:val="center"/>
      </w:pPr>
      <w:r>
        <w:rPr>
          <w:rFonts w:ascii="Arial" w:cs="Arial" w:eastAsia="Arial" w:hAnsi="Arial"/>
          <w:color w:val="606060"/>
          <w:sz w:val="28"/>
          <w:szCs w:val="28"/>
        </w:rPr>
        <w:t xml:space="preserve">Level I and Level II/II+ Nursery Education Series</w:t>
      </w:r>
    </w:p>
    <w:p>
      <w:pPr>
        <w:spacing w:before="200"/>
        <w:jc w:val="center"/>
      </w:pPr>
      <w:r>
        <w:rPr>
          <w:rFonts w:ascii="Arial" w:cs="Arial" w:eastAsia="Arial" w:hAnsi="Arial"/>
          <w:i/>
          <w:iCs/>
          <w:color w:val="606060"/>
          <w:sz w:val="26"/>
          <w:szCs w:val="26"/>
        </w:rPr>
        <w:t xml:space="preserve">For the Pediatric Emergency Medicine CDS Project</w:t>
      </w:r>
    </w:p>
    <w:p>
      <w:pPr>
        <w:spacing w:before="600"/>
        <w:jc w:val="center"/>
      </w:pPr>
      <w:r>
        <w:rPr>
          <w:rFonts w:ascii="Arial" w:cs="Arial" w:eastAsia="Arial" w:hAnsi="Arial"/>
          <w:sz w:val="24"/>
          <w:szCs w:val="24"/>
        </w:rPr>
        <w:t xml:space="preserve">March 2026</w:t>
      </w:r>
    </w:p>
    <w:p>
      <w:r>
        <w:br w:type="page"/>
      </w:r>
    </w:p>
    <w:p>
      <w:pPr>
        <w:pStyle w:val="Heading1"/>
        <w:spacing w:after="200" w:before="360"/>
      </w:pPr>
      <w:r>
        <w:rPr>
          <w:rFonts w:ascii="Arial" w:cs="Arial" w:eastAsia="Arial" w:hAnsi="Arial"/>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rFonts w:ascii="Arial" w:cs="Arial" w:eastAsia="Arial" w:hAnsi="Arial"/>
          <w:b/>
          <w:bCs/>
          <w:sz w:val="32"/>
          <w:szCs w:val="32"/>
        </w:rPr>
        <w:t xml:space="preserve">Chapter 1: Introduction and Scope</w:t>
      </w:r>
    </w:p>
    <w:p>
      <w:pPr>
        <w:pStyle w:val="Heading2"/>
        <w:spacing w:after="160" w:before="280"/>
      </w:pPr>
      <w:r>
        <w:rPr>
          <w:rFonts w:ascii="Arial" w:cs="Arial" w:eastAsia="Arial" w:hAnsi="Arial"/>
          <w:b/>
          <w:bCs/>
          <w:sz w:val="28"/>
          <w:szCs w:val="28"/>
        </w:rPr>
        <w:t xml:space="preserve">1.1 Why This Topic Matters in the Rural Nursery</w:t>
      </w:r>
    </w:p>
    <w:p>
      <w:pPr>
        <w:spacing w:after="160"/>
      </w:pPr>
      <w:r>
        <w:rPr>
          <w:rFonts w:ascii="Arial" w:cs="Arial" w:eastAsia="Arial" w:hAnsi="Arial"/>
          <w:sz w:val="24"/>
          <w:szCs w:val="24"/>
        </w:rPr>
        <w:t xml:space="preserve">Gram-negative sepsis, and </w:t>
      </w:r>
      <w:r>
        <w:rPr>
          <w:rFonts w:ascii="Arial" w:cs="Arial" w:eastAsia="Arial" w:hAnsi="Arial"/>
          <w:b/>
          <w:bCs/>
          <w:i/>
          <w:iCs/>
          <w:sz w:val="24"/>
          <w:szCs w:val="24"/>
        </w:rPr>
        <w:t xml:space="preserve">Escherichia coli</w:t>
      </w:r>
      <w:r>
        <w:rPr>
          <w:rFonts w:ascii="Arial" w:cs="Arial" w:eastAsia="Arial" w:hAnsi="Arial"/>
          <w:sz w:val="24"/>
          <w:szCs w:val="24"/>
        </w:rPr>
        <w:t xml:space="preserve"> sepsis in particular, represents one of the most lethal infectious emergencies in neonatal medicine. In the era of widespread intrapartum antibiotic prophylaxis (IAP) against Group B Streptococcus (GBS), the epidemiologic landscape of early-onset neonatal sepsis (EOS) has shifted dramatically. While GBS incidence has declined, </w:t>
      </w:r>
      <w:r>
        <w:rPr>
          <w:rFonts w:ascii="Arial" w:cs="Arial" w:eastAsia="Arial" w:hAnsi="Arial"/>
          <w:b/>
          <w:bCs/>
          <w:sz w:val="24"/>
          <w:szCs w:val="24"/>
        </w:rPr>
        <w:t xml:space="preserve">E. coli has emerged as the leading cause of gram-negative EOS</w:t>
      </w:r>
      <w:r>
        <w:rPr>
          <w:rFonts w:ascii="Arial" w:cs="Arial" w:eastAsia="Arial" w:hAnsi="Arial"/>
          <w:sz w:val="24"/>
          <w:szCs w:val="24"/>
        </w:rPr>
        <w:t xml:space="preserve"> and carries a disproportionately higher mortality rate, particularly among preterm and very low birth weight (VLBW) infants. A systematic review and meta-analysis published in the Pediatric Infectious Disease Journal in 2024 confirmed that gram-negative bacteria now constitute the predominant cause of both EOS (53%) and late-onset sepsis (LOS, 71%) globally.</w:t>
      </w:r>
    </w:p>
    <w:p>
      <w:pPr>
        <w:spacing w:after="160"/>
      </w:pPr>
      <w:r>
        <w:rPr>
          <w:rFonts w:ascii="Arial" w:cs="Arial" w:eastAsia="Arial" w:hAnsi="Arial"/>
          <w:sz w:val="24"/>
          <w:szCs w:val="24"/>
        </w:rPr>
        <w:t xml:space="preserve">For the rural nursery provider, this shift poses unique and critical challenges. Unlike tertiary NICUs with on-site subspecialty infectious disease consultation, 24-hour laboratory turnaround, and immediate neonatal transport capability, the rural Level I or Level II nursery must recognize, initiate empiric therapy, and stabilize these critically ill neonates with limited resources and often significant transport times. The margin for error is thin: delayed recognition or suboptimal empiric coverage in gram-negative sepsis can rapidly progress to fulminant septic shock, disseminated intravascular coagulation (DIC), and death within hours.</w:t>
      </w:r>
    </w:p>
    <w:p>
      <w:pPr>
        <w:spacing w:after="160"/>
      </w:pPr>
      <w:r>
        <w:rPr>
          <w:rFonts w:ascii="Arial" w:cs="Arial" w:eastAsia="Arial" w:hAnsi="Arial"/>
          <w:sz w:val="24"/>
          <w:szCs w:val="24"/>
        </w:rPr>
        <w:t xml:space="preserve">This textbook provides a comprehensive, evidence-based reference for all providers staffing rural nurseries — pediatricians, family medicine physicians, neonatal nurse practitioners, and registered nurses — to ensure that when a neonate presents with suspected or confirmed E. coli or gram-negative sepsis, the clinical team can act decisively and appropriately.</w:t>
      </w:r>
    </w:p>
    <w:p>
      <w:pPr>
        <w:pStyle w:val="Heading2"/>
        <w:spacing w:after="160" w:before="280"/>
      </w:pPr>
      <w:r>
        <w:rPr>
          <w:rFonts w:ascii="Arial" w:cs="Arial" w:eastAsia="Arial" w:hAnsi="Arial"/>
          <w:b/>
          <w:bCs/>
          <w:sz w:val="28"/>
          <w:szCs w:val="28"/>
        </w:rPr>
        <w:t xml:space="preserve">1.2 Scope of Practice Considerations</w:t>
      </w:r>
    </w:p>
    <w:p>
      <w:pPr>
        <w:spacing w:after="160"/>
      </w:pPr>
      <w:r>
        <w:rPr>
          <w:rFonts w:ascii="Arial" w:cs="Arial" w:eastAsia="Arial" w:hAnsi="Arial"/>
          <w:b/>
          <w:bCs/>
          <w:sz w:val="24"/>
          <w:szCs w:val="24"/>
        </w:rPr>
        <w:t xml:space="preserve">Level I (Well Newborn Nursery): </w:t>
      </w:r>
      <w:r>
        <w:rPr>
          <w:rFonts w:ascii="Arial" w:cs="Arial" w:eastAsia="Arial" w:hAnsi="Arial"/>
          <w:sz w:val="24"/>
          <w:szCs w:val="24"/>
        </w:rPr>
        <w:t xml:space="preserve">Capable of providing basic newborn resuscitation, evaluation, and postnatal care to healthy term neonates (generally 35–0/7 weeks and above). Level I nurseries should be able to recognize signs of neonatal sepsis, initiate a sepsis workup including blood cultures, administer first doses of empiric antibiotics, and stabilize a neonate pending transfer. Level I is NOT the definitive care site for confirmed gram-negative sepsis.</w:t>
      </w:r>
    </w:p>
    <w:p>
      <w:pPr>
        <w:spacing w:after="160"/>
      </w:pPr>
      <w:r>
        <w:rPr>
          <w:rFonts w:ascii="Arial" w:cs="Arial" w:eastAsia="Arial" w:hAnsi="Arial"/>
          <w:b/>
          <w:bCs/>
          <w:sz w:val="24"/>
          <w:szCs w:val="24"/>
        </w:rPr>
        <w:t xml:space="preserve">Level II (Special Care Nursery): </w:t>
      </w:r>
      <w:r>
        <w:rPr>
          <w:rFonts w:ascii="Arial" w:cs="Arial" w:eastAsia="Arial" w:hAnsi="Arial"/>
          <w:sz w:val="24"/>
          <w:szCs w:val="24"/>
        </w:rPr>
        <w:t xml:space="preserve">Capable of caring for infants born at or above 32 weeks gestation and weighing at least 1,500 grams. Can provide IV antibiotics, cardiorespiratory monitoring, oxygen therapy, and basic respiratory support (nasal cannula, CPAP). Level II nurseries should manage uncomplicated culture-positive sepsis with organism-directed therapy, provided the neonate remains hemodynamically stable.</w:t>
      </w:r>
    </w:p>
    <w:p>
      <w:pPr>
        <w:spacing w:after="160"/>
      </w:pPr>
      <w:r>
        <w:rPr>
          <w:rFonts w:ascii="Arial" w:cs="Arial" w:eastAsia="Arial" w:hAnsi="Arial"/>
          <w:b/>
          <w:bCs/>
          <w:sz w:val="24"/>
          <w:szCs w:val="24"/>
        </w:rPr>
        <w:t xml:space="preserve">Level II+ (Extended Special Care): </w:t>
      </w:r>
      <w:r>
        <w:rPr>
          <w:rFonts w:ascii="Arial" w:cs="Arial" w:eastAsia="Arial" w:hAnsi="Arial"/>
          <w:sz w:val="24"/>
          <w:szCs w:val="24"/>
        </w:rPr>
        <w:t xml:space="preserve">Some facilities offer enhanced Level II capabilities, including the ability to administer vasopressors, provide short-term mechanical ventilation, and manage more complex antibiotic regimens. The distinction between Level II and II+ is institutionally variable and must be defined by each facility’s capabilities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9C" w:val="clear"/>
            <w:tcMar>
              <w:top w:type="dxa" w:w="120"/>
              <w:left w:type="dxa" w:w="200"/>
              <w:bottom w:type="dxa" w:w="120"/>
              <w:right w:type="dxa" w:w="200"/>
            </w:tcMar>
          </w:tcPr>
          <w:p>
            <w:pPr>
              <w:spacing w:after="80"/>
            </w:pPr>
            <w:r>
              <w:rPr>
                <w:rFonts w:ascii="Arial" w:cs="Arial" w:eastAsia="Arial" w:hAnsi="Arial"/>
                <w:b/>
                <w:bCs/>
                <w:color w:val="7F6000"/>
                <w:sz w:val="24"/>
                <w:szCs w:val="24"/>
              </w:rPr>
              <w:t xml:space="preserve">RURAL CONSIDERATION: Know Your Capabilities</w:t>
            </w:r>
          </w:p>
          <w:p>
            <w:r>
              <w:rPr>
                <w:rFonts w:ascii="Arial" w:cs="Arial" w:eastAsia="Arial" w:hAnsi="Arial"/>
                <w:sz w:val="24"/>
                <w:szCs w:val="24"/>
              </w:rPr>
              <w:t xml:space="preserve">Before any sepsis event occurs, your facility should have a written capabilities assessment that specifies exactly which interventions your team can provide, what medications are stocked (including vasopressors and second-line antibiotics), and what the expected transport time is to the nearest Level III/IV NICU. This document should be reviewed annually and after any staffing or equipment change.</w:t>
            </w:r>
          </w:p>
        </w:tc>
      </w:tr>
    </w:tbl>
    <w:p>
      <w:pPr>
        <w:pStyle w:val="Heading2"/>
        <w:spacing w:after="160" w:before="280"/>
      </w:pPr>
      <w:r>
        <w:rPr>
          <w:rFonts w:ascii="Arial" w:cs="Arial" w:eastAsia="Arial" w:hAnsi="Arial"/>
          <w:b/>
          <w:bCs/>
          <w:sz w:val="28"/>
          <w:szCs w:val="28"/>
        </w:rPr>
        <w:t xml:space="preserve">1.3 How to Use This Guide</w:t>
      </w:r>
    </w:p>
    <w:p>
      <w:pPr>
        <w:spacing w:after="160"/>
      </w:pPr>
      <w:r>
        <w:rPr>
          <w:rFonts w:ascii="Arial" w:cs="Arial" w:eastAsia="Arial" w:hAnsi="Arial"/>
          <w:sz w:val="24"/>
          <w:szCs w:val="24"/>
        </w:rPr>
        <w:t xml:space="preserve">This textbook is organized to mirror the clinical workflow: from foundational pathophysiology to clinical recognition, diagnostic evaluation, empiric and definitive management, transport decision-making, and quality improvement. It is designed to be read sequentially for education or referenced by chapter in a clinical situation. Key clinical values are bolded on first mention. Critical decision points are highlighted in red callout boxes. Rural-specific adaptations are noted in yellow callout boxes. Medication dosing tables appear both in context and consolidated in the appendices.</w:t>
      </w:r>
    </w:p>
    <w:p>
      <w:r>
        <w:br w:type="page"/>
      </w:r>
    </w:p>
    <w:p>
      <w:pPr>
        <w:pStyle w:val="Heading1"/>
        <w:spacing w:after="200" w:before="360"/>
      </w:pPr>
      <w:r>
        <w:rPr>
          <w:rFonts w:ascii="Arial" w:cs="Arial" w:eastAsia="Arial" w:hAnsi="Arial"/>
          <w:b/>
          <w:bCs/>
          <w:sz w:val="32"/>
          <w:szCs w:val="32"/>
        </w:rPr>
        <w:t xml:space="preserve">Chapter 2: Foundational Knowledge</w:t>
      </w:r>
    </w:p>
    <w:p>
      <w:pPr>
        <w:pStyle w:val="Heading2"/>
        <w:spacing w:after="160" w:before="280"/>
      </w:pPr>
      <w:r>
        <w:rPr>
          <w:rFonts w:ascii="Arial" w:cs="Arial" w:eastAsia="Arial" w:hAnsi="Arial"/>
          <w:b/>
          <w:bCs/>
          <w:sz w:val="28"/>
          <w:szCs w:val="28"/>
        </w:rPr>
        <w:t xml:space="preserve">2.1 Microbiology of Escherichia coli</w:t>
      </w:r>
    </w:p>
    <w:p>
      <w:pPr>
        <w:spacing w:after="160"/>
      </w:pPr>
      <w:r>
        <w:rPr>
          <w:rFonts w:ascii="Arial" w:cs="Arial" w:eastAsia="Arial" w:hAnsi="Arial"/>
          <w:b/>
          <w:bCs/>
          <w:i/>
          <w:iCs/>
          <w:sz w:val="24"/>
          <w:szCs w:val="24"/>
        </w:rPr>
        <w:t xml:space="preserve">Escherichia coli</w:t>
      </w:r>
      <w:r>
        <w:rPr>
          <w:rFonts w:ascii="Arial" w:cs="Arial" w:eastAsia="Arial" w:hAnsi="Arial"/>
          <w:sz w:val="24"/>
          <w:szCs w:val="24"/>
        </w:rPr>
        <w:t xml:space="preserve"> is a facultatively anaerobic, gram-negative, rod-shaped bacterium belonging to the family Enterobacteriaceae. It is a normal commensal of the human gastrointestinal tract, where it plays a role in vitamin K synthesis and competitive exclusion of pathogenic organisms. However, certain strains possess virulence factors that enable invasive disease, particularly in the immunologically vulnerable neonate.</w:t>
      </w:r>
    </w:p>
    <w:p>
      <w:pPr>
        <w:pStyle w:val="Heading3"/>
        <w:spacing w:after="120" w:before="200"/>
      </w:pPr>
      <w:r>
        <w:rPr>
          <w:rFonts w:ascii="Arial" w:cs="Arial" w:eastAsia="Arial" w:hAnsi="Arial"/>
          <w:b/>
          <w:bCs/>
          <w:sz w:val="26"/>
          <w:szCs w:val="26"/>
        </w:rPr>
        <w:t xml:space="preserve">2.1.1 Key Virulence Factors in Neonatal E. coli Strains</w:t>
      </w:r>
    </w:p>
    <w:p>
      <w:pPr>
        <w:spacing w:after="160"/>
      </w:pPr>
      <w:r>
        <w:rPr>
          <w:rFonts w:ascii="Arial" w:cs="Arial" w:eastAsia="Arial" w:hAnsi="Arial"/>
          <w:sz w:val="24"/>
          <w:szCs w:val="24"/>
        </w:rPr>
        <w:t xml:space="preserve">The </w:t>
      </w:r>
      <w:r>
        <w:rPr>
          <w:rFonts w:ascii="Arial" w:cs="Arial" w:eastAsia="Arial" w:hAnsi="Arial"/>
          <w:b/>
          <w:bCs/>
          <w:sz w:val="24"/>
          <w:szCs w:val="24"/>
        </w:rPr>
        <w:t xml:space="preserve">K1 capsular polysaccharide</w:t>
      </w:r>
      <w:r>
        <w:rPr>
          <w:rFonts w:ascii="Arial" w:cs="Arial" w:eastAsia="Arial" w:hAnsi="Arial"/>
          <w:sz w:val="24"/>
          <w:szCs w:val="24"/>
        </w:rPr>
        <w:t xml:space="preserve"> is the single most important virulence factor in neonatal E. coli disease. Approximately 80% of E. coli isolates causing neonatal meningitis possess the K1 antigen, a polysialic acid capsule that is structurally identical to the capsule of Neisseria meningitidis serogroup B. The K1 capsule enables the organism to evade complement-mediated killing and phagocytosis, facilitating bloodstream survival and penetration of the blood-brain barrier.</w:t>
      </w:r>
    </w:p>
    <w:p>
      <w:pPr>
        <w:spacing w:after="160"/>
      </w:pPr>
      <w:r>
        <w:rPr>
          <w:rFonts w:ascii="Arial" w:cs="Arial" w:eastAsia="Arial" w:hAnsi="Arial"/>
          <w:sz w:val="24"/>
          <w:szCs w:val="24"/>
        </w:rPr>
        <w:t xml:space="preserve">Additional virulence determinants include Type 1 fimbriae (FimH adhesin) that mediate attachment to uroepithelial and intestinal cells, S fimbriae that facilitate binding to brain endothelial cells, outer membrane protein A (OmpA) which contributes to blood-brain barrier invasion, cytotoxic necrotizing factor 1 (CNF1), and iron acquisition systems (siderophores) that allow the organism to scavenge iron in the iron-restricted environment of the bloodstream.</w:t>
      </w:r>
    </w:p>
    <w:p>
      <w:pPr>
        <w:pStyle w:val="Heading3"/>
        <w:spacing w:after="120" w:before="200"/>
      </w:pPr>
      <w:r>
        <w:rPr>
          <w:rFonts w:ascii="Arial" w:cs="Arial" w:eastAsia="Arial" w:hAnsi="Arial"/>
          <w:b/>
          <w:bCs/>
          <w:sz w:val="26"/>
          <w:szCs w:val="26"/>
        </w:rPr>
        <w:t xml:space="preserve">2.1.2 Other Clinically Significant Gram-Negative Organisms</w:t>
      </w:r>
    </w:p>
    <w:p>
      <w:pPr>
        <w:spacing w:after="160"/>
      </w:pPr>
      <w:r>
        <w:rPr>
          <w:rFonts w:ascii="Arial" w:cs="Arial" w:eastAsia="Arial" w:hAnsi="Arial"/>
          <w:sz w:val="24"/>
          <w:szCs w:val="24"/>
        </w:rPr>
        <w:t xml:space="preserve">While E. coli dominates the gram-negative EOS landscape in the United States, other Enterobacteriaceae and non-fermentative gram-negative rods cause significant neonatal disease, particularly in the late-onset and nosocomial settings.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430"/>
        <w:gridCol w:w="343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Organism</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Clinical Significance</w:t>
            </w:r>
          </w:p>
        </w:tc>
        <w:tc>
          <w:tcPr>
            <w:tcW w:type="dxa" w:w="343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Features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Klebsiella pneumoniae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Second most common gram-negative pathogen globally; leading cause of EOS in many LMICs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Capsule production; increasing ESBL rates; biofilm formation</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Enterobacter cloacae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Emerging nosocomial pathogen; chromosomal AmpC beta-lactamase</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Intrinsic cephalosporin resistance; derepression risk with cephalosporins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Serratia marcescens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NICU outbreaks; high virulence in neonates</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Intrinsic resistance to colistin; pigment production; biofilm on devices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Pseudomonas aeruginosa</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Late-onset and nosocomial; high mortality (40–75%)</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Intrinsic multidrug resistance; biofilm; environmental persistence</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Citrobacter koseri</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 tropism for CNS; brain abscess formation</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 rate of meningitis complications; 30% brain abscess rate</w:t>
            </w:r>
          </w:p>
        </w:tc>
      </w:tr>
    </w:tbl>
    <w:p>
      <w:pPr>
        <w:spacing w:after="160"/>
      </w:pPr>
      <w:r>
        <w:rPr>
          <w:rFonts w:ascii="Arial" w:cs="Arial" w:eastAsia="Arial" w:hAnsi="Arial"/>
          <w:sz w:val="24"/>
          <w:szCs w:val="24"/>
        </w:rPr>
        <w:t xml:space="preserve"/>
      </w:r>
    </w:p>
    <w:p>
      <w:pPr>
        <w:pStyle w:val="Heading2"/>
        <w:spacing w:after="160" w:before="280"/>
      </w:pPr>
      <w:r>
        <w:rPr>
          <w:rFonts w:ascii="Arial" w:cs="Arial" w:eastAsia="Arial" w:hAnsi="Arial"/>
          <w:b/>
          <w:bCs/>
          <w:sz w:val="28"/>
          <w:szCs w:val="28"/>
        </w:rPr>
        <w:t xml:space="preserve">2.2 Pathophysiology of Neonatal Gram-Negative Sepsis</w:t>
      </w:r>
    </w:p>
    <w:p>
      <w:pPr>
        <w:pStyle w:val="Heading3"/>
        <w:spacing w:after="120" w:before="200"/>
      </w:pPr>
      <w:r>
        <w:rPr>
          <w:rFonts w:ascii="Arial" w:cs="Arial" w:eastAsia="Arial" w:hAnsi="Arial"/>
          <w:b/>
          <w:bCs/>
          <w:sz w:val="26"/>
          <w:szCs w:val="26"/>
        </w:rPr>
        <w:t xml:space="preserve">2.2.1 Neonatal Immune Immaturity</w:t>
      </w:r>
    </w:p>
    <w:p>
      <w:pPr>
        <w:spacing w:after="160"/>
      </w:pPr>
      <w:r>
        <w:rPr>
          <w:rFonts w:ascii="Arial" w:cs="Arial" w:eastAsia="Arial" w:hAnsi="Arial"/>
          <w:sz w:val="24"/>
          <w:szCs w:val="24"/>
        </w:rPr>
        <w:t xml:space="preserve">The neonatal immune system is profoundly immature compared to that of older children and adults. This immunologic vulnerability is the fundamental reason why organisms that are commensal in healthy adults cause life-threatening invasive disease in neonates. Key deficiencies include the following:</w:t>
      </w:r>
    </w:p>
    <w:p>
      <w:pPr>
        <w:spacing w:after="160"/>
      </w:pPr>
      <w:r>
        <w:rPr>
          <w:rFonts w:ascii="Arial" w:cs="Arial" w:eastAsia="Arial" w:hAnsi="Arial"/>
          <w:b/>
          <w:bCs/>
          <w:sz w:val="24"/>
          <w:szCs w:val="24"/>
        </w:rPr>
        <w:t xml:space="preserve">Innate immunity: </w:t>
      </w:r>
      <w:r>
        <w:rPr>
          <w:rFonts w:ascii="Arial" w:cs="Arial" w:eastAsia="Arial" w:hAnsi="Arial"/>
          <w:sz w:val="24"/>
          <w:szCs w:val="24"/>
        </w:rPr>
        <w:t xml:space="preserve">Reduced neutrophil storage pools (approximately 20% of adult levels), impaired neutrophil chemotaxis and adhesion, reduced complement levels (particularly the alternative pathway, at 50–60% of adult levels), decreased opsonization capacity, and lower Toll-like receptor expression on monocytes and dendritic cells.</w:t>
      </w:r>
    </w:p>
    <w:p>
      <w:pPr>
        <w:spacing w:after="160"/>
      </w:pPr>
      <w:r>
        <w:rPr>
          <w:rFonts w:ascii="Arial" w:cs="Arial" w:eastAsia="Arial" w:hAnsi="Arial"/>
          <w:b/>
          <w:bCs/>
          <w:sz w:val="24"/>
          <w:szCs w:val="24"/>
        </w:rPr>
        <w:t xml:space="preserve">Adaptive immunity: </w:t>
      </w:r>
      <w:r>
        <w:rPr>
          <w:rFonts w:ascii="Arial" w:cs="Arial" w:eastAsia="Arial" w:hAnsi="Arial"/>
          <w:sz w:val="24"/>
          <w:szCs w:val="24"/>
        </w:rPr>
        <w:t xml:space="preserve">Limited T-cell diversity and a predominance of naïve T cells, reduced cytokine production (especially interferon-gamma and interleukin-12), limited B-cell class switching, and dependence on transplacentally acquired maternal IgG (which declines after birth and is reduced in preterm infants who miss the third-trimester transfer period).</w:t>
      </w:r>
    </w:p>
    <w:p>
      <w:pPr>
        <w:spacing w:after="160"/>
      </w:pPr>
      <w:r>
        <w:rPr>
          <w:rFonts w:ascii="Arial" w:cs="Arial" w:eastAsia="Arial" w:hAnsi="Arial"/>
          <w:b/>
          <w:bCs/>
          <w:sz w:val="24"/>
          <w:szCs w:val="24"/>
        </w:rPr>
        <w:t xml:space="preserve">Barrier defenses: </w:t>
      </w:r>
      <w:r>
        <w:rPr>
          <w:rFonts w:ascii="Arial" w:cs="Arial" w:eastAsia="Arial" w:hAnsi="Arial"/>
          <w:sz w:val="24"/>
          <w:szCs w:val="24"/>
        </w:rPr>
        <w:t xml:space="preserve">Thinner and more permeable skin (especially in preterm infants), immature gastrointestinal mucosal immunity, and reduced secretory IgA production.</w:t>
      </w:r>
    </w:p>
    <w:p>
      <w:pPr>
        <w:pStyle w:val="Heading3"/>
        <w:spacing w:after="120" w:before="200"/>
      </w:pPr>
      <w:r>
        <w:rPr>
          <w:rFonts w:ascii="Arial" w:cs="Arial" w:eastAsia="Arial" w:hAnsi="Arial"/>
          <w:b/>
          <w:bCs/>
          <w:sz w:val="26"/>
          <w:szCs w:val="26"/>
        </w:rPr>
        <w:t xml:space="preserve">2.2.2 The Sepsis Cascade in Neonates</w:t>
      </w:r>
    </w:p>
    <w:p>
      <w:pPr>
        <w:spacing w:after="160"/>
      </w:pPr>
      <w:r>
        <w:rPr>
          <w:rFonts w:ascii="Arial" w:cs="Arial" w:eastAsia="Arial" w:hAnsi="Arial"/>
          <w:sz w:val="24"/>
          <w:szCs w:val="24"/>
        </w:rPr>
        <w:t xml:space="preserve">When gram-negative organisms breach mucosal barriers and enter the bloodstream, the lipopolysaccharide (LPS or endotoxin) component of their outer membrane triggers a cascading inflammatory response. LPS binds to lipopolysaccharide-binding protein (LBP) in plasma, which then transfers LPS to CD14 on monocytes and macrophages. This complex activates Toll-like receptor 4 (TLR4), initiating intracellular signaling via the NF-kB pathway and resulting in the release of pro-inflammatory cytokines: tumor necrosis factor-alpha (TNF-alpha), interleukin-1 beta (IL-1 beta), and interleukin-6 (IL-6).</w:t>
      </w:r>
    </w:p>
    <w:p>
      <w:pPr>
        <w:spacing w:after="160"/>
      </w:pPr>
      <w:r>
        <w:rPr>
          <w:rFonts w:ascii="Arial" w:cs="Arial" w:eastAsia="Arial" w:hAnsi="Arial"/>
          <w:sz w:val="24"/>
          <w:szCs w:val="24"/>
        </w:rPr>
        <w:t xml:space="preserve">In the neonate, the inflammatory response is often dysregulated — paradoxically both excessive (cytokine storm) and inadequate (impaired pathogen clearance). The result is a simultaneous progression of systemic inflammatory response syndrome (SIRS) with endothelial dysfunction, capillary leak, vasodilation, myocardial depression, and impaired oxygen delivery. This sequence progresses to septic shock, multi-organ dysfunction syndrome (MODS), and — if untreated or inadequately treated — death.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20"/>
              <w:left w:type="dxa" w:w="200"/>
              <w:bottom w:type="dxa" w:w="120"/>
              <w:right w:type="dxa" w:w="200"/>
            </w:tcMar>
          </w:tcPr>
          <w:p>
            <w:pPr>
              <w:spacing w:after="80"/>
            </w:pPr>
            <w:r>
              <w:rPr>
                <w:rFonts w:ascii="Arial" w:cs="Arial" w:eastAsia="Arial" w:hAnsi="Arial"/>
                <w:b/>
                <w:bCs/>
                <w:color w:val="C00000"/>
                <w:sz w:val="24"/>
                <w:szCs w:val="24"/>
              </w:rPr>
              <w:t xml:space="preserve">CRITICAL POINT: Gram-Negative Sepsis Progresses Rapidly</w:t>
            </w:r>
          </w:p>
          <w:p>
            <w:r>
              <w:rPr>
                <w:rFonts w:ascii="Arial" w:cs="Arial" w:eastAsia="Arial" w:hAnsi="Arial"/>
                <w:sz w:val="24"/>
                <w:szCs w:val="24"/>
              </w:rPr>
              <w:t xml:space="preserve">Unlike some gram-positive infections that may have a more indolent course, gram-negative sepsis in neonates can progress from subtle clinical signs to fulminant shock and death within 4 to 12 hours. The endotoxin-driven inflammatory cascade operates on a compressed timeline in the immunologically naïve neonate. Every hour of delay in initiating appropriate antibiotics increases mortality.</w:t>
            </w:r>
          </w:p>
        </w:tc>
      </w:tr>
    </w:tbl>
    <w:p>
      <w:pPr>
        <w:pStyle w:val="Heading2"/>
        <w:spacing w:after="160" w:before="280"/>
      </w:pPr>
      <w:r>
        <w:rPr>
          <w:rFonts w:ascii="Arial" w:cs="Arial" w:eastAsia="Arial" w:hAnsi="Arial"/>
          <w:b/>
          <w:bCs/>
          <w:sz w:val="28"/>
          <w:szCs w:val="28"/>
        </w:rPr>
        <w:t xml:space="preserve">2.3 Epidemiology</w:t>
      </w:r>
    </w:p>
    <w:p>
      <w:pPr>
        <w:pStyle w:val="Heading3"/>
        <w:spacing w:after="120" w:before="200"/>
      </w:pPr>
      <w:r>
        <w:rPr>
          <w:rFonts w:ascii="Arial" w:cs="Arial" w:eastAsia="Arial" w:hAnsi="Arial"/>
          <w:b/>
          <w:bCs/>
          <w:sz w:val="26"/>
          <w:szCs w:val="26"/>
        </w:rPr>
        <w:t xml:space="preserve">2.3.1 Incidence in the United States</w:t>
      </w:r>
    </w:p>
    <w:p>
      <w:pPr>
        <w:spacing w:after="160"/>
      </w:pPr>
      <w:r>
        <w:rPr>
          <w:rFonts w:ascii="Arial" w:cs="Arial" w:eastAsia="Arial" w:hAnsi="Arial"/>
          <w:sz w:val="24"/>
          <w:szCs w:val="24"/>
        </w:rPr>
        <w:t xml:space="preserve">In the United States, the overall incidence of culture-confirmed EOS among term and late-preterm neonates (born at 35 weeks gestation or greater) is approximately </w:t>
      </w:r>
      <w:r>
        <w:rPr>
          <w:rFonts w:ascii="Arial" w:cs="Arial" w:eastAsia="Arial" w:hAnsi="Arial"/>
          <w:b/>
          <w:bCs/>
          <w:sz w:val="24"/>
          <w:szCs w:val="24"/>
        </w:rPr>
        <w:t xml:space="preserve">0.5 to 0.8 per 1,000 live births</w:t>
      </w:r>
      <w:r>
        <w:rPr>
          <w:rFonts w:ascii="Arial" w:cs="Arial" w:eastAsia="Arial" w:hAnsi="Arial"/>
          <w:sz w:val="24"/>
          <w:szCs w:val="24"/>
        </w:rPr>
        <w:t xml:space="preserve">. Among very low birth weight (VLBW) infants weighing less than 1,500 grams, the incidence is substantially higher at approximately </w:t>
      </w:r>
      <w:r>
        <w:rPr>
          <w:rFonts w:ascii="Arial" w:cs="Arial" w:eastAsia="Arial" w:hAnsi="Arial"/>
          <w:b/>
          <w:bCs/>
          <w:sz w:val="24"/>
          <w:szCs w:val="24"/>
        </w:rPr>
        <w:t xml:space="preserve">10 to 15 per 1,000 live births</w:t>
      </w:r>
      <w:r>
        <w:rPr>
          <w:rFonts w:ascii="Arial" w:cs="Arial" w:eastAsia="Arial" w:hAnsi="Arial"/>
          <w:sz w:val="24"/>
          <w:szCs w:val="24"/>
        </w:rPr>
        <w:t xml:space="preserve">. E. coli accounts for approximately 24–33% of all EOS cases but is responsible for a disproportionate share of deaths, particularly in preterm infants.</w:t>
      </w:r>
    </w:p>
    <w:p>
      <w:pPr>
        <w:spacing w:after="160"/>
      </w:pPr>
      <w:r>
        <w:rPr>
          <w:rFonts w:ascii="Arial" w:cs="Arial" w:eastAsia="Arial" w:hAnsi="Arial"/>
          <w:sz w:val="24"/>
          <w:szCs w:val="24"/>
        </w:rPr>
        <w:t xml:space="preserve">The 2024 systematic review and meta-analysis by Harrison et al., published in the Pediatric Infectious Disease Journal, analyzed 4,347 significant bacterial isolates across 25 countries and found that gram-negative bacteria now constitute 53% of all EOS cases globally. While GBS remains the most common single EOS pathogen in high-income countries, E. coli is the most common gram-negative pathogen and the second most common overall pathogen in EOS in the United States.</w:t>
      </w:r>
    </w:p>
    <w:p>
      <w:pPr>
        <w:pStyle w:val="Heading3"/>
        <w:spacing w:after="120" w:before="200"/>
      </w:pPr>
      <w:r>
        <w:rPr>
          <w:rFonts w:ascii="Arial" w:cs="Arial" w:eastAsia="Arial" w:hAnsi="Arial"/>
          <w:b/>
          <w:bCs/>
          <w:sz w:val="26"/>
          <w:szCs w:val="26"/>
        </w:rPr>
        <w:t xml:space="preserve">2.3.2 The Impact of Intrapartum Antibiotic Prophylaxis</w:t>
      </w:r>
    </w:p>
    <w:p>
      <w:pPr>
        <w:spacing w:after="160"/>
      </w:pPr>
      <w:r>
        <w:rPr>
          <w:rFonts w:ascii="Arial" w:cs="Arial" w:eastAsia="Arial" w:hAnsi="Arial"/>
          <w:sz w:val="24"/>
          <w:szCs w:val="24"/>
        </w:rPr>
        <w:t xml:space="preserve">The widespread adoption of intrapartum antibiotic prophylaxis (IAP) for GBS-colonized mothers, recommended by the ACOG/AAP since the mid-1990s, has dramatically reduced the incidence of GBS EOS. However, this public health success has been accompanied by a relative increase in the proportion of E. coli EOS cases. A critical and concerning observation is that </w:t>
      </w:r>
      <w:r>
        <w:rPr>
          <w:rFonts w:ascii="Arial" w:cs="Arial" w:eastAsia="Arial" w:hAnsi="Arial"/>
          <w:b/>
          <w:bCs/>
          <w:sz w:val="24"/>
          <w:szCs w:val="24"/>
        </w:rPr>
        <w:t xml:space="preserve">ampicillin resistance among E. coli isolates causing neonatal EOS has risen to approximately 70–85%</w:t>
      </w:r>
      <w:r>
        <w:rPr>
          <w:rFonts w:ascii="Arial" w:cs="Arial" w:eastAsia="Arial" w:hAnsi="Arial"/>
          <w:sz w:val="24"/>
          <w:szCs w:val="24"/>
        </w:rPr>
        <w:t xml:space="preserve"> in many US centers. This is clinically significant because ampicillin plus gentamicin remains the standard empiric regimen for suspected EOS.</w:t>
      </w:r>
    </w:p>
    <w:p>
      <w:pPr>
        <w:spacing w:after="160"/>
      </w:pPr>
      <w:r>
        <w:rPr>
          <w:rFonts w:ascii="Arial" w:cs="Arial" w:eastAsia="Arial" w:hAnsi="Arial"/>
          <w:sz w:val="24"/>
          <w:szCs w:val="24"/>
        </w:rPr>
        <w:t xml:space="preserve">Daniels et al. (2023) reported from a single US center (CHOC Children’s Hospital) that E. coli occurred in 50% of gram-negative EOS cases, with 85.7% of E. coli isolates demonstrating ampicillin resistance. All deaths in their cohort were attributable to E. coli. Mortality was 23.8% overall, with the highest rates in neonates weighing less than 1,500 grams.</w:t>
      </w:r>
    </w:p>
    <w:p>
      <w:pPr>
        <w:pStyle w:val="Heading3"/>
        <w:spacing w:after="120" w:before="200"/>
      </w:pPr>
      <w:r>
        <w:rPr>
          <w:rFonts w:ascii="Arial" w:cs="Arial" w:eastAsia="Arial" w:hAnsi="Arial"/>
          <w:b/>
          <w:bCs/>
          <w:sz w:val="26"/>
          <w:szCs w:val="26"/>
        </w:rPr>
        <w:t xml:space="preserve">2.3.3 Risk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Risk Factor</w:t>
            </w:r>
          </w:p>
        </w:tc>
        <w:tc>
          <w:tcPr>
            <w:tcW w:type="dxa" w:w="5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Mechanism / Significance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Prematurity (especially &lt; 34 weeks)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Immune immaturity; reduced transplacental IgG transfer; prolonged hospitalization exposure</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Very low birth weight (&lt; 1,500 g)</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Strongest single predictor of E. coli EOS mortality</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Prolonged rupture of membranes (&gt; 18 hours)</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Ascending infection from vaginal flora; loss of amniotic fluid antimicrobial properties</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Maternal chorioamnionitis / intra-amniotic infection</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Direct exposure to infected amniotic fluid; inflammatory activation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Maternal GBS colonization with IAP exposure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IAP selects for resistant gram-negative organisms, particularly ampicillin-resistant E. coli</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Maternal urinary tract infection with E. coli</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Heavy maternal colonization increases vertical transmission risk</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Maternal fever &gt; 38.0°C (100.4°F) during labor</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Marker of possible intra-amniotic infection</w:t>
            </w:r>
          </w:p>
        </w:tc>
      </w:tr>
      <w:tr>
        <w:tc>
          <w:tcPr>
            <w:tcW w:type="dxa" w:w="4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Preterm labor without identifiable cause</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Infection may be the underlying precipitant of preterm delivery</w:t>
            </w:r>
          </w:p>
        </w:tc>
      </w:tr>
    </w:tbl>
    <w:p>
      <w:pPr>
        <w:spacing w:after="160"/>
      </w:pPr>
      <w:r>
        <w:rPr>
          <w:rFonts w:ascii="Arial" w:cs="Arial" w:eastAsia="Arial" w:hAnsi="Arial"/>
          <w:sz w:val="24"/>
          <w:szCs w:val="24"/>
        </w:rPr>
        <w:t xml:space="preserve"/>
      </w:r>
    </w:p>
    <w:p>
      <w:r>
        <w:br w:type="page"/>
      </w:r>
    </w:p>
    <w:p>
      <w:pPr>
        <w:pStyle w:val="Heading1"/>
        <w:spacing w:after="200" w:before="360"/>
      </w:pPr>
      <w:r>
        <w:rPr>
          <w:rFonts w:ascii="Arial" w:cs="Arial" w:eastAsia="Arial" w:hAnsi="Arial"/>
          <w:b/>
          <w:bCs/>
          <w:sz w:val="32"/>
          <w:szCs w:val="32"/>
        </w:rPr>
        <w:t xml:space="preserve">Chapter 3: Clinical Presentation and Assessment</w:t>
      </w:r>
    </w:p>
    <w:p>
      <w:pPr>
        <w:pStyle w:val="Heading2"/>
        <w:spacing w:after="160" w:before="280"/>
      </w:pPr>
      <w:r>
        <w:rPr>
          <w:rFonts w:ascii="Arial" w:cs="Arial" w:eastAsia="Arial" w:hAnsi="Arial"/>
          <w:b/>
          <w:bCs/>
          <w:sz w:val="28"/>
          <w:szCs w:val="28"/>
        </w:rPr>
        <w:t xml:space="preserve">3.1 Signs and Symptoms</w:t>
      </w:r>
    </w:p>
    <w:p>
      <w:pPr>
        <w:spacing w:after="160"/>
      </w:pPr>
      <w:r>
        <w:rPr>
          <w:rFonts w:ascii="Arial" w:cs="Arial" w:eastAsia="Arial" w:hAnsi="Arial"/>
          <w:sz w:val="24"/>
          <w:szCs w:val="24"/>
        </w:rPr>
        <w:t xml:space="preserve">The clinical presentation of neonatal sepsis is notoriously nonspecific. There is no pathognomonic sign that distinguishes bacterial sepsis from noninfectious causes of neonatal illness. This diagnostic uncertainty is one of the greatest challenges in neonatal medicine and is amplified in the rural setting where clinical suspicion must be high and the threshold for evaluation low.</w:t>
      </w:r>
    </w:p>
    <w:p>
      <w:pPr>
        <w:spacing w:after="160"/>
      </w:pPr>
      <w:r>
        <w:rPr>
          <w:rFonts w:ascii="Arial" w:cs="Arial" w:eastAsia="Arial" w:hAnsi="Arial"/>
          <w:sz w:val="24"/>
          <w:szCs w:val="24"/>
        </w:rPr>
        <w:t xml:space="preserve">The most common presenting symptom of neonatal EOS is respiratory distress, which may manifest as tachypnea (respiratory rate &gt; 60 breaths per minute), grunting, nasal flaring, intercostal or subcostal retractions, or oxygen desaturation. It is critical to recognize that respiratory distress in a neonate is sepsis until proven otherwise, particularly when risk factors for infection are present.</w:t>
      </w:r>
    </w:p>
    <w:p>
      <w:pPr>
        <w:pStyle w:val="Heading3"/>
        <w:spacing w:after="120" w:before="200"/>
      </w:pPr>
      <w:r>
        <w:rPr>
          <w:rFonts w:ascii="Arial" w:cs="Arial" w:eastAsia="Arial" w:hAnsi="Arial"/>
          <w:b/>
          <w:bCs/>
          <w:sz w:val="26"/>
          <w:szCs w:val="26"/>
        </w:rPr>
        <w:t xml:space="preserve">3.1.1 Clinical Signs by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System</w:t>
            </w:r>
          </w:p>
        </w:tc>
        <w:tc>
          <w:tcPr>
            <w:tcW w:type="dxa" w:w="6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Signs / Symptoms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Respiratory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Tachypnea, grunting, flaring, retractions, apnea, oxygen requirement, cyanosis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Cardiovascular</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Tachycardia (HR &gt; 160–180 bpm), bradycardia (HR &lt; 100 bpm), poor perfusion, prolonged capillary refill (&gt; 3 seconds), hypotension, mottled skin color</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Neurologic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Lethargy, irritability, hypotonia, seizures, bulging fontanelle (late sign suggestive of meningitis), altered level of consciousness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Gastrointestinal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Feeding intolerance, abdominal distention, vomiting, diarrhea, bilious output</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Thermoregulatory</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Fever (&gt; 38.0°C / 100.4°F) or hypothermia (&lt; 36.5°C / 97.7°F); temperature instability is more common than isolated fever in neonates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Hematologic</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Petechiae, purpura, oozing from puncture sites (signs of DIC), jaundice (especially early or rapidly progressing)</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General / Behavioral</w:t>
            </w:r>
          </w:p>
        </w:tc>
        <w:tc>
          <w:tcPr>
            <w:tcW w:type="dxa" w:w="6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"Not looking right" to experienced nurses; decreased spontaneous movement; weak cry; poor Moro reflex</w:t>
            </w:r>
          </w:p>
        </w:tc>
      </w:tr>
    </w:tbl>
    <w:p>
      <w:pPr>
        <w:spacing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20"/>
              <w:left w:type="dxa" w:w="200"/>
              <w:bottom w:type="dxa" w:w="120"/>
              <w:right w:type="dxa" w:w="200"/>
            </w:tcMar>
          </w:tcPr>
          <w:p>
            <w:pPr>
              <w:spacing w:after="80"/>
            </w:pPr>
            <w:r>
              <w:rPr>
                <w:rFonts w:ascii="Arial" w:cs="Arial" w:eastAsia="Arial" w:hAnsi="Arial"/>
                <w:b/>
                <w:bCs/>
                <w:color w:val="C00000"/>
                <w:sz w:val="24"/>
                <w:szCs w:val="24"/>
              </w:rPr>
              <w:t xml:space="preserve">CRITICAL POINT: Trust the Nurse’s Gut Feeling</w:t>
            </w:r>
          </w:p>
          <w:p>
            <w:r>
              <w:rPr>
                <w:rFonts w:ascii="Arial" w:cs="Arial" w:eastAsia="Arial" w:hAnsi="Arial"/>
                <w:sz w:val="24"/>
                <w:szCs w:val="24"/>
              </w:rPr>
              <w:t xml:space="preserve">In the rural nursery, the experienced bedside nurse is often the first to identify subtle clinical changes. Statements like “this baby doesn’t look right” or “something has changed” should always trigger a formal clinical assessment and consideration of a sepsis evaluation. Multiple studies have demonstrated that clinical gestalt, combined with serial physical examinations, has comparable sensitivity to laboratory-based screening tools for identifying neonates who develop EOS.</w:t>
            </w:r>
          </w:p>
        </w:tc>
      </w:tr>
    </w:tbl>
    <w:p>
      <w:pPr>
        <w:pStyle w:val="Heading2"/>
        <w:spacing w:after="160" w:before="280"/>
      </w:pPr>
      <w:r>
        <w:rPr>
          <w:rFonts w:ascii="Arial" w:cs="Arial" w:eastAsia="Arial" w:hAnsi="Arial"/>
          <w:b/>
          <w:bCs/>
          <w:sz w:val="28"/>
          <w:szCs w:val="28"/>
        </w:rPr>
        <w:t xml:space="preserve">3.2 Distinguishing EOS from LOS</w:t>
      </w:r>
    </w:p>
    <w:p>
      <w:pPr>
        <w:spacing w:after="160"/>
      </w:pPr>
      <w:r>
        <w:rPr>
          <w:rFonts w:ascii="Arial" w:cs="Arial" w:eastAsia="Arial" w:hAnsi="Arial"/>
          <w:b/>
          <w:bCs/>
          <w:sz w:val="24"/>
          <w:szCs w:val="24"/>
        </w:rPr>
        <w:t xml:space="preserve">Early-onset sepsis (EOS)</w:t>
      </w:r>
      <w:r>
        <w:rPr>
          <w:rFonts w:ascii="Arial" w:cs="Arial" w:eastAsia="Arial" w:hAnsi="Arial"/>
          <w:sz w:val="24"/>
          <w:szCs w:val="24"/>
        </w:rPr>
        <w:t xml:space="preserve"> is defined as sepsis occurring within the first 72 hours of life (some definitions use the first 7 days). EOS is caused by organisms acquired from the maternal genital tract during labor and delivery. The two dominant pathogens are GBS and E. coli. EOS typically presents within the first 24 hours of life, though presentation can be delayed up to 72 hours. In the United States, approximately 85% of EOS cases present within the first 24 hours.</w:t>
      </w:r>
    </w:p>
    <w:p>
      <w:pPr>
        <w:spacing w:after="160"/>
      </w:pPr>
      <w:r>
        <w:rPr>
          <w:rFonts w:ascii="Arial" w:cs="Arial" w:eastAsia="Arial" w:hAnsi="Arial"/>
          <w:b/>
          <w:bCs/>
          <w:sz w:val="24"/>
          <w:szCs w:val="24"/>
        </w:rPr>
        <w:t xml:space="preserve">Late-onset sepsis (LOS)</w:t>
      </w:r>
      <w:r>
        <w:rPr>
          <w:rFonts w:ascii="Arial" w:cs="Arial" w:eastAsia="Arial" w:hAnsi="Arial"/>
          <w:sz w:val="24"/>
          <w:szCs w:val="24"/>
        </w:rPr>
        <w:t xml:space="preserve"> occurs after 72 hours (or 7 days, depending on the definition) and up to 28 days of life. LOS may be community-acquired (primarily E. coli, GBS, or other gram-negatives) or hospital-acquired (coagulase-negative Staphylococci, Staphylococcus aureus, gram-negative rods, Candida species). For the rural Level II nursery, both community-acquired LOS in recently discharged infants who return and hospital-acquired LOS in prolonged-stay infants are clinically relevant.</w:t>
      </w:r>
    </w:p>
    <w:p>
      <w:pPr>
        <w:pStyle w:val="Heading2"/>
        <w:spacing w:after="160" w:before="280"/>
      </w:pPr>
      <w:r>
        <w:rPr>
          <w:rFonts w:ascii="Arial" w:cs="Arial" w:eastAsia="Arial" w:hAnsi="Arial"/>
          <w:b/>
          <w:bCs/>
          <w:sz w:val="28"/>
          <w:szCs w:val="28"/>
        </w:rPr>
        <w:t xml:space="preserve">3.3 Differential Diagnosis</w:t>
      </w:r>
    </w:p>
    <w:p>
      <w:pPr>
        <w:spacing w:after="160"/>
      </w:pPr>
      <w:r>
        <w:rPr>
          <w:rFonts w:ascii="Arial" w:cs="Arial" w:eastAsia="Arial" w:hAnsi="Arial"/>
          <w:sz w:val="24"/>
          <w:szCs w:val="24"/>
        </w:rPr>
        <w:t xml:space="preserve">The nonspecific nature of neonatal sepsis signs necessitates a broad differential diagnosis, particularly for respiratory distress, which is the most common presenting symptom: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Diagnosis</w:t>
            </w:r>
          </w:p>
        </w:tc>
        <w:tc>
          <w:tcPr>
            <w:tcW w:type="dxa" w:w="58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Distinguishing Features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Transient tachypnea of the newborn (TTN)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Term/near-term, C-section delivery, rapid onset, resolves within 24–72 hours, no risk factors for infection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Respiratory distress syndrome (RDS)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Preterm, progressive, symmetric ground-glass appearance on chest X-ray, improves with surfactant</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Meconium aspiration syndrome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Meconium-stained fluid, term/post-term, respiratory distress from birth</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Pneumothorax</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Acute deterioration, asymmetric breath sounds, transillumination positive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Congenital heart disease</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Persistent cyanosis despite supplemental oxygen, heart murmur, abnormal pre/post ductal saturations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Inborn errors of metabolism</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Poor feeding, lethargy, metabolic acidosis with high anion gap, hyperammonemia</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Neonatal herpes simplex virus (HSV)</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Vesicular skin lesions, seizures, maternal history of genital herpes; consider in any neonate with sepsis-like presentation and negative bacterial cultures</w:t>
            </w:r>
          </w:p>
        </w:tc>
      </w:tr>
    </w:tbl>
    <w:p>
      <w:pPr>
        <w:spacing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9C" w:val="clear"/>
            <w:tcMar>
              <w:top w:type="dxa" w:w="120"/>
              <w:left w:type="dxa" w:w="200"/>
              <w:bottom w:type="dxa" w:w="120"/>
              <w:right w:type="dxa" w:w="200"/>
            </w:tcMar>
          </w:tcPr>
          <w:p>
            <w:pPr>
              <w:spacing w:after="80"/>
            </w:pPr>
            <w:r>
              <w:rPr>
                <w:rFonts w:ascii="Arial" w:cs="Arial" w:eastAsia="Arial" w:hAnsi="Arial"/>
                <w:b/>
                <w:bCs/>
                <w:color w:val="7F6000"/>
                <w:sz w:val="24"/>
                <w:szCs w:val="24"/>
              </w:rPr>
              <w:t xml:space="preserve">RURAL CONSIDERATION: When in Doubt, Treat</w:t>
            </w:r>
          </w:p>
          <w:p>
            <w:r>
              <w:rPr>
                <w:rFonts w:ascii="Arial" w:cs="Arial" w:eastAsia="Arial" w:hAnsi="Arial"/>
                <w:sz w:val="24"/>
                <w:szCs w:val="24"/>
              </w:rPr>
              <w:t xml:space="preserve">In the rural setting with limited diagnostic capability, the safest approach for a neonate with clinical signs compatible with sepsis is to obtain cultures and initiate empiric antibiotic therapy while simultaneously evaluating for noninfectious causes. The consequences of undertreating true gram-negative sepsis far outweigh the risks of a short course of empiric antibiotics in a neonate who ultimately proves to be uninfected.</w:t>
            </w:r>
          </w:p>
        </w:tc>
      </w:tr>
    </w:tbl>
    <w:p>
      <w:r>
        <w:br w:type="page"/>
      </w:r>
    </w:p>
    <w:p>
      <w:pPr>
        <w:pStyle w:val="Heading1"/>
        <w:spacing w:after="200" w:before="360"/>
      </w:pPr>
      <w:r>
        <w:rPr>
          <w:rFonts w:ascii="Arial" w:cs="Arial" w:eastAsia="Arial" w:hAnsi="Arial"/>
          <w:b/>
          <w:bCs/>
          <w:sz w:val="32"/>
          <w:szCs w:val="32"/>
        </w:rPr>
        <w:t xml:space="preserve">Chapter 4: Diagnostic Approach</w:t>
      </w:r>
    </w:p>
    <w:p>
      <w:pPr>
        <w:pStyle w:val="Heading2"/>
        <w:spacing w:after="160" w:before="280"/>
      </w:pPr>
      <w:r>
        <w:rPr>
          <w:rFonts w:ascii="Arial" w:cs="Arial" w:eastAsia="Arial" w:hAnsi="Arial"/>
          <w:b/>
          <w:bCs/>
          <w:sz w:val="28"/>
          <w:szCs w:val="28"/>
        </w:rPr>
        <w:t xml:space="preserve">4.1 Blood Culture</w:t>
      </w:r>
    </w:p>
    <w:p>
      <w:pPr>
        <w:spacing w:after="160"/>
      </w:pPr>
      <w:r>
        <w:rPr>
          <w:rFonts w:ascii="Arial" w:cs="Arial" w:eastAsia="Arial" w:hAnsi="Arial"/>
          <w:sz w:val="24"/>
          <w:szCs w:val="24"/>
        </w:rPr>
        <w:t xml:space="preserve">The </w:t>
      </w:r>
      <w:r>
        <w:rPr>
          <w:rFonts w:ascii="Arial" w:cs="Arial" w:eastAsia="Arial" w:hAnsi="Arial"/>
          <w:b/>
          <w:bCs/>
          <w:sz w:val="24"/>
          <w:szCs w:val="24"/>
        </w:rPr>
        <w:t xml:space="preserve">blood culture remains the gold standard</w:t>
      </w:r>
      <w:r>
        <w:rPr>
          <w:rFonts w:ascii="Arial" w:cs="Arial" w:eastAsia="Arial" w:hAnsi="Arial"/>
          <w:sz w:val="24"/>
          <w:szCs w:val="24"/>
        </w:rPr>
        <w:t xml:space="preserve"> for diagnosis of neonatal sepsis. A minimum volume of </w:t>
      </w:r>
      <w:r>
        <w:rPr>
          <w:rFonts w:ascii="Arial" w:cs="Arial" w:eastAsia="Arial" w:hAnsi="Arial"/>
          <w:b/>
          <w:bCs/>
          <w:sz w:val="24"/>
          <w:szCs w:val="24"/>
        </w:rPr>
        <w:t xml:space="preserve">1 mL</w:t>
      </w:r>
      <w:r>
        <w:rPr>
          <w:rFonts w:ascii="Arial" w:cs="Arial" w:eastAsia="Arial" w:hAnsi="Arial"/>
          <w:sz w:val="24"/>
          <w:szCs w:val="24"/>
        </w:rPr>
        <w:t xml:space="preserve"> should be inoculated into a single aerobic blood culture bottle. Studies have demonstrated that inadequate blood volume is the single most common cause of false-negative blood cultures. At low-level bacteremia (fewer than 4 CFU/mL, common in neonates), a 0.5 mL sample has a detection rate of only approximately 36%, while a 1 mL sample achieves approximately 72% detection.</w:t>
      </w:r>
    </w:p>
    <w:p>
      <w:pPr>
        <w:spacing w:after="160"/>
      </w:pPr>
      <w:r>
        <w:rPr>
          <w:rFonts w:ascii="Arial" w:cs="Arial" w:eastAsia="Arial" w:hAnsi="Arial"/>
          <w:sz w:val="24"/>
          <w:szCs w:val="24"/>
        </w:rPr>
        <w:t xml:space="preserve">Blood cultures should be obtained prior to the administration of antibiotics whenever possible, but antibiotic administration should never be delayed for culture collection in a critically ill neonate. Most true pathogens will be detected within 24 to 36 hours with modern continuous-monitoring blood culture systems (e.g., BacT/ALERT, BACTEC). Current evidence supports discontinuation of empiric antibiotics at 24 to 36 hours if the blood culture remains negative AND the clinical condition has improved or stabilized.</w:t>
      </w:r>
    </w:p>
    <w:p>
      <w:pPr>
        <w:pStyle w:val="Heading2"/>
        <w:spacing w:after="160" w:before="280"/>
      </w:pPr>
      <w:r>
        <w:rPr>
          <w:rFonts w:ascii="Arial" w:cs="Arial" w:eastAsia="Arial" w:hAnsi="Arial"/>
          <w:b/>
          <w:bCs/>
          <w:sz w:val="28"/>
          <w:szCs w:val="28"/>
        </w:rPr>
        <w:t xml:space="preserve">4.2 Lumbar Puncture</w:t>
      </w:r>
    </w:p>
    <w:p>
      <w:pPr>
        <w:spacing w:after="160"/>
      </w:pPr>
      <w:r>
        <w:rPr>
          <w:rFonts w:ascii="Arial" w:cs="Arial" w:eastAsia="Arial" w:hAnsi="Arial"/>
          <w:sz w:val="24"/>
          <w:szCs w:val="24"/>
        </w:rPr>
        <w:t xml:space="preserve">Lumbar puncture (LP) for cerebrospinal fluid (CSF) analysis and culture should be performed in the following situations: </w:t>
      </w:r>
      <w:r>
        <w:rPr>
          <w:rFonts w:ascii="Arial" w:cs="Arial" w:eastAsia="Arial" w:hAnsi="Arial"/>
          <w:b/>
          <w:bCs/>
          <w:sz w:val="24"/>
          <w:szCs w:val="24"/>
        </w:rPr>
        <w:t xml:space="preserve">(1)</w:t>
      </w:r>
      <w:r>
        <w:rPr>
          <w:rFonts w:ascii="Arial" w:cs="Arial" w:eastAsia="Arial" w:hAnsi="Arial"/>
          <w:sz w:val="24"/>
          <w:szCs w:val="24"/>
        </w:rPr>
        <w:t xml:space="preserve"> blood culture-proven bacteremia, </w:t>
      </w:r>
      <w:r>
        <w:rPr>
          <w:rFonts w:ascii="Arial" w:cs="Arial" w:eastAsia="Arial" w:hAnsi="Arial"/>
          <w:b/>
          <w:bCs/>
          <w:sz w:val="24"/>
          <w:szCs w:val="24"/>
        </w:rPr>
        <w:t xml:space="preserve">(2)</w:t>
      </w:r>
      <w:r>
        <w:rPr>
          <w:rFonts w:ascii="Arial" w:cs="Arial" w:eastAsia="Arial" w:hAnsi="Arial"/>
          <w:sz w:val="24"/>
          <w:szCs w:val="24"/>
        </w:rPr>
        <w:t xml:space="preserve"> critical illness or clinical deterioration, </w:t>
      </w:r>
      <w:r>
        <w:rPr>
          <w:rFonts w:ascii="Arial" w:cs="Arial" w:eastAsia="Arial" w:hAnsi="Arial"/>
          <w:b/>
          <w:bCs/>
          <w:sz w:val="24"/>
          <w:szCs w:val="24"/>
        </w:rPr>
        <w:t xml:space="preserve">(3)</w:t>
      </w:r>
      <w:r>
        <w:rPr>
          <w:rFonts w:ascii="Arial" w:cs="Arial" w:eastAsia="Arial" w:hAnsi="Arial"/>
          <w:sz w:val="24"/>
          <w:szCs w:val="24"/>
        </w:rPr>
        <w:t xml:space="preserve"> neurological symptoms (seizures, altered consciousness, bulging fontanelle), or </w:t>
      </w:r>
      <w:r>
        <w:rPr>
          <w:rFonts w:ascii="Arial" w:cs="Arial" w:eastAsia="Arial" w:hAnsi="Arial"/>
          <w:b/>
          <w:bCs/>
          <w:sz w:val="24"/>
          <w:szCs w:val="24"/>
        </w:rPr>
        <w:t xml:space="preserve">(4)</w:t>
      </w:r>
      <w:r>
        <w:rPr>
          <w:rFonts w:ascii="Arial" w:cs="Arial" w:eastAsia="Arial" w:hAnsi="Arial"/>
          <w:sz w:val="24"/>
          <w:szCs w:val="24"/>
        </w:rPr>
        <w:t xml:space="preserve"> when clinical suspicion for meningitis is high regardless of blood culture status. LP should </w:t>
      </w:r>
      <w:r>
        <w:rPr>
          <w:rFonts w:ascii="Arial" w:cs="Arial" w:eastAsia="Arial" w:hAnsi="Arial"/>
          <w:b/>
          <w:bCs/>
          <w:sz w:val="24"/>
          <w:szCs w:val="24"/>
        </w:rPr>
        <w:t xml:space="preserve">not</w:t>
      </w:r>
      <w:r>
        <w:rPr>
          <w:rFonts w:ascii="Arial" w:cs="Arial" w:eastAsia="Arial" w:hAnsi="Arial"/>
          <w:sz w:val="24"/>
          <w:szCs w:val="24"/>
        </w:rPr>
        <w:t xml:space="preserve"> be performed if the neonate is too hemodynamically unstable to tolerate the procedure; in this case, LP should be deferred until stabilization and empiric meningitis-dose antibiotics should be administered.</w:t>
      </w:r>
    </w:p>
    <w:p>
      <w:pPr>
        <w:pStyle w:val="Heading3"/>
        <w:spacing w:after="120" w:before="200"/>
      </w:pPr>
      <w:r>
        <w:rPr>
          <w:rFonts w:ascii="Arial" w:cs="Arial" w:eastAsia="Arial" w:hAnsi="Arial"/>
          <w:b/>
          <w:bCs/>
          <w:sz w:val="26"/>
          <w:szCs w:val="26"/>
        </w:rPr>
        <w:t xml:space="preserve">4.2.1 CSF Normal Values in Neonates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Parameter</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Term Neonates</w:t>
            </w:r>
          </w:p>
        </w:tc>
        <w:tc>
          <w:tcPr>
            <w:tcW w:type="dxa" w:w="351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Preterm Neonates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WBC count</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0–32 cells/mm³ (mean ~8)</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0–29 cells/mm³ (mean ~9)</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Protein</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20–170 mg/dL (mean ~90)</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65–150 mg/dL (mean ~115)</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Glucose</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34–119 mg/dL (mean ~52)</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24–63 mg/dL (mean ~50)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CSF:serum glucose ratio</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0.6 (generally)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&gt; 0.55 (generally)</w:t>
            </w:r>
          </w:p>
        </w:tc>
      </w:tr>
    </w:tbl>
    <w:p>
      <w:pPr>
        <w:spacing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20"/>
              <w:left w:type="dxa" w:w="200"/>
              <w:bottom w:type="dxa" w:w="120"/>
              <w:right w:type="dxa" w:w="200"/>
            </w:tcMar>
          </w:tcPr>
          <w:p>
            <w:pPr>
              <w:spacing w:after="80"/>
            </w:pPr>
            <w:r>
              <w:rPr>
                <w:rFonts w:ascii="Arial" w:cs="Arial" w:eastAsia="Arial" w:hAnsi="Arial"/>
                <w:b/>
                <w:bCs/>
                <w:color w:val="C00000"/>
                <w:sz w:val="24"/>
                <w:szCs w:val="24"/>
              </w:rPr>
              <w:t xml:space="preserve">CRITICAL POINT: E. coli Meningitis Is a Medical Emergency</w:t>
            </w:r>
          </w:p>
          <w:p>
            <w:r>
              <w:rPr>
                <w:rFonts w:ascii="Arial" w:cs="Arial" w:eastAsia="Arial" w:hAnsi="Arial"/>
                <w:sz w:val="24"/>
                <w:szCs w:val="24"/>
              </w:rPr>
              <w:t xml:space="preserve">E. coli is the most common cause of gram-negative neonatal meningitis. K1 capsular strains account for approximately 80% of cases. E. coli meningitis carries a mortality rate of 15–40% and a long-term morbidity rate (neurologic sequelae including hearing loss, seizure disorders, hydrocephalus, intellectual disability) of 30–50% among survivors. When E. coli meningitis is suspected or confirmed, the antibiotic regimen MUST include an agent with reliable CSF penetration — aminoglycosides alone are NOT adequate.</w:t>
            </w:r>
          </w:p>
        </w:tc>
      </w:tr>
    </w:tbl>
    <w:p>
      <w:pPr>
        <w:pStyle w:val="Heading2"/>
        <w:spacing w:after="160" w:before="280"/>
      </w:pPr>
      <w:r>
        <w:rPr>
          <w:rFonts w:ascii="Arial" w:cs="Arial" w:eastAsia="Arial" w:hAnsi="Arial"/>
          <w:b/>
          <w:bCs/>
          <w:sz w:val="28"/>
          <w:szCs w:val="28"/>
        </w:rPr>
        <w:t xml:space="preserve">4.3 Laboratory Studies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Test</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Value in Sepsis Evaluation</w:t>
            </w:r>
          </w:p>
        </w:tc>
        <w:tc>
          <w:tcPr>
            <w:tcW w:type="dxa" w:w="35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Limitations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Complete blood count (CBC) with differential</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WBC &lt; 5,000 or &gt; 30,000, I:T ratio &gt; 0.2, ANC &lt; 1,000 (neutropenia) raise concern for infection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Low sensitivity (approximately 50%); normal CBC does not exclude sepsis; values vary with gestational and postnatal age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C-reactive protein (CRP)</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Rises 6–12 hours after infection onset; serial CRP (at 24 and 48 hours) has higher negative predictive value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Poor positive predictive value for a single measurement; elevated by many non-infectious conditions (meconium aspiration, birth trauma, maternal fever)</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Procalcitonin (PCT)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Rises earlier than CRP (2–4 hours); may be useful in the first 24 hours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Physiologic rise in first 24–48 hours of life in healthy neonates complicates interpretation; availability may be limited in rural labs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Blood glucose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Hypoglycemia or hyperglycemia may indicate sepsis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Non-specific; many other causes of neonatal glucose instability</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Arterial or capillary blood gas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Metabolic acidosis (low pH, elevated base deficit, elevated lactate) suggests tissue hypoperfusion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Requires arterial access or adequate capillary sample; lactate may be falsely elevated from poor sampling technique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Lactate</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Elevated lactate (&gt; 2.5 mmol/L) is a marker of tissue hypoperfusion and may indicate septic shock</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Must be interpreted in clinical context; cold-stressed neonates may have elevated lactate without infection</w:t>
            </w:r>
          </w:p>
        </w:tc>
      </w:tr>
    </w:tbl>
    <w:p>
      <w:pPr>
        <w:spacing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9C" w:val="clear"/>
            <w:tcMar>
              <w:top w:type="dxa" w:w="120"/>
              <w:left w:type="dxa" w:w="200"/>
              <w:bottom w:type="dxa" w:w="120"/>
              <w:right w:type="dxa" w:w="200"/>
            </w:tcMar>
          </w:tcPr>
          <w:p>
            <w:pPr>
              <w:spacing w:after="80"/>
            </w:pPr>
            <w:r>
              <w:rPr>
                <w:rFonts w:ascii="Arial" w:cs="Arial" w:eastAsia="Arial" w:hAnsi="Arial"/>
                <w:b/>
                <w:bCs/>
                <w:color w:val="7F6000"/>
                <w:sz w:val="24"/>
                <w:szCs w:val="24"/>
              </w:rPr>
              <w:t xml:space="preserve">RURAL CONSIDERATION: POC Testing Limitations</w:t>
            </w:r>
          </w:p>
          <w:p>
            <w:r>
              <w:rPr>
                <w:rFonts w:ascii="Arial" w:cs="Arial" w:eastAsia="Arial" w:hAnsi="Arial"/>
                <w:sz w:val="24"/>
                <w:szCs w:val="24"/>
              </w:rPr>
              <w:t xml:space="preserve">Many rural laboratories operate on limited hours or send out certain tests (e.g., procalcitonin, blood gas analysis). Know your laboratory’s turnaround times. If you cannot obtain a CRP within 2 hours, do not wait for the result to make treatment decisions. Clinical assessment combined with blood culture is the irreducible minimum. A i-STAT or similar point-of-care blood gas analyzer is an invaluable investment for the rural nursery.</w:t>
            </w:r>
          </w:p>
        </w:tc>
      </w:tr>
    </w:tbl>
    <w:p>
      <w:pPr>
        <w:pStyle w:val="Heading2"/>
        <w:spacing w:after="160" w:before="280"/>
      </w:pPr>
      <w:r>
        <w:rPr>
          <w:rFonts w:ascii="Arial" w:cs="Arial" w:eastAsia="Arial" w:hAnsi="Arial"/>
          <w:b/>
          <w:bCs/>
          <w:sz w:val="28"/>
          <w:szCs w:val="28"/>
        </w:rPr>
        <w:t xml:space="preserve">4.4 Imaging</w:t>
      </w:r>
    </w:p>
    <w:p>
      <w:pPr>
        <w:spacing w:after="160"/>
      </w:pPr>
      <w:r>
        <w:rPr>
          <w:rFonts w:ascii="Arial" w:cs="Arial" w:eastAsia="Arial" w:hAnsi="Arial"/>
          <w:sz w:val="24"/>
          <w:szCs w:val="24"/>
        </w:rPr>
        <w:t xml:space="preserve">Chest radiography should be obtained in any neonate with respiratory signs to evaluate for pneumonia, pneumothorax, or other pulmonary pathology. Gram-negative neonatal pneumonia may present with bilateral infiltrates indistinguishable from RDS or with lobar consolidation. Cranial ultrasonography should be performed in any neonate with confirmed gram-negative bacteremia, particularly E. coli, to evaluate for meningitis complications including ventriculitis, brain abscess, and hydrocephalus. CT or MRI should be obtained when abscess or significant structural complication is suspected.</w:t>
      </w:r>
    </w:p>
    <w:p>
      <w:r>
        <w:br w:type="page"/>
      </w:r>
    </w:p>
    <w:p>
      <w:pPr>
        <w:pStyle w:val="Heading1"/>
        <w:spacing w:after="200" w:before="360"/>
      </w:pPr>
      <w:r>
        <w:rPr>
          <w:rFonts w:ascii="Arial" w:cs="Arial" w:eastAsia="Arial" w:hAnsi="Arial"/>
          <w:b/>
          <w:bCs/>
          <w:sz w:val="32"/>
          <w:szCs w:val="32"/>
        </w:rPr>
        <w:t xml:space="preserve">Chapter 5: Management and Treatment</w:t>
      </w:r>
    </w:p>
    <w:p>
      <w:pPr>
        <w:pStyle w:val="Heading2"/>
        <w:spacing w:after="160" w:before="280"/>
      </w:pPr>
      <w:r>
        <w:rPr>
          <w:rFonts w:ascii="Arial" w:cs="Arial" w:eastAsia="Arial" w:hAnsi="Arial"/>
          <w:b/>
          <w:bCs/>
          <w:sz w:val="28"/>
          <w:szCs w:val="28"/>
        </w:rPr>
        <w:t xml:space="preserve">5.1 Empiric Antibiotic Therapy</w:t>
      </w:r>
    </w:p>
    <w:p>
      <w:pPr>
        <w:spacing w:after="160"/>
      </w:pPr>
      <w:r>
        <w:rPr>
          <w:rFonts w:ascii="Arial" w:cs="Arial" w:eastAsia="Arial" w:hAnsi="Arial"/>
          <w:sz w:val="24"/>
          <w:szCs w:val="24"/>
        </w:rPr>
        <w:t xml:space="preserve">The standard empiric antibiotic regimen for suspected neonatal EOS in the United States is </w:t>
      </w:r>
      <w:r>
        <w:rPr>
          <w:rFonts w:ascii="Arial" w:cs="Arial" w:eastAsia="Arial" w:hAnsi="Arial"/>
          <w:b/>
          <w:bCs/>
          <w:sz w:val="24"/>
          <w:szCs w:val="24"/>
        </w:rPr>
        <w:t xml:space="preserve">ampicillin plus gentamicin</w:t>
      </w:r>
      <w:r>
        <w:rPr>
          <w:rFonts w:ascii="Arial" w:cs="Arial" w:eastAsia="Arial" w:hAnsi="Arial"/>
          <w:sz w:val="24"/>
          <w:szCs w:val="24"/>
        </w:rPr>
        <w:t xml:space="preserve">. This combination provides coverage against GBS, Listeria monocytogenes, most Enterococcus species (ampicillin), and most gram-negative Enterobacteriaceae including E. coli (gentamicin). The AAP recommends this combination as first-line empiric therapy.</w:t>
      </w:r>
    </w:p>
    <w:p>
      <w:pPr>
        <w:spacing w:after="160"/>
      </w:pPr>
      <w:r>
        <w:rPr>
          <w:rFonts w:ascii="Arial" w:cs="Arial" w:eastAsia="Arial" w:hAnsi="Arial"/>
          <w:sz w:val="24"/>
          <w:szCs w:val="24"/>
        </w:rPr>
        <w:t xml:space="preserve">When </w:t>
      </w:r>
      <w:r>
        <w:rPr>
          <w:rFonts w:ascii="Arial" w:cs="Arial" w:eastAsia="Arial" w:hAnsi="Arial"/>
          <w:b/>
          <w:bCs/>
          <w:sz w:val="24"/>
          <w:szCs w:val="24"/>
        </w:rPr>
        <w:t xml:space="preserve">gram-negative meningitis is suspected</w:t>
      </w:r>
      <w:r>
        <w:rPr>
          <w:rFonts w:ascii="Arial" w:cs="Arial" w:eastAsia="Arial" w:hAnsi="Arial"/>
          <w:sz w:val="24"/>
          <w:szCs w:val="24"/>
        </w:rPr>
        <w:t xml:space="preserve">, the regimen should be modified to include an agent with reliable CSF penetration. </w:t>
      </w:r>
      <w:r>
        <w:rPr>
          <w:rFonts w:ascii="Arial" w:cs="Arial" w:eastAsia="Arial" w:hAnsi="Arial"/>
          <w:b/>
          <w:bCs/>
          <w:sz w:val="24"/>
          <w:szCs w:val="24"/>
        </w:rPr>
        <w:t xml:space="preserve">Cefotaxime</w:t>
      </w:r>
      <w:r>
        <w:rPr>
          <w:rFonts w:ascii="Arial" w:cs="Arial" w:eastAsia="Arial" w:hAnsi="Arial"/>
          <w:sz w:val="24"/>
          <w:szCs w:val="24"/>
        </w:rPr>
        <w:t xml:space="preserve"> (or cefepime) should be added to or substituted for gentamicin, as aminoglycosides achieve poor CNS concentrations (typically only 10–20% of serum levels in the presence of inflamed meninges). </w:t>
      </w:r>
      <w:r>
        <w:rPr>
          <w:rFonts w:ascii="Arial" w:cs="Arial" w:eastAsia="Arial" w:hAnsi="Arial"/>
          <w:b/>
          <w:bCs/>
          <w:sz w:val="24"/>
          <w:szCs w:val="24"/>
        </w:rPr>
        <w:t xml:space="preserve">Ceftriaxone is contraindicated in neonates</w:t>
      </w:r>
      <w:r>
        <w:rPr>
          <w:rFonts w:ascii="Arial" w:cs="Arial" w:eastAsia="Arial" w:hAnsi="Arial"/>
          <w:sz w:val="24"/>
          <w:szCs w:val="24"/>
        </w:rPr>
        <w:t xml:space="preserve"> due to its high protein binding (which can displace bilirubin from albumin, increasing kernicterus risk) and its incompatibility with calcium-containing IV solutions.</w:t>
      </w:r>
    </w:p>
    <w:p>
      <w:pPr>
        <w:pStyle w:val="Heading3"/>
        <w:spacing w:after="120" w:before="200"/>
      </w:pPr>
      <w:r>
        <w:rPr>
          <w:rFonts w:ascii="Arial" w:cs="Arial" w:eastAsia="Arial" w:hAnsi="Arial"/>
          <w:b/>
          <w:bCs/>
          <w:sz w:val="26"/>
          <w:szCs w:val="26"/>
        </w:rPr>
        <w:t xml:space="preserve">5.1.1 Empiric Antibiotic Dosing — EOS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700"/>
        <w:gridCol w:w="2360"/>
        <w:gridCol w:w="3000"/>
      </w:tblGrid>
      <w:tr>
        <w:tc>
          <w:tcPr>
            <w:tcW w:type="dxa" w:w="1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Antibiotic</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Dose</w:t>
            </w:r>
          </w:p>
        </w:tc>
        <w:tc>
          <w:tcPr>
            <w:tcW w:type="dxa" w:w="7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Route</w:t>
            </w:r>
          </w:p>
        </w:tc>
        <w:tc>
          <w:tcPr>
            <w:tcW w:type="dxa" w:w="2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Frequency</w:t>
            </w:r>
          </w:p>
        </w:tc>
        <w:tc>
          <w:tcPr>
            <w:tcW w:type="dxa" w:w="3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Notes</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Ampicillin (sepsis)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mg/kg/dose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q8h (≤ 7 days); q6h (&gt; 7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Increase to meningitis dosing if CNS infection suspected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Ampicillin (meningitis)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 mg/kg/dose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q8h (≤ 7 days); q6h (&gt; 7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Higher dosing for adequate CSF penetration</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Gentamicin (≤ 29 wks GA)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 mg/kg/dose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q48h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Therapeutic drug monitoring required; trough &lt; 1 mcg/mL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Gentamicin (30–34 wks GA)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4.5–5 mg/kg/dose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q36h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Adjust based on institutional protocol</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Gentamicin (≥ 35 wks GA)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4–5 mg/kg/dose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q24h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Extended interval dosing preferred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Cefotaxime (meningitis)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mg/kg/dose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q8h (≤ 7 days); q6h (&gt; 7 days)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Use when gram-negative meningitis suspected; not routine empiric use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Cefepime (alternative)</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50 mg/kg/dose</w:t>
            </w:r>
          </w:p>
        </w:tc>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IV</w:t>
            </w:r>
          </w:p>
        </w:tc>
        <w:tc>
          <w:tcPr>
            <w:tcW w:type="dxa" w:w="2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q8–12h</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Broader spectrum; reserve for resistant organisms or CNS disease</w:t>
            </w:r>
          </w:p>
        </w:tc>
      </w:tr>
    </w:tbl>
    <w:p>
      <w:pPr>
        <w:spacing w:after="160"/>
      </w:pPr>
      <w:r>
        <w:rPr>
          <w:rFonts w:ascii="Arial" w:cs="Arial" w:eastAsia="Arial" w:hAnsi="Arial"/>
          <w:sz w:val="24"/>
          <w:szCs w:val="2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C7CE" w:val="clear"/>
            <w:tcMar>
              <w:top w:type="dxa" w:w="120"/>
              <w:left w:type="dxa" w:w="200"/>
              <w:bottom w:type="dxa" w:w="120"/>
              <w:right w:type="dxa" w:w="200"/>
            </w:tcMar>
          </w:tcPr>
          <w:p>
            <w:pPr>
              <w:spacing w:after="80"/>
            </w:pPr>
            <w:r>
              <w:rPr>
                <w:rFonts w:ascii="Arial" w:cs="Arial" w:eastAsia="Arial" w:hAnsi="Arial"/>
                <w:b/>
                <w:bCs/>
                <w:color w:val="C00000"/>
                <w:sz w:val="24"/>
                <w:szCs w:val="24"/>
              </w:rPr>
              <w:t xml:space="preserve">CRITICAL POINT: Do NOT Routinely Use Cefotaxime for Empiric Sepsis</w:t>
            </w:r>
          </w:p>
          <w:p>
            <w:r>
              <w:rPr>
                <w:rFonts w:ascii="Arial" w:cs="Arial" w:eastAsia="Arial" w:hAnsi="Arial"/>
                <w:sz w:val="24"/>
                <w:szCs w:val="24"/>
              </w:rPr>
              <w:t xml:space="preserve">A landmark study by Clark et al. (2006) published in Pediatrics demonstrated that empiric use of ampicillin plus cefotaxime (compared with ampicillin plus gentamicin) was associated with an increased risk of death in neonates. Cefotaxime promotes rapid resistance development, increases the risk of invasive candidiasis with prolonged use, and does not improve outcomes over gentamicin for uncomplicated bacteremia. Reserve cephalosporins for confirmed or strongly suspected meningitis.</w:t>
            </w:r>
          </w:p>
        </w:tc>
      </w:tr>
    </w:tbl>
    <w:p>
      <w:pPr>
        <w:pStyle w:val="Heading2"/>
        <w:spacing w:after="160" w:before="280"/>
      </w:pPr>
      <w:r>
        <w:rPr>
          <w:rFonts w:ascii="Arial" w:cs="Arial" w:eastAsia="Arial" w:hAnsi="Arial"/>
          <w:b/>
          <w:bCs/>
          <w:sz w:val="28"/>
          <w:szCs w:val="28"/>
        </w:rPr>
        <w:t xml:space="preserve">5.2 Duration of Therapy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80"/>
        <w:gridCol w:w="4080"/>
      </w:tblGrid>
      <w:tr>
        <w:tc>
          <w:tcPr>
            <w:tcW w:type="dxa" w:w="3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Clinical Scenario</w:t>
            </w:r>
          </w:p>
        </w:tc>
        <w:tc>
          <w:tcPr>
            <w:tcW w:type="dxa" w:w="2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Duration</w:t>
            </w:r>
          </w:p>
        </w:tc>
        <w:tc>
          <w:tcPr>
            <w:tcW w:type="dxa" w:w="40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Key Considerations</w:t>
            </w:r>
          </w:p>
        </w:tc>
      </w:tr>
      <w:tr>
        <w:tc>
          <w:tcPr>
            <w:tcW w:type="dxa" w:w="320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Negative cultures, clinical improvement</w:t>
            </w:r>
          </w:p>
        </w:tc>
        <w:tc>
          <w:tcPr>
            <w:tcW w:type="dxa" w:w="20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24–36 hours, then STOP</w:t>
            </w:r>
          </w:p>
        </w:tc>
        <w:tc>
          <w:tcPr>
            <w:tcW w:type="dxa" w:w="4080"/>
            <w:tcBorders>
              <w:top w:val="single" w:color="CCCCCC" w:sz="1"/>
              <w:left w:val="single" w:color="CCCCCC" w:sz="1"/>
              <w:bottom w:val="single" w:color="CCCCCC" w:sz="1"/>
              <w:right w:val="single" w:color="CCCCCC" w:sz="1"/>
            </w:tcBorders>
            <w:shd w:fill="C6EFCE" w:val="clear"/>
            <w:tcMar>
              <w:top w:type="dxa" w:w="80"/>
              <w:left w:type="dxa" w:w="120"/>
              <w:bottom w:type="dxa" w:w="80"/>
              <w:right w:type="dxa" w:w="120"/>
            </w:tcMar>
          </w:tcPr>
          <w:p>
            <w:r>
              <w:rPr>
                <w:rFonts w:ascii="Arial" w:cs="Arial" w:eastAsia="Arial" w:hAnsi="Arial"/>
                <w:sz w:val="22"/>
                <w:szCs w:val="22"/>
              </w:rPr>
              <w:t xml:space="preserve">Most important antibiotic stewardship intervention in neonatology</w:t>
            </w:r>
          </w:p>
        </w:tc>
      </w:tr>
      <w:tr>
        <w:tc>
          <w:tcPr>
            <w:tcW w:type="dxa" w:w="32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Culture-positive bacteremia without meningitis</w:t>
            </w:r>
          </w:p>
        </w:tc>
        <w:tc>
          <w:tcPr>
            <w:tcW w:type="dxa" w:w="20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10–14 days</w:t>
            </w:r>
          </w:p>
        </w:tc>
        <w:tc>
          <w:tcPr>
            <w:tcW w:type="dxa" w:w="40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From date of first negative culture; clinical reassessment at 48–72 hours</w:t>
            </w:r>
          </w:p>
        </w:tc>
      </w:tr>
      <w:tr>
        <w:tc>
          <w:tcPr>
            <w:tcW w:type="dxa" w:w="3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Gram-negative meningitis (E. coli)</w:t>
            </w:r>
          </w:p>
        </w:tc>
        <w:tc>
          <w:tcPr>
            <w:tcW w:type="dxa" w:w="20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21 days minimum</w:t>
            </w:r>
          </w:p>
        </w:tc>
        <w:tc>
          <w:tcPr>
            <w:tcW w:type="dxa" w:w="40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Minimum 21 days or 14 days after first sterile CSF — whichever is LONGER; repeat LP required</w:t>
            </w:r>
          </w:p>
        </w:tc>
      </w:tr>
      <w:tr>
        <w:tc>
          <w:tcPr>
            <w:tcW w:type="dxa" w:w="32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E. coli meningitis with complications</w:t>
            </w:r>
          </w:p>
        </w:tc>
        <w:tc>
          <w:tcPr>
            <w:tcW w:type="dxa" w:w="20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4–6 weeks or longer</w:t>
            </w:r>
          </w:p>
        </w:tc>
        <w:tc>
          <w:tcPr>
            <w:tcW w:type="dxa" w:w="40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Ventriculitis, brain abscess, subdural empyema require prolonged therapy and neurosurgical consultation</w:t>
            </w:r>
          </w:p>
        </w:tc>
      </w:tr>
    </w:tbl>
    <w:p>
      <w:pPr>
        <w:spacing w:after="160"/>
      </w:pPr>
      <w:r>
        <w:rPr>
          <w:rFonts w:ascii="Arial" w:cs="Arial" w:eastAsia="Arial" w:hAnsi="Arial"/>
          <w:sz w:val="24"/>
          <w:szCs w:val="24"/>
        </w:rPr>
        <w:t xml:space="preserve"/>
      </w:r>
    </w:p>
    <w:p>
      <w:pPr>
        <w:pStyle w:val="Heading2"/>
        <w:spacing w:after="160" w:before="280"/>
      </w:pPr>
      <w:r>
        <w:rPr>
          <w:rFonts w:ascii="Arial" w:cs="Arial" w:eastAsia="Arial" w:hAnsi="Arial"/>
          <w:b/>
          <w:bCs/>
          <w:sz w:val="28"/>
          <w:szCs w:val="28"/>
        </w:rPr>
        <w:t xml:space="preserve">5.3 Definitive (Organism-Directed) Therapy</w:t>
      </w:r>
    </w:p>
    <w:p>
      <w:pPr>
        <w:spacing w:after="160"/>
      </w:pPr>
      <w:r>
        <w:rPr>
          <w:rFonts w:ascii="Arial" w:cs="Arial" w:eastAsia="Arial" w:hAnsi="Arial"/>
          <w:sz w:val="24"/>
          <w:szCs w:val="24"/>
        </w:rPr>
        <w:t xml:space="preserve">Once culture and susceptibility results are available (typically 48–72 hours), empiric therapy should be narrowed to the most targeted effective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060"/>
        <w:gridCol w:w="2500"/>
      </w:tblGrid>
      <w:tr>
        <w:tc>
          <w:tcPr>
            <w:tcW w:type="dxa" w:w="2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Organism</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Susceptible</w:t>
            </w:r>
          </w:p>
        </w:tc>
        <w:tc>
          <w:tcPr>
            <w:tcW w:type="dxa" w:w="30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Preferred Definitive Therapy</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Duration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 coli (ampicillin-sensitive)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Ampicillin, gentamicin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Ampicillin + gentamicin (synergy)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10–14 days (bacteremia); 21+ days (meningitis)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 coli (ampicillin-resistant)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Gentamicin, cefotaxime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Cefotaxime or cefepime +/- gentamicin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10–14 days (bacteremia); 21+ days (meningitis)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 coli (ESBL-producing)</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Carbapenems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Meropenem 20–40 mg/kg q8–12h</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Consult ID; transport to Level III/IV strongly recommended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Klebsiella pneumoniae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Varies widely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Based on susceptibilities; cefotaxime if susceptible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10–14 days; consult ID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Pseudomonas aeruginosa</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Cefepime, meropenem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Cefepime + aminoglycoside (double coverage)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21 days; high mortality; immediate transport if Level I/II</w:t>
            </w:r>
          </w:p>
        </w:tc>
      </w:tr>
    </w:tbl>
    <w:p>
      <w:pPr>
        <w:spacing w:after="160"/>
      </w:pPr>
      <w:r>
        <w:rPr>
          <w:rFonts w:ascii="Arial" w:cs="Arial" w:eastAsia="Arial" w:hAnsi="Arial"/>
          <w:sz w:val="24"/>
          <w:szCs w:val="24"/>
        </w:rPr>
        <w:t xml:space="preserve"/>
      </w:r>
    </w:p>
    <w:p>
      <w:pPr>
        <w:pStyle w:val="Heading2"/>
        <w:spacing w:after="160" w:before="280"/>
      </w:pPr>
      <w:r>
        <w:rPr>
          <w:rFonts w:ascii="Arial" w:cs="Arial" w:eastAsia="Arial" w:hAnsi="Arial"/>
          <w:b/>
          <w:bCs/>
          <w:sz w:val="28"/>
          <w:szCs w:val="28"/>
        </w:rPr>
        <w:t xml:space="preserve">5.4 Supportive Care and Hemodynamic Management</w:t>
      </w:r>
    </w:p>
    <w:p>
      <w:pPr>
        <w:pStyle w:val="Heading3"/>
        <w:spacing w:after="120" w:before="200"/>
      </w:pPr>
      <w:r>
        <w:rPr>
          <w:rFonts w:ascii="Arial" w:cs="Arial" w:eastAsia="Arial" w:hAnsi="Arial"/>
          <w:b/>
          <w:bCs/>
          <w:sz w:val="26"/>
          <w:szCs w:val="26"/>
        </w:rPr>
        <w:t xml:space="preserve">5.4.1 Fluid Resuscitation</w:t>
      </w:r>
    </w:p>
    <w:p>
      <w:pPr>
        <w:spacing w:after="160"/>
      </w:pPr>
      <w:r>
        <w:rPr>
          <w:rFonts w:ascii="Arial" w:cs="Arial" w:eastAsia="Arial" w:hAnsi="Arial"/>
          <w:sz w:val="24"/>
          <w:szCs w:val="24"/>
        </w:rPr>
        <w:t xml:space="preserve">Neonates with signs of septic shock (poor perfusion, prolonged capillary refill, tachycardia, hypotension) should receive </w:t>
      </w:r>
      <w:r>
        <w:rPr>
          <w:rFonts w:ascii="Arial" w:cs="Arial" w:eastAsia="Arial" w:hAnsi="Arial"/>
          <w:b/>
          <w:bCs/>
          <w:sz w:val="24"/>
          <w:szCs w:val="24"/>
        </w:rPr>
        <w:t xml:space="preserve">isotonic crystalloid fluid boluses of 10 mL/kg over 15–20 minutes</w:t>
      </w:r>
      <w:r>
        <w:rPr>
          <w:rFonts w:ascii="Arial" w:cs="Arial" w:eastAsia="Arial" w:hAnsi="Arial"/>
          <w:sz w:val="24"/>
          <w:szCs w:val="24"/>
        </w:rPr>
        <w:t xml:space="preserve">, reassessing after each bolus. Up to 40–60 mL/kg may be required in the first hour, but excessive fluid resuscitation without vasopressor support can lead to pulmonary edema in neonates. The provider must continually reassess perfusion, heart rate, blood pressure, urine output, and hepatomegaly.</w:t>
      </w:r>
    </w:p>
    <w:p>
      <w:pPr>
        <w:pStyle w:val="Heading3"/>
        <w:spacing w:after="120" w:before="200"/>
      </w:pPr>
      <w:r>
        <w:rPr>
          <w:rFonts w:ascii="Arial" w:cs="Arial" w:eastAsia="Arial" w:hAnsi="Arial"/>
          <w:b/>
          <w:bCs/>
          <w:sz w:val="26"/>
          <w:szCs w:val="26"/>
        </w:rPr>
        <w:t xml:space="preserve">5.4.2 Vasopressor Support</w:t>
      </w:r>
    </w:p>
    <w:p>
      <w:pPr>
        <w:spacing w:after="160"/>
      </w:pPr>
      <w:r>
        <w:rPr>
          <w:rFonts w:ascii="Arial" w:cs="Arial" w:eastAsia="Arial" w:hAnsi="Arial"/>
          <w:sz w:val="24"/>
          <w:szCs w:val="24"/>
        </w:rPr>
        <w:t xml:space="preserve">If perfusion does not improve after 20–40 mL/kg of fluid resuscitation, vasopressor therapy should be initiated. </w:t>
      </w:r>
      <w:r>
        <w:rPr>
          <w:rFonts w:ascii="Arial" w:cs="Arial" w:eastAsia="Arial" w:hAnsi="Arial"/>
          <w:b/>
          <w:bCs/>
          <w:sz w:val="24"/>
          <w:szCs w:val="24"/>
        </w:rPr>
        <w:t xml:space="preserve">Dopamine</w:t>
      </w:r>
      <w:r>
        <w:rPr>
          <w:rFonts w:ascii="Arial" w:cs="Arial" w:eastAsia="Arial" w:hAnsi="Arial"/>
          <w:sz w:val="24"/>
          <w:szCs w:val="24"/>
        </w:rPr>
        <w:t xml:space="preserve"> (2–20 mcg/kg/min) is the traditional first-line vasopressor in neonatal septic shock. </w:t>
      </w:r>
      <w:r>
        <w:rPr>
          <w:rFonts w:ascii="Arial" w:cs="Arial" w:eastAsia="Arial" w:hAnsi="Arial"/>
          <w:b/>
          <w:bCs/>
          <w:sz w:val="24"/>
          <w:szCs w:val="24"/>
        </w:rPr>
        <w:t xml:space="preserve">Epinephrine</w:t>
      </w:r>
      <w:r>
        <w:rPr>
          <w:rFonts w:ascii="Arial" w:cs="Arial" w:eastAsia="Arial" w:hAnsi="Arial"/>
          <w:sz w:val="24"/>
          <w:szCs w:val="24"/>
        </w:rPr>
        <w:t xml:space="preserve"> (0.05–0.3 mcg/kg/min) is preferred for cold shock (vasoconstricted, poor perfusion with cool extremities). </w:t>
      </w:r>
      <w:r>
        <w:rPr>
          <w:rFonts w:ascii="Arial" w:cs="Arial" w:eastAsia="Arial" w:hAnsi="Arial"/>
          <w:b/>
          <w:bCs/>
          <w:sz w:val="24"/>
          <w:szCs w:val="24"/>
        </w:rPr>
        <w:t xml:space="preserve">Norepinephrine</w:t>
      </w:r>
      <w:r>
        <w:rPr>
          <w:rFonts w:ascii="Arial" w:cs="Arial" w:eastAsia="Arial" w:hAnsi="Arial"/>
          <w:sz w:val="24"/>
          <w:szCs w:val="24"/>
        </w:rPr>
        <w:t xml:space="preserve"> (0.05–0.3 mcg/kg/min) may be preferred for warm shock (vasodilated, bounding pulses with low diastolic blood pressure). Hydrocortisone (1–2 mg/kg) should be considered for catecholamine-resistant shock, as relative adrenal insufficiency is common in critically ill neonates.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EB9C" w:val="clear"/>
            <w:tcMar>
              <w:top w:type="dxa" w:w="120"/>
              <w:left w:type="dxa" w:w="200"/>
              <w:bottom w:type="dxa" w:w="120"/>
              <w:right w:type="dxa" w:w="200"/>
            </w:tcMar>
          </w:tcPr>
          <w:p>
            <w:pPr>
              <w:spacing w:after="80"/>
            </w:pPr>
            <w:r>
              <w:rPr>
                <w:rFonts w:ascii="Arial" w:cs="Arial" w:eastAsia="Arial" w:hAnsi="Arial"/>
                <w:b/>
                <w:bCs/>
                <w:color w:val="7F6000"/>
                <w:sz w:val="24"/>
                <w:szCs w:val="24"/>
              </w:rPr>
              <w:t xml:space="preserve">RURAL CONSIDERATION: Vasopressor Availability</w:t>
            </w:r>
          </w:p>
          <w:p>
            <w:r>
              <w:rPr>
                <w:rFonts w:ascii="Arial" w:cs="Arial" w:eastAsia="Arial" w:hAnsi="Arial"/>
                <w:sz w:val="24"/>
                <w:szCs w:val="24"/>
              </w:rPr>
              <w:t xml:space="preserve">Verify that your pharmacy stocks dopamine, epinephrine, and norepinephrine in concentrations suitable for neonatal infusions. Pre-made neonatal vasopressor drip concentrations should be available or the pharmacy should have a current weight-based calculation protocol. If your facility does not have vasopressor capability, fluid resuscitation and transport activation must proceed simultaneously. Do NOT delay transport waiting for vasopressor access.</w:t>
            </w:r>
          </w:p>
        </w:tc>
      </w:tr>
    </w:tbl>
    <w:p>
      <w:pPr>
        <w:pStyle w:val="Heading3"/>
        <w:spacing w:after="120" w:before="200"/>
      </w:pPr>
      <w:r>
        <w:rPr>
          <w:rFonts w:ascii="Arial" w:cs="Arial" w:eastAsia="Arial" w:hAnsi="Arial"/>
          <w:b/>
          <w:bCs/>
          <w:sz w:val="26"/>
          <w:szCs w:val="26"/>
        </w:rPr>
        <w:t xml:space="preserve">5.4.3 Respiratory Support</w:t>
      </w:r>
    </w:p>
    <w:p>
      <w:pPr>
        <w:spacing w:after="160"/>
      </w:pPr>
      <w:r>
        <w:rPr>
          <w:rFonts w:ascii="Arial" w:cs="Arial" w:eastAsia="Arial" w:hAnsi="Arial"/>
          <w:sz w:val="24"/>
          <w:szCs w:val="24"/>
        </w:rPr>
        <w:t xml:space="preserve">Provide supplemental oxygen to maintain SpO2 targets of 90–95% (preterm) or 92–97% (term). Neonates with worsening respiratory failure may require escalation from nasal cannula to CPAP to mechanical ventilation. Intubation and mechanical ventilation should be strongly considered in any neonate with septic shock who is not improving with initial fluid resuscitation and oxygen therapy, as respiratory failure compounds cardiovascular compromise and these infants require secure airway management for transport.</w:t>
      </w:r>
    </w:p>
    <w:p>
      <w:pPr>
        <w:pStyle w:val="Heading3"/>
        <w:spacing w:after="120" w:before="200"/>
      </w:pPr>
      <w:r>
        <w:rPr>
          <w:rFonts w:ascii="Arial" w:cs="Arial" w:eastAsia="Arial" w:hAnsi="Arial"/>
          <w:b/>
          <w:bCs/>
          <w:sz w:val="26"/>
          <w:szCs w:val="26"/>
        </w:rPr>
        <w:t xml:space="preserve">5.4.4 Glucose Management</w:t>
      </w:r>
    </w:p>
    <w:p>
      <w:pPr>
        <w:spacing w:after="160"/>
      </w:pPr>
      <w:r>
        <w:rPr>
          <w:rFonts w:ascii="Arial" w:cs="Arial" w:eastAsia="Arial" w:hAnsi="Arial"/>
          <w:sz w:val="24"/>
          <w:szCs w:val="24"/>
        </w:rPr>
        <w:t xml:space="preserve">Septic neonates are at high risk for both </w:t>
      </w:r>
      <w:r>
        <w:rPr>
          <w:rFonts w:ascii="Arial" w:cs="Arial" w:eastAsia="Arial" w:hAnsi="Arial"/>
          <w:b/>
          <w:bCs/>
          <w:sz w:val="24"/>
          <w:szCs w:val="24"/>
        </w:rPr>
        <w:t xml:space="preserve">hypoglycemia</w:t>
      </w:r>
      <w:r>
        <w:rPr>
          <w:rFonts w:ascii="Arial" w:cs="Arial" w:eastAsia="Arial" w:hAnsi="Arial"/>
          <w:sz w:val="24"/>
          <w:szCs w:val="24"/>
        </w:rPr>
        <w:t xml:space="preserve"> (due to increased metabolic demand and depleted glycogen stores) and </w:t>
      </w:r>
      <w:r>
        <w:rPr>
          <w:rFonts w:ascii="Arial" w:cs="Arial" w:eastAsia="Arial" w:hAnsi="Arial"/>
          <w:b/>
          <w:bCs/>
          <w:sz w:val="24"/>
          <w:szCs w:val="24"/>
        </w:rPr>
        <w:t xml:space="preserve">hyperglycemia</w:t>
      </w:r>
      <w:r>
        <w:rPr>
          <w:rFonts w:ascii="Arial" w:cs="Arial" w:eastAsia="Arial" w:hAnsi="Arial"/>
          <w:sz w:val="24"/>
          <w:szCs w:val="24"/>
        </w:rPr>
        <w:t xml:space="preserve"> (due to stress hormone release and insulin resistance). Monitor blood glucose every 1–2 hours during acute management. Maintain glucose at </w:t>
      </w:r>
      <w:r>
        <w:rPr>
          <w:rFonts w:ascii="Arial" w:cs="Arial" w:eastAsia="Arial" w:hAnsi="Arial"/>
          <w:b/>
          <w:bCs/>
          <w:sz w:val="24"/>
          <w:szCs w:val="24"/>
        </w:rPr>
        <w:t xml:space="preserve">50–150 mg/dL</w:t>
      </w:r>
      <w:r>
        <w:rPr>
          <w:rFonts w:ascii="Arial" w:cs="Arial" w:eastAsia="Arial" w:hAnsi="Arial"/>
          <w:sz w:val="24"/>
          <w:szCs w:val="24"/>
        </w:rPr>
        <w:t xml:space="preserve">. Treat hypoglycemia (&lt; 50 mg/dL) with a dextrose bolus of 2 mL/kg of D10W followed by a continuous dextrose infusion at 6–8 mg/kg/min, titrating as needed.</w:t>
      </w:r>
    </w:p>
    <w:p>
      <w:r>
        <w:br w:type="page"/>
      </w:r>
    </w:p>
    <w:p>
      <w:pPr>
        <w:pStyle w:val="Heading1"/>
        <w:spacing w:after="200" w:before="360"/>
      </w:pPr>
      <w:r>
        <w:rPr>
          <w:rFonts w:ascii="Arial" w:cs="Arial" w:eastAsia="Arial" w:hAnsi="Arial"/>
          <w:b/>
          <w:bCs/>
          <w:sz w:val="32"/>
          <w:szCs w:val="32"/>
        </w:rPr>
        <w:t xml:space="preserve">Chapter 6: Special Populations and Considerations</w:t>
      </w:r>
    </w:p>
    <w:p>
      <w:pPr>
        <w:pStyle w:val="Heading2"/>
        <w:spacing w:after="160" w:before="280"/>
      </w:pPr>
      <w:r>
        <w:rPr>
          <w:rFonts w:ascii="Arial" w:cs="Arial" w:eastAsia="Arial" w:hAnsi="Arial"/>
          <w:b/>
          <w:bCs/>
          <w:sz w:val="28"/>
          <w:szCs w:val="28"/>
        </w:rPr>
        <w:t xml:space="preserve">6.1 Late Preterm Infants (34–36+6 Weeks)</w:t>
      </w:r>
    </w:p>
    <w:p>
      <w:pPr>
        <w:spacing w:after="160"/>
      </w:pPr>
      <w:r>
        <w:rPr>
          <w:rFonts w:ascii="Arial" w:cs="Arial" w:eastAsia="Arial" w:hAnsi="Arial"/>
          <w:sz w:val="24"/>
          <w:szCs w:val="24"/>
        </w:rPr>
        <w:t xml:space="preserve">Late preterm infants represent a particularly vulnerable population for gram-negative sepsis. They have enough physiologic maturity to be admitted to Level I or Level II nurseries, but they possess significant immunologic immaturity compared to term neonates. Transplacental IgG transfer is reduced (approximately 50–70% of term levels at 34 weeks), neutrophil storage pools are smaller, and complement levels are lower. These infants may present with more subtle and delayed signs of sepsis and can deteriorate rapidly once symptomatic.</w:t>
      </w:r>
    </w:p>
    <w:p>
      <w:pPr>
        <w:spacing w:after="160"/>
      </w:pPr>
      <w:r>
        <w:rPr>
          <w:rFonts w:ascii="Arial" w:cs="Arial" w:eastAsia="Arial" w:hAnsi="Arial"/>
          <w:sz w:val="24"/>
          <w:szCs w:val="24"/>
        </w:rPr>
        <w:t xml:space="preserve">Key management considerations for late preterm infants with suspected sepsis include lower thresholds for sepsis evaluation (do not dismiss tachypnea or feeding difficulty as simply related to prematurity), awareness that gentamicin pharmacokinetics differ (extended interval dosing at q36h for 30–34 weeks GA), careful attention to thermoregulation (hypothermia and sepsis amplify each other), and recognition that these infants are at higher risk for hypoglycemia during infection.</w:t>
      </w:r>
    </w:p>
    <w:p>
      <w:pPr>
        <w:pStyle w:val="Heading2"/>
        <w:spacing w:after="160" w:before="280"/>
      </w:pPr>
      <w:r>
        <w:rPr>
          <w:rFonts w:ascii="Arial" w:cs="Arial" w:eastAsia="Arial" w:hAnsi="Arial"/>
          <w:b/>
          <w:bCs/>
          <w:sz w:val="28"/>
          <w:szCs w:val="28"/>
        </w:rPr>
        <w:t xml:space="preserve">6.2 Maternal Factors Affecting Management</w:t>
      </w:r>
    </w:p>
    <w:p>
      <w:pPr>
        <w:spacing w:after="160"/>
      </w:pPr>
      <w:r>
        <w:rPr>
          <w:rFonts w:ascii="Arial" w:cs="Arial" w:eastAsia="Arial" w:hAnsi="Arial"/>
          <w:sz w:val="24"/>
          <w:szCs w:val="24"/>
        </w:rPr>
        <w:t xml:space="preserve">Maternal history is essential in the evaluation of neonatal sepsis risk. Key factors include GBS colonization status and adequacy of IAP (</w:t>
      </w:r>
      <w:r>
        <w:rPr>
          <w:rFonts w:ascii="Arial" w:cs="Arial" w:eastAsia="Arial" w:hAnsi="Arial"/>
          <w:b/>
          <w:bCs/>
          <w:sz w:val="24"/>
          <w:szCs w:val="24"/>
        </w:rPr>
        <w:t xml:space="preserve">adequate IAP = penicillin, ampicillin, or cefazolin given at least 4 hours before delivery</w:t>
      </w:r>
      <w:r>
        <w:rPr>
          <w:rFonts w:ascii="Arial" w:cs="Arial" w:eastAsia="Arial" w:hAnsi="Arial"/>
          <w:sz w:val="24"/>
          <w:szCs w:val="24"/>
        </w:rPr>
        <w:t xml:space="preserve">), presence and duration of rupture of membranes, intrapartum fever and clinical diagnosis of chorioamnionitis, maternal urinary tract infections during pregnancy (especially E. coli UTI), and recent maternal antibiotic use (which may alter neonatal colonization patterns and select for resistant organisms).</w:t>
      </w:r>
    </w:p>
    <w:p>
      <w:pPr>
        <w:spacing w:after="160"/>
      </w:pPr>
      <w:r>
        <w:rPr>
          <w:rFonts w:ascii="Arial" w:cs="Arial" w:eastAsia="Arial" w:hAnsi="Arial"/>
          <w:sz w:val="24"/>
          <w:szCs w:val="24"/>
        </w:rPr>
        <w:t xml:space="preserve">A critical point for rural providers is that maternal IAP does NOT reduce the risk of E. coli sepsis. In fact, IAP exposure has been associated with selection for ampicillin-resistant E. coli strains. A neonate born to a mother who received IAP is protected against GBS but may have increased exposure to resistant gram-negative organisms.</w:t>
      </w:r>
    </w:p>
    <w:p>
      <w:pPr>
        <w:pStyle w:val="Heading2"/>
        <w:spacing w:after="160" w:before="280"/>
      </w:pPr>
      <w:r>
        <w:rPr>
          <w:rFonts w:ascii="Arial" w:cs="Arial" w:eastAsia="Arial" w:hAnsi="Arial"/>
          <w:b/>
          <w:bCs/>
          <w:sz w:val="28"/>
          <w:szCs w:val="28"/>
        </w:rPr>
        <w:t xml:space="preserve">6.3 Antimicrobial Resistance Considerations</w:t>
      </w:r>
    </w:p>
    <w:p>
      <w:pPr>
        <w:spacing w:after="160"/>
      </w:pPr>
      <w:r>
        <w:rPr>
          <w:rFonts w:ascii="Arial" w:cs="Arial" w:eastAsia="Arial" w:hAnsi="Arial"/>
          <w:sz w:val="24"/>
          <w:szCs w:val="24"/>
        </w:rPr>
        <w:t xml:space="preserve">Antimicrobial resistance among E. coli isolates causing neonatal sepsis is an escalating global concern. The key resistance patterns relevant to the rural nursery provider include the following. </w:t>
      </w:r>
      <w:r>
        <w:rPr>
          <w:rFonts w:ascii="Arial" w:cs="Arial" w:eastAsia="Arial" w:hAnsi="Arial"/>
          <w:b/>
          <w:bCs/>
          <w:sz w:val="24"/>
          <w:szCs w:val="24"/>
        </w:rPr>
        <w:t xml:space="preserve">Ampicillin resistance</w:t>
      </w:r>
      <w:r>
        <w:rPr>
          <w:rFonts w:ascii="Arial" w:cs="Arial" w:eastAsia="Arial" w:hAnsi="Arial"/>
          <w:sz w:val="24"/>
          <w:szCs w:val="24"/>
        </w:rPr>
        <w:t xml:space="preserve"> is now found in 70–85% of neonatal E. coli EOS isolates in US studies. This means that ampicillin alone is unreliable as monotherapy for confirmed E. coli infection. </w:t>
      </w:r>
      <w:r>
        <w:rPr>
          <w:rFonts w:ascii="Arial" w:cs="Arial" w:eastAsia="Arial" w:hAnsi="Arial"/>
          <w:b/>
          <w:bCs/>
          <w:sz w:val="24"/>
          <w:szCs w:val="24"/>
        </w:rPr>
        <w:t xml:space="preserve">Gentamicin resistance</w:t>
      </w:r>
      <w:r>
        <w:rPr>
          <w:rFonts w:ascii="Arial" w:cs="Arial" w:eastAsia="Arial" w:hAnsi="Arial"/>
          <w:sz w:val="24"/>
          <w:szCs w:val="24"/>
        </w:rPr>
        <w:t xml:space="preserve"> remains relatively low (approximately 4–6% in US populations) but appears to be increasing. </w:t>
      </w:r>
      <w:r>
        <w:rPr>
          <w:rFonts w:ascii="Arial" w:cs="Arial" w:eastAsia="Arial" w:hAnsi="Arial"/>
          <w:b/>
          <w:bCs/>
          <w:sz w:val="24"/>
          <w:szCs w:val="24"/>
        </w:rPr>
        <w:t xml:space="preserve">Third-generation cephalosporin resistance</w:t>
      </w:r>
      <w:r>
        <w:rPr>
          <w:rFonts w:ascii="Arial" w:cs="Arial" w:eastAsia="Arial" w:hAnsi="Arial"/>
          <w:sz w:val="24"/>
          <w:szCs w:val="24"/>
        </w:rPr>
        <w:t xml:space="preserve"> is still uncommon (&lt; 5%) for EOS isolates in the US but is rising dramatically in the late-onset and nosocomial setting, often mediated by extended-spectrum beta-lactamases (ESBLs). </w:t>
      </w:r>
      <w:r>
        <w:rPr>
          <w:rFonts w:ascii="Arial" w:cs="Arial" w:eastAsia="Arial" w:hAnsi="Arial"/>
          <w:b/>
          <w:bCs/>
          <w:sz w:val="24"/>
          <w:szCs w:val="24"/>
        </w:rPr>
        <w:t xml:space="preserve">ESBL-producing E. coli</w:t>
      </w:r>
      <w:r>
        <w:rPr>
          <w:rFonts w:ascii="Arial" w:cs="Arial" w:eastAsia="Arial" w:hAnsi="Arial"/>
          <w:sz w:val="24"/>
          <w:szCs w:val="24"/>
        </w:rPr>
        <w:t xml:space="preserve"> resistance to all penicillins and cephalosporins, requiring carbapenem therapy, is an emerging and deeply concerning trend, particularly among preterm infants with prolonged NICU stays.</w:t>
      </w:r>
    </w:p>
    <w:p>
      <w:r>
        <w:br w:type="page"/>
      </w:r>
    </w:p>
    <w:p>
      <w:pPr>
        <w:pStyle w:val="Heading1"/>
        <w:spacing w:after="200" w:before="360"/>
      </w:pPr>
      <w:r>
        <w:rPr>
          <w:rFonts w:ascii="Arial" w:cs="Arial" w:eastAsia="Arial" w:hAnsi="Arial"/>
          <w:b/>
          <w:bCs/>
          <w:sz w:val="32"/>
          <w:szCs w:val="32"/>
        </w:rPr>
        <w:t xml:space="preserve">Chapter 7: Transport and Escalation</w:t>
      </w:r>
    </w:p>
    <w:p>
      <w:pPr>
        <w:pStyle w:val="Heading2"/>
        <w:spacing w:after="160" w:before="280"/>
      </w:pPr>
      <w:r>
        <w:rPr>
          <w:rFonts w:ascii="Arial" w:cs="Arial" w:eastAsia="Arial" w:hAnsi="Arial"/>
          <w:b/>
          <w:bCs/>
          <w:sz w:val="28"/>
          <w:szCs w:val="28"/>
        </w:rPr>
        <w:t xml:space="preserve">7.1 Criteria for Transport</w:t>
      </w:r>
    </w:p>
    <w:p>
      <w:pPr>
        <w:spacing w:after="160"/>
      </w:pPr>
      <w:r>
        <w:rPr>
          <w:rFonts w:ascii="Arial" w:cs="Arial" w:eastAsia="Arial" w:hAnsi="Arial"/>
          <w:sz w:val="24"/>
          <w:szCs w:val="24"/>
        </w:rPr>
        <w:t xml:space="preserve">Transfer to a higher level of care (Level III or Level IV NICU) should be initiated for any of the following situations: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Criterion</w:t>
            </w:r>
          </w:p>
        </w:tc>
        <w:tc>
          <w:tcPr>
            <w:tcW w:type="dxa" w:w="468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Rationale</w:t>
            </w:r>
          </w:p>
        </w:tc>
      </w:tr>
      <w:tr>
        <w:tc>
          <w:tcPr>
            <w:tcW w:type="dxa" w:w="4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Confirmed gram-negative meningitis</w:t>
            </w:r>
          </w:p>
        </w:tc>
        <w:tc>
          <w:tcPr>
            <w:tcW w:type="dxa" w:w="4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Requires prolonged complex antibiotic therapy, serial LPs, neuroimaging, potential neurosurgical intervention</w:t>
            </w:r>
          </w:p>
        </w:tc>
      </w:tr>
      <w:tr>
        <w:tc>
          <w:tcPr>
            <w:tcW w:type="dxa" w:w="4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Septic shock requiring vasopressor support beyond facility capability</w:t>
            </w:r>
          </w:p>
        </w:tc>
        <w:tc>
          <w:tcPr>
            <w:tcW w:type="dxa" w:w="4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Hemodynamic instability requires intensive monitoring and titration</w:t>
            </w:r>
          </w:p>
        </w:tc>
      </w:tr>
      <w:tr>
        <w:tc>
          <w:tcPr>
            <w:tcW w:type="dxa" w:w="4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ESBL or multi-drug resistant organism</w:t>
            </w:r>
          </w:p>
        </w:tc>
        <w:tc>
          <w:tcPr>
            <w:tcW w:type="dxa" w:w="4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Requires infectious disease consultation and carbapenem therapy</w:t>
            </w:r>
          </w:p>
        </w:tc>
      </w:tr>
      <w:tr>
        <w:tc>
          <w:tcPr>
            <w:tcW w:type="dxa" w:w="4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Need for mechanical ventilation beyond facility capability</w:t>
            </w:r>
          </w:p>
        </w:tc>
        <w:tc>
          <w:tcPr>
            <w:tcW w:type="dxa" w:w="468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Respiratory failure with shock in a septic neonate requires Level III or higher</w:t>
            </w:r>
          </w:p>
        </w:tc>
      </w:tr>
      <w:tr>
        <w:tc>
          <w:tcPr>
            <w:tcW w:type="dxa" w:w="46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Clinical deterioration despite appropriate empiric therapy for 12–24 hours</w:t>
            </w:r>
          </w:p>
        </w:tc>
        <w:tc>
          <w:tcPr>
            <w:tcW w:type="dxa" w:w="46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May indicate resistant organism, inadequate source control, or additional pathology</w:t>
            </w:r>
          </w:p>
        </w:tc>
      </w:tr>
      <w:tr>
        <w:tc>
          <w:tcPr>
            <w:tcW w:type="dxa" w:w="46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Any gestational age &lt; 32 weeks with suspected sepsis</w:t>
            </w:r>
          </w:p>
        </w:tc>
        <w:tc>
          <w:tcPr>
            <w:tcW w:type="dxa" w:w="46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Below Level II scope of care in most facilities</w:t>
            </w:r>
          </w:p>
        </w:tc>
      </w:tr>
      <w:tr>
        <w:tc>
          <w:tcPr>
            <w:tcW w:type="dxa" w:w="46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Surgical complications (necrotizing enterocolitis, abscess)</w:t>
            </w:r>
          </w:p>
        </w:tc>
        <w:tc>
          <w:tcPr>
            <w:tcW w:type="dxa" w:w="468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Requires pediatric surgical capability not available at Level I/II</w:t>
            </w:r>
          </w:p>
        </w:tc>
      </w:tr>
    </w:tbl>
    <w:p>
      <w:pPr>
        <w:spacing w:after="160"/>
      </w:pPr>
      <w:r>
        <w:rPr>
          <w:rFonts w:ascii="Arial" w:cs="Arial" w:eastAsia="Arial" w:hAnsi="Arial"/>
          <w:sz w:val="24"/>
          <w:szCs w:val="24"/>
        </w:rPr>
        <w:t xml:space="preserve"/>
      </w:r>
    </w:p>
    <w:p>
      <w:pPr>
        <w:pStyle w:val="Heading2"/>
        <w:spacing w:after="160" w:before="280"/>
      </w:pPr>
      <w:r>
        <w:rPr>
          <w:rFonts w:ascii="Arial" w:cs="Arial" w:eastAsia="Arial" w:hAnsi="Arial"/>
          <w:b/>
          <w:bCs/>
          <w:sz w:val="28"/>
          <w:szCs w:val="28"/>
        </w:rPr>
        <w:t xml:space="preserve">7.2 Stabilization Before Transport</w:t>
      </w:r>
    </w:p>
    <w:p>
      <w:pPr>
        <w:spacing w:after="160"/>
      </w:pPr>
      <w:r>
        <w:rPr>
          <w:rFonts w:ascii="Arial" w:cs="Arial" w:eastAsia="Arial" w:hAnsi="Arial"/>
          <w:sz w:val="24"/>
          <w:szCs w:val="24"/>
        </w:rPr>
        <w:t xml:space="preserve">The following priorities should guide stabilization while awaiting the transport team:</w:t>
      </w:r>
    </w:p>
    <w:p>
      <w:pPr>
        <w:spacing w:after="160"/>
      </w:pPr>
      <w:r>
        <w:rPr>
          <w:rFonts w:ascii="Arial" w:cs="Arial" w:eastAsia="Arial" w:hAnsi="Arial"/>
          <w:b/>
          <w:bCs/>
          <w:sz w:val="24"/>
          <w:szCs w:val="24"/>
        </w:rPr>
        <w:t xml:space="preserve">Airway: </w:t>
      </w:r>
      <w:r>
        <w:rPr>
          <w:rFonts w:ascii="Arial" w:cs="Arial" w:eastAsia="Arial" w:hAnsi="Arial"/>
          <w:sz w:val="24"/>
          <w:szCs w:val="24"/>
        </w:rPr>
        <w:t xml:space="preserve">Secure airway. If the neonate is intubated, confirm ETT position with chest X-ray. If not intubated but deteriorating, strongly consider intubation prior to transport.</w:t>
      </w:r>
    </w:p>
    <w:p>
      <w:pPr>
        <w:spacing w:after="160"/>
      </w:pPr>
      <w:r>
        <w:rPr>
          <w:rFonts w:ascii="Arial" w:cs="Arial" w:eastAsia="Arial" w:hAnsi="Arial"/>
          <w:b/>
          <w:bCs/>
          <w:sz w:val="24"/>
          <w:szCs w:val="24"/>
        </w:rPr>
        <w:t xml:space="preserve">Breathing: </w:t>
      </w:r>
      <w:r>
        <w:rPr>
          <w:rFonts w:ascii="Arial" w:cs="Arial" w:eastAsia="Arial" w:hAnsi="Arial"/>
          <w:sz w:val="24"/>
          <w:szCs w:val="24"/>
        </w:rPr>
        <w:t xml:space="preserve">Maintain adequate oxygenation and ventilation. Titrate FiO2 to target SpO2. If on CPAP, document settings and response.</w:t>
      </w:r>
    </w:p>
    <w:p>
      <w:pPr>
        <w:spacing w:after="160"/>
      </w:pPr>
      <w:r>
        <w:rPr>
          <w:rFonts w:ascii="Arial" w:cs="Arial" w:eastAsia="Arial" w:hAnsi="Arial"/>
          <w:b/>
          <w:bCs/>
          <w:sz w:val="24"/>
          <w:szCs w:val="24"/>
        </w:rPr>
        <w:t xml:space="preserve">Circulation: </w:t>
      </w:r>
      <w:r>
        <w:rPr>
          <w:rFonts w:ascii="Arial" w:cs="Arial" w:eastAsia="Arial" w:hAnsi="Arial"/>
          <w:sz w:val="24"/>
          <w:szCs w:val="24"/>
        </w:rPr>
        <w:t xml:space="preserve">Ensure IV access (ideally two sites). Continue fluid resuscitation as needed. Initiate vasopressors if available and indicated. Document total fluid administered.</w:t>
      </w:r>
    </w:p>
    <w:p>
      <w:pPr>
        <w:spacing w:after="160"/>
      </w:pPr>
      <w:r>
        <w:rPr>
          <w:rFonts w:ascii="Arial" w:cs="Arial" w:eastAsia="Arial" w:hAnsi="Arial"/>
          <w:b/>
          <w:bCs/>
          <w:sz w:val="24"/>
          <w:szCs w:val="24"/>
        </w:rPr>
        <w:t xml:space="preserve">Antibiotics: </w:t>
      </w:r>
      <w:r>
        <w:rPr>
          <w:rFonts w:ascii="Arial" w:cs="Arial" w:eastAsia="Arial" w:hAnsi="Arial"/>
          <w:sz w:val="24"/>
          <w:szCs w:val="24"/>
        </w:rPr>
        <w:t xml:space="preserve">Ensure first doses of ampicillin and gentamicin (and cefotaxime if meningitis suspected) have been given. Do NOT wait for the transport team to administer first antibiotics.</w:t>
      </w:r>
    </w:p>
    <w:p>
      <w:pPr>
        <w:spacing w:after="160"/>
      </w:pPr>
      <w:r>
        <w:rPr>
          <w:rFonts w:ascii="Arial" w:cs="Arial" w:eastAsia="Arial" w:hAnsi="Arial"/>
          <w:b/>
          <w:bCs/>
          <w:sz w:val="24"/>
          <w:szCs w:val="24"/>
        </w:rPr>
        <w:t xml:space="preserve">Glucose: </w:t>
      </w:r>
      <w:r>
        <w:rPr>
          <w:rFonts w:ascii="Arial" w:cs="Arial" w:eastAsia="Arial" w:hAnsi="Arial"/>
          <w:sz w:val="24"/>
          <w:szCs w:val="24"/>
        </w:rPr>
        <w:t xml:space="preserve">Check and correct glucose. Ensure continuous dextrose infusion is running.</w:t>
      </w:r>
    </w:p>
    <w:p>
      <w:pPr>
        <w:spacing w:after="160"/>
      </w:pPr>
      <w:r>
        <w:rPr>
          <w:rFonts w:ascii="Arial" w:cs="Arial" w:eastAsia="Arial" w:hAnsi="Arial"/>
          <w:b/>
          <w:bCs/>
          <w:sz w:val="24"/>
          <w:szCs w:val="24"/>
        </w:rPr>
        <w:t xml:space="preserve">Temperature: </w:t>
      </w:r>
      <w:r>
        <w:rPr>
          <w:rFonts w:ascii="Arial" w:cs="Arial" w:eastAsia="Arial" w:hAnsi="Arial"/>
          <w:sz w:val="24"/>
          <w:szCs w:val="24"/>
        </w:rPr>
        <w:t xml:space="preserve">Maintain normothermia. Use servo-controlled warmer or isolette.</w:t>
      </w:r>
    </w:p>
    <w:p>
      <w:pPr>
        <w:pStyle w:val="Heading2"/>
        <w:spacing w:after="160" w:before="280"/>
      </w:pPr>
      <w:r>
        <w:rPr>
          <w:rFonts w:ascii="Arial" w:cs="Arial" w:eastAsia="Arial" w:hAnsi="Arial"/>
          <w:b/>
          <w:bCs/>
          <w:sz w:val="28"/>
          <w:szCs w:val="28"/>
        </w:rPr>
        <w:t xml:space="preserve">7.3 SBAR Communication</w:t>
      </w:r>
    </w:p>
    <w:p>
      <w:pPr>
        <w:spacing w:after="160"/>
      </w:pPr>
      <w:r>
        <w:rPr>
          <w:rFonts w:ascii="Arial" w:cs="Arial" w:eastAsia="Arial" w:hAnsi="Arial"/>
          <w:sz w:val="24"/>
          <w:szCs w:val="24"/>
        </w:rPr>
        <w:t xml:space="preserve">Use the SBAR format when communicating with the receiving NICU:</w:t>
      </w:r>
    </w:p>
    <w:p>
      <w:pPr>
        <w:spacing w:after="160"/>
      </w:pPr>
      <w:r>
        <w:rPr>
          <w:rFonts w:ascii="Arial" w:cs="Arial" w:eastAsia="Arial" w:hAnsi="Arial"/>
          <w:b/>
          <w:bCs/>
          <w:sz w:val="24"/>
          <w:szCs w:val="24"/>
        </w:rPr>
        <w:t xml:space="preserve">Situation: </w:t>
      </w:r>
      <w:r>
        <w:rPr>
          <w:rFonts w:ascii="Arial" w:cs="Arial" w:eastAsia="Arial" w:hAnsi="Arial"/>
          <w:sz w:val="24"/>
          <w:szCs w:val="24"/>
        </w:rPr>
        <w:t xml:space="preserve">"I am calling from [Hospital Name]. We have a [gestational age] week, [birth weight] gram neonate who is [X] hours old with suspected/confirmed gram-negative sepsis."</w:t>
      </w:r>
    </w:p>
    <w:p>
      <w:pPr>
        <w:spacing w:after="160"/>
      </w:pPr>
      <w:r>
        <w:rPr>
          <w:rFonts w:ascii="Arial" w:cs="Arial" w:eastAsia="Arial" w:hAnsi="Arial"/>
          <w:b/>
          <w:bCs/>
          <w:sz w:val="24"/>
          <w:szCs w:val="24"/>
        </w:rPr>
        <w:t xml:space="preserve">Background: </w:t>
      </w:r>
      <w:r>
        <w:rPr>
          <w:rFonts w:ascii="Arial" w:cs="Arial" w:eastAsia="Arial" w:hAnsi="Arial"/>
          <w:sz w:val="24"/>
          <w:szCs w:val="24"/>
        </w:rPr>
        <w:t xml:space="preserve">"Maternal history includes [risk factors]. The baby developed [symptoms] at [time]. Blood cultures were obtained at [time]. Lumbar puncture [was/was not] performed."</w:t>
      </w:r>
    </w:p>
    <w:p>
      <w:pPr>
        <w:spacing w:after="160"/>
      </w:pPr>
      <w:r>
        <w:rPr>
          <w:rFonts w:ascii="Arial" w:cs="Arial" w:eastAsia="Arial" w:hAnsi="Arial"/>
          <w:b/>
          <w:bCs/>
          <w:sz w:val="24"/>
          <w:szCs w:val="24"/>
        </w:rPr>
        <w:t xml:space="preserve">Assessment: </w:t>
      </w:r>
      <w:r>
        <w:rPr>
          <w:rFonts w:ascii="Arial" w:cs="Arial" w:eastAsia="Arial" w:hAnsi="Arial"/>
          <w:sz w:val="24"/>
          <w:szCs w:val="24"/>
        </w:rPr>
        <w:t xml:space="preserve">"Current vital signs are [HR, RR, BP, SpO2, Temp]. The baby is currently on [respiratory support, IV fluids at rate, antibiotics given with times]. Glucose is [value]. We are concerned about [septic shock / meningitis / clinical deterioration]."</w:t>
      </w:r>
    </w:p>
    <w:p>
      <w:pPr>
        <w:spacing w:after="160"/>
      </w:pPr>
      <w:r>
        <w:rPr>
          <w:rFonts w:ascii="Arial" w:cs="Arial" w:eastAsia="Arial" w:hAnsi="Arial"/>
          <w:b/>
          <w:bCs/>
          <w:sz w:val="24"/>
          <w:szCs w:val="24"/>
        </w:rPr>
        <w:t xml:space="preserve">Recommendation: </w:t>
      </w:r>
      <w:r>
        <w:rPr>
          <w:rFonts w:ascii="Arial" w:cs="Arial" w:eastAsia="Arial" w:hAnsi="Arial"/>
          <w:sz w:val="24"/>
          <w:szCs w:val="24"/>
        </w:rPr>
        <w:t xml:space="preserve">"We are requesting transport to your NICU for [reason]. Estimated stabilization needs include [airway management, continued vasopressor support, etc.]. What additional recommendations do you have for our management while awaiting your team?"</w:t>
      </w:r>
    </w:p>
    <w:p>
      <w:r>
        <w:br w:type="page"/>
      </w:r>
    </w:p>
    <w:p>
      <w:pPr>
        <w:pStyle w:val="Heading1"/>
        <w:spacing w:after="200" w:before="360"/>
      </w:pPr>
      <w:r>
        <w:rPr>
          <w:rFonts w:ascii="Arial" w:cs="Arial" w:eastAsia="Arial" w:hAnsi="Arial"/>
          <w:b/>
          <w:bCs/>
          <w:sz w:val="32"/>
          <w:szCs w:val="32"/>
        </w:rPr>
        <w:t xml:space="preserve">Chapter 8: Quality and Safety</w:t>
      </w:r>
    </w:p>
    <w:p>
      <w:pPr>
        <w:pStyle w:val="Heading2"/>
        <w:spacing w:after="160" w:before="280"/>
      </w:pPr>
      <w:r>
        <w:rPr>
          <w:rFonts w:ascii="Arial" w:cs="Arial" w:eastAsia="Arial" w:hAnsi="Arial"/>
          <w:b/>
          <w:bCs/>
          <w:sz w:val="28"/>
          <w:szCs w:val="28"/>
        </w:rPr>
        <w:t xml:space="preserve">8.1 Common Errors and How to Prevent Them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Error</w:t>
            </w:r>
          </w:p>
        </w:tc>
        <w:tc>
          <w:tcPr>
            <w:tcW w:type="dxa" w:w="2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Consequence</w:t>
            </w:r>
          </w:p>
        </w:tc>
        <w:tc>
          <w:tcPr>
            <w:tcW w:type="dxa" w:w="436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Prevention Strategy</w:t>
            </w:r>
          </w:p>
        </w:tc>
      </w:tr>
      <w:tr>
        <w:tc>
          <w:tcPr>
            <w:tcW w:type="dxa" w:w="2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Insufficient blood culture volume</w:t>
            </w:r>
          </w:p>
        </w:tc>
        <w:tc>
          <w:tcPr>
            <w:tcW w:type="dxa" w:w="2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False-negative culture; missed sepsis</w:t>
            </w:r>
          </w:p>
        </w:tc>
        <w:tc>
          <w:tcPr>
            <w:tcW w:type="dxa" w:w="43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Train all staff on 1 mL minimum; use dedicated neonatal blood culture collection kits</w:t>
            </w:r>
          </w:p>
        </w:tc>
      </w:tr>
      <w:tr>
        <w:tc>
          <w:tcPr>
            <w:tcW w:type="dxa" w:w="2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Delayed antibiotic administration</w:t>
            </w:r>
          </w:p>
        </w:tc>
        <w:tc>
          <w:tcPr>
            <w:tcW w:type="dxa" w:w="2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Increased mortality with each hour of delay in gram-negative sepsis</w:t>
            </w:r>
          </w:p>
        </w:tc>
        <w:tc>
          <w:tcPr>
            <w:tcW w:type="dxa" w:w="43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Target: antibiotics within 60 minutes of sepsis recognition; pre-mix ampicillin and gentamicin in Pyxis</w:t>
            </w:r>
          </w:p>
        </w:tc>
      </w:tr>
      <w:tr>
        <w:tc>
          <w:tcPr>
            <w:tcW w:type="dxa" w:w="2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Failure to add cefotaxime when meningitis suspected</w:t>
            </w:r>
          </w:p>
        </w:tc>
        <w:tc>
          <w:tcPr>
            <w:tcW w:type="dxa" w:w="250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Inadequate CSF coverage with aminoglycosides alone</w:t>
            </w:r>
          </w:p>
        </w:tc>
        <w:tc>
          <w:tcPr>
            <w:tcW w:type="dxa" w:w="4360"/>
            <w:tcBorders>
              <w:top w:val="single" w:color="CCCCCC" w:sz="1"/>
              <w:left w:val="single" w:color="CCCCCC" w:sz="1"/>
              <w:bottom w:val="single" w:color="CCCCCC" w:sz="1"/>
              <w:right w:val="single" w:color="CCCCCC" w:sz="1"/>
            </w:tcBorders>
            <w:shd w:fill="FFC7CE" w:val="clear"/>
            <w:tcMar>
              <w:top w:type="dxa" w:w="80"/>
              <w:left w:type="dxa" w:w="120"/>
              <w:bottom w:type="dxa" w:w="80"/>
              <w:right w:type="dxa" w:w="120"/>
            </w:tcMar>
          </w:tcPr>
          <w:p>
            <w:r>
              <w:rPr>
                <w:rFonts w:ascii="Arial" w:cs="Arial" w:eastAsia="Arial" w:hAnsi="Arial"/>
                <w:sz w:val="22"/>
                <w:szCs w:val="22"/>
              </w:rPr>
              <w:t xml:space="preserve">Decision support tool: any neonate with seizures, bulging fontanelle, or E. coli bacteremia requires LP and cephalosporin</w:t>
            </w:r>
          </w:p>
        </w:tc>
      </w:tr>
      <w:tr>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Continuing antibiotics beyond 36 hours with negative cultures and clinical improvement</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Unnecessary antibiotic exposure; disrupted microbiome; increased resistance risk</w:t>
            </w:r>
          </w:p>
        </w:tc>
        <w:tc>
          <w:tcPr>
            <w:tcW w:type="dxa" w:w="43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Implement mandatory 36-hour reassessment checklist</w:t>
            </w:r>
          </w:p>
        </w:tc>
      </w:tr>
      <w:tr>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Failure to obtain LP in confirmed bacteremia</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Missed meningitis; inadequate treatment duration</w:t>
            </w:r>
          </w:p>
        </w:tc>
        <w:tc>
          <w:tcPr>
            <w:tcW w:type="dxa" w:w="43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Protocol: LP recommended in all blood culture-positive neonatal sepsis when clinically stable enough to perform</w:t>
            </w:r>
          </w:p>
        </w:tc>
      </w:tr>
      <w:tr>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Not monitoring gentamicin levels</w:t>
            </w:r>
          </w:p>
        </w:tc>
        <w:tc>
          <w:tcPr>
            <w:tcW w:type="dxa" w:w="250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Toxicity (ototoxicity, nephrotoxicity) or subtherapeutic dosing</w:t>
            </w:r>
          </w:p>
        </w:tc>
        <w:tc>
          <w:tcPr>
            <w:tcW w:type="dxa" w:w="4360"/>
            <w:tcBorders>
              <w:top w:val="single" w:color="CCCCCC" w:sz="1"/>
              <w:left w:val="single" w:color="CCCCCC" w:sz="1"/>
              <w:bottom w:val="single" w:color="CCCCCC" w:sz="1"/>
              <w:right w:val="single" w:color="CCCCCC" w:sz="1"/>
            </w:tcBorders>
            <w:shd w:fill="FFEB9C" w:val="clear"/>
            <w:tcMar>
              <w:top w:type="dxa" w:w="80"/>
              <w:left w:type="dxa" w:w="120"/>
              <w:bottom w:type="dxa" w:w="80"/>
              <w:right w:type="dxa" w:w="120"/>
            </w:tcMar>
          </w:tcPr>
          <w:p>
            <w:r>
              <w:rPr>
                <w:rFonts w:ascii="Arial" w:cs="Arial" w:eastAsia="Arial" w:hAnsi="Arial"/>
                <w:sz w:val="22"/>
                <w:szCs w:val="22"/>
              </w:rPr>
              <w:t xml:space="preserve">Trough level before third dose; goal &lt; 1 mcg/mL</w:t>
            </w:r>
          </w:p>
        </w:tc>
      </w:tr>
    </w:tbl>
    <w:p>
      <w:pPr>
        <w:spacing w:after="160"/>
      </w:pPr>
      <w:r>
        <w:rPr>
          <w:rFonts w:ascii="Arial" w:cs="Arial" w:eastAsia="Arial" w:hAnsi="Arial"/>
          <w:sz w:val="24"/>
          <w:szCs w:val="24"/>
        </w:rPr>
        <w:t xml:space="preserve"/>
      </w:r>
    </w:p>
    <w:p>
      <w:pPr>
        <w:pStyle w:val="Heading2"/>
        <w:spacing w:after="160" w:before="280"/>
      </w:pPr>
      <w:r>
        <w:rPr>
          <w:rFonts w:ascii="Arial" w:cs="Arial" w:eastAsia="Arial" w:hAnsi="Arial"/>
          <w:b/>
          <w:bCs/>
          <w:sz w:val="28"/>
          <w:szCs w:val="28"/>
        </w:rPr>
        <w:t xml:space="preserve">8.2 Documentation Best Practices</w:t>
      </w:r>
    </w:p>
    <w:p>
      <w:pPr>
        <w:spacing w:after="160"/>
      </w:pPr>
      <w:r>
        <w:rPr>
          <w:rFonts w:ascii="Arial" w:cs="Arial" w:eastAsia="Arial" w:hAnsi="Arial"/>
          <w:sz w:val="24"/>
          <w:szCs w:val="24"/>
        </w:rPr>
        <w:t xml:space="preserve">Thorough documentation is essential for continuity of care, quality review, and medicolegal protection. For every sepsis evaluation, document the following: clinical indication for evaluation (what signs or risk factors prompted the workup), exact time of blood culture collection and volume obtained, exact time of first antibiotic dose, all vital signs at time of evaluation, results of any point-of-care testing, communication with parents/guardians including risks discussed and informed consent for procedures, and communication with consulting or receiving physicians (SBAR).</w:t>
      </w:r>
    </w:p>
    <w:p>
      <w:pPr>
        <w:pStyle w:val="Heading2"/>
        <w:spacing w:after="160" w:before="280"/>
      </w:pPr>
      <w:r>
        <w:rPr>
          <w:rFonts w:ascii="Arial" w:cs="Arial" w:eastAsia="Arial" w:hAnsi="Arial"/>
          <w:b/>
          <w:bCs/>
          <w:sz w:val="28"/>
          <w:szCs w:val="28"/>
        </w:rPr>
        <w:t xml:space="preserve">8.3 Family Communication</w:t>
      </w:r>
    </w:p>
    <w:p>
      <w:pPr>
        <w:spacing w:after="160"/>
      </w:pPr>
      <w:r>
        <w:rPr>
          <w:rFonts w:ascii="Arial" w:cs="Arial" w:eastAsia="Arial" w:hAnsi="Arial"/>
          <w:sz w:val="24"/>
          <w:szCs w:val="24"/>
        </w:rPr>
        <w:t xml:space="preserve">Gram-negative sepsis is a terrifying event for families. Clear, empathetic, and honest communication is essential. Key principles include using plain language (avoid medical jargon), explaining what sepsis is and why it is serious, describing what tests are being done and why, being honest about uncertainty when cultures are pending, explaining the transport process if transfer is needed, and providing frequent updates even when there is no new information.</w:t>
      </w:r>
    </w:p>
    <w:p>
      <w:r>
        <w:br w:type="page"/>
      </w:r>
    </w:p>
    <w:p>
      <w:pPr>
        <w:pStyle w:val="Heading1"/>
        <w:spacing w:after="200" w:before="360"/>
      </w:pPr>
      <w:r>
        <w:rPr>
          <w:rFonts w:ascii="Arial" w:cs="Arial" w:eastAsia="Arial" w:hAnsi="Arial"/>
          <w:b/>
          <w:bCs/>
          <w:sz w:val="32"/>
          <w:szCs w:val="32"/>
        </w:rPr>
        <w:t xml:space="preserve">Chapter 9: Case Studies</w:t>
      </w:r>
    </w:p>
    <w:p>
      <w:pPr>
        <w:pStyle w:val="Heading2"/>
        <w:spacing w:after="160" w:before="280"/>
      </w:pPr>
      <w:r>
        <w:rPr>
          <w:rFonts w:ascii="Arial" w:cs="Arial" w:eastAsia="Arial" w:hAnsi="Arial"/>
          <w:b/>
          <w:bCs/>
          <w:sz w:val="28"/>
          <w:szCs w:val="28"/>
        </w:rPr>
        <w:t xml:space="preserve">Case 1: Term Infant with Early-Onset E. coli Sepsis</w:t>
      </w:r>
    </w:p>
    <w:p>
      <w:pPr>
        <w:spacing w:after="160"/>
      </w:pPr>
      <w:r>
        <w:rPr>
          <w:rFonts w:ascii="Arial" w:cs="Arial" w:eastAsia="Arial" w:hAnsi="Arial"/>
          <w:b/>
          <w:bCs/>
          <w:sz w:val="24"/>
          <w:szCs w:val="24"/>
        </w:rPr>
        <w:t xml:space="preserve">Presentation: </w:t>
      </w:r>
      <w:r>
        <w:rPr>
          <w:rFonts w:ascii="Arial" w:cs="Arial" w:eastAsia="Arial" w:hAnsi="Arial"/>
          <w:sz w:val="24"/>
          <w:szCs w:val="24"/>
        </w:rPr>
        <w:t xml:space="preserve">A 3,200-gram male infant born at 39 weeks via vaginal delivery. Mother was GBS-positive and received adequate IAP with penicillin G (two doses, first given 5 hours prior to delivery). Rupture of membranes occurred 22 hours before delivery. Apgar scores 8 and 9. At 6 hours of life, the bedside nurse notes the infant is tachypneic (RR 72) with mild subcostal retractions and an axillary temperature of 37.9°C.</w:t>
      </w:r>
    </w:p>
    <w:p>
      <w:pPr>
        <w:spacing w:after="160"/>
      </w:pPr>
      <w:r>
        <w:rPr>
          <w:rFonts w:ascii="Arial" w:cs="Arial" w:eastAsia="Arial" w:hAnsi="Arial"/>
          <w:b/>
          <w:bCs/>
          <w:sz w:val="24"/>
          <w:szCs w:val="24"/>
        </w:rPr>
        <w:t xml:space="preserve">Evaluation: </w:t>
      </w:r>
      <w:r>
        <w:rPr>
          <w:rFonts w:ascii="Arial" w:cs="Arial" w:eastAsia="Arial" w:hAnsi="Arial"/>
          <w:sz w:val="24"/>
          <w:szCs w:val="24"/>
        </w:rPr>
        <w:t xml:space="preserve">Blood culture obtained (1.2 mL into aerobic bottle). CBC shows WBC 4,200 with 42% bands (I:T ratio 0.42). CRP 0.8 mg/dL (mildly elevated). Chest X-ray shows bilateral hazy infiltrates. Blood glucose 48 mg/dL.</w:t>
      </w:r>
    </w:p>
    <w:p>
      <w:pPr>
        <w:spacing w:after="160"/>
      </w:pPr>
      <w:r>
        <w:rPr>
          <w:rFonts w:ascii="Arial" w:cs="Arial" w:eastAsia="Arial" w:hAnsi="Arial"/>
          <w:b/>
          <w:bCs/>
          <w:sz w:val="24"/>
          <w:szCs w:val="24"/>
        </w:rPr>
        <w:t xml:space="preserve">Management: </w:t>
      </w:r>
      <w:r>
        <w:rPr>
          <w:rFonts w:ascii="Arial" w:cs="Arial" w:eastAsia="Arial" w:hAnsi="Arial"/>
          <w:sz w:val="24"/>
          <w:szCs w:val="24"/>
        </w:rPr>
        <w:t xml:space="preserve">Ampicillin 50 mg/kg IV and gentamicin 4 mg/kg IV administered within 30 minutes of evaluation. D10W bolus 2 mL/kg given for borderline glucose followed by continuous dextrose infusion at 6 mg/kg/min. Placed on nasal cannula at 1 LPM. At 18 hours, blood culture grows gram-negative rods; LP performed with CSF WBC 2, protein 78, glucose 56 — consistent with negative meningitis. Final culture speciation returns E. coli, ampicillin-resistant, gentamicin-sensitive. Therapy continued with ampicillin (for synergy) and gentamicin for 10 days total. Infant recovered fully.</w:t>
      </w:r>
    </w:p>
    <w:p>
      <w:pPr>
        <w:spacing w:after="160"/>
      </w:pPr>
      <w:r>
        <w:rPr>
          <w:rFonts w:ascii="Arial" w:cs="Arial" w:eastAsia="Arial" w:hAnsi="Arial"/>
          <w:b/>
          <w:bCs/>
          <w:sz w:val="24"/>
          <w:szCs w:val="24"/>
        </w:rPr>
        <w:t xml:space="preserve">Teaching points: </w:t>
      </w:r>
      <w:r>
        <w:rPr>
          <w:rFonts w:ascii="Arial" w:cs="Arial" w:eastAsia="Arial" w:hAnsi="Arial"/>
          <w:sz w:val="24"/>
          <w:szCs w:val="24"/>
        </w:rPr>
        <w:t xml:space="preserve">(1) GBS IAP does not protect against E. coli. (2) Ampicillin resistance is expected in E. coli, making gentamicin the critical component of the empiric regimen. (3) LP is appropriate after confirmation of bacteremia. (4) The nurse’s recognition of subtle tachypnea was the key to early intervention.</w:t>
      </w:r>
    </w:p>
    <w:p>
      <w:pPr>
        <w:pStyle w:val="Heading2"/>
        <w:spacing w:after="160" w:before="280"/>
      </w:pPr>
      <w:r>
        <w:rPr>
          <w:rFonts w:ascii="Arial" w:cs="Arial" w:eastAsia="Arial" w:hAnsi="Arial"/>
          <w:b/>
          <w:bCs/>
          <w:sz w:val="28"/>
          <w:szCs w:val="28"/>
        </w:rPr>
        <w:t xml:space="preserve">Case 2: Preterm Infant with E. coli Meningitis</w:t>
      </w:r>
    </w:p>
    <w:p>
      <w:pPr>
        <w:spacing w:after="160"/>
      </w:pPr>
      <w:r>
        <w:rPr>
          <w:rFonts w:ascii="Arial" w:cs="Arial" w:eastAsia="Arial" w:hAnsi="Arial"/>
          <w:b/>
          <w:bCs/>
          <w:sz w:val="24"/>
          <w:szCs w:val="24"/>
        </w:rPr>
        <w:t xml:space="preserve">Presentation: </w:t>
      </w:r>
      <w:r>
        <w:rPr>
          <w:rFonts w:ascii="Arial" w:cs="Arial" w:eastAsia="Arial" w:hAnsi="Arial"/>
          <w:sz w:val="24"/>
          <w:szCs w:val="24"/>
        </w:rPr>
        <w:t xml:space="preserve">A 1,100-gram female born at 28 weeks via emergent cesarean section for preterm labor with maternal fever (38.8°C). Membranes ruptured 36 hours prior. Apgar scores 4 and 7. Intubated and surfactant administered. At 12 hours, the infant develops hypotension (MAP 22 mmHg), temperature instability (35.4°C), and metabolic acidosis (pH 7.18, lactate 6.2 mmol/L).</w:t>
      </w:r>
    </w:p>
    <w:p>
      <w:pPr>
        <w:spacing w:after="160"/>
      </w:pPr>
      <w:r>
        <w:rPr>
          <w:rFonts w:ascii="Arial" w:cs="Arial" w:eastAsia="Arial" w:hAnsi="Arial"/>
          <w:b/>
          <w:bCs/>
          <w:sz w:val="24"/>
          <w:szCs w:val="24"/>
        </w:rPr>
        <w:t xml:space="preserve">Evaluation: </w:t>
      </w:r>
      <w:r>
        <w:rPr>
          <w:rFonts w:ascii="Arial" w:cs="Arial" w:eastAsia="Arial" w:hAnsi="Arial"/>
          <w:sz w:val="24"/>
          <w:szCs w:val="24"/>
        </w:rPr>
        <w:t xml:space="preserve">Blood culture obtained. CBC shows WBC 2,100 with absolute neutrophil count 480 (severe neutropenia). CRP 4.2 mg/dL. Given clinical severity and gestational age, the team decides LP is not safe to perform at this time due to hemodynamic instability.</w:t>
      </w:r>
    </w:p>
    <w:p>
      <w:pPr>
        <w:spacing w:after="160"/>
      </w:pPr>
      <w:r>
        <w:rPr>
          <w:rFonts w:ascii="Arial" w:cs="Arial" w:eastAsia="Arial" w:hAnsi="Arial"/>
          <w:b/>
          <w:bCs/>
          <w:sz w:val="24"/>
          <w:szCs w:val="24"/>
        </w:rPr>
        <w:t xml:space="preserve">Management: </w:t>
      </w:r>
      <w:r>
        <w:rPr>
          <w:rFonts w:ascii="Arial" w:cs="Arial" w:eastAsia="Arial" w:hAnsi="Arial"/>
          <w:sz w:val="24"/>
          <w:szCs w:val="24"/>
        </w:rPr>
        <w:t xml:space="preserve">Empiric ampicillin 100 mg/kg (meningitis dosing), gentamicin 5 mg/kg, AND cefotaxime 50 mg/kg administered simultaneously. Normal saline 10 mL/kg boluses x 3. Dopamine initiated at 5 mcg/kg/min, titrated to 10 mcg/kg/min. Transport team activated. LP performed after stabilization at receiving NICU: CSF WBC 1,850, protein 380, glucose 8 — confirmed meningitis. Culture grows E. coli K1, ampicillin-resistant, gentamicin-sensitive, cefotaxime-sensitive. Therapy narrowed to cefotaxime for 21 days. MRI at 2 weeks shows ventriculitis. Infant survived but was diagnosed with sensorineural hearing loss at 6-month follow-up.</w:t>
      </w:r>
    </w:p>
    <w:p>
      <w:pPr>
        <w:spacing w:after="160"/>
      </w:pPr>
      <w:r>
        <w:rPr>
          <w:rFonts w:ascii="Arial" w:cs="Arial" w:eastAsia="Arial" w:hAnsi="Arial"/>
          <w:b/>
          <w:bCs/>
          <w:sz w:val="24"/>
          <w:szCs w:val="24"/>
        </w:rPr>
        <w:t xml:space="preserve">Teaching points: </w:t>
      </w:r>
      <w:r>
        <w:rPr>
          <w:rFonts w:ascii="Arial" w:cs="Arial" w:eastAsia="Arial" w:hAnsi="Arial"/>
          <w:sz w:val="24"/>
          <w:szCs w:val="24"/>
        </w:rPr>
        <w:t xml:space="preserve">(1) Preterm infants with prolonged ROM and maternal fever are at highest risk for gram-negative sepsis and meningitis. (2) When meningitis is suspected and LP cannot be safely performed, empiric meningitis-dose antibiotics including a cephalosporin must be given immediately. (3) E. coli K1 meningitis has devastating long-term consequences — hearing screening and neurodevelopmental follow-up are essential. (4) Neutropenia in a septic neonate is an ominous sign indicating bone marrow depletion.</w:t>
      </w:r>
    </w:p>
    <w:p>
      <w:pPr>
        <w:pStyle w:val="Heading2"/>
        <w:spacing w:after="160" w:before="280"/>
      </w:pPr>
      <w:r>
        <w:rPr>
          <w:rFonts w:ascii="Arial" w:cs="Arial" w:eastAsia="Arial" w:hAnsi="Arial"/>
          <w:b/>
          <w:bCs/>
          <w:sz w:val="28"/>
          <w:szCs w:val="28"/>
        </w:rPr>
        <w:t xml:space="preserve">Case 3: Transport Decision in a Rural Level I Nursery</w:t>
      </w:r>
    </w:p>
    <w:p>
      <w:pPr>
        <w:spacing w:after="160"/>
      </w:pPr>
      <w:r>
        <w:rPr>
          <w:rFonts w:ascii="Arial" w:cs="Arial" w:eastAsia="Arial" w:hAnsi="Arial"/>
          <w:b/>
          <w:bCs/>
          <w:sz w:val="24"/>
          <w:szCs w:val="24"/>
        </w:rPr>
        <w:t xml:space="preserve">Presentation: </w:t>
      </w:r>
      <w:r>
        <w:rPr>
          <w:rFonts w:ascii="Arial" w:cs="Arial" w:eastAsia="Arial" w:hAnsi="Arial"/>
          <w:sz w:val="24"/>
          <w:szCs w:val="24"/>
        </w:rPr>
        <w:t xml:space="preserve">A 2,800-gram term infant born at a Critical Access Hospital with a Level I nursery. Unremarkable maternal history. GBS negative. At 28 hours of life, the infant is noted to be increasingly lethargic with poor feeding. Temperature 36.2°C. Heart rate 172. Oxygen saturation 96% on room air.</w:t>
      </w:r>
    </w:p>
    <w:p>
      <w:pPr>
        <w:spacing w:after="160"/>
      </w:pPr>
      <w:r>
        <w:rPr>
          <w:rFonts w:ascii="Arial" w:cs="Arial" w:eastAsia="Arial" w:hAnsi="Arial"/>
          <w:b/>
          <w:bCs/>
          <w:sz w:val="24"/>
          <w:szCs w:val="24"/>
        </w:rPr>
        <w:t xml:space="preserve">Evaluation: </w:t>
      </w:r>
      <w:r>
        <w:rPr>
          <w:rFonts w:ascii="Arial" w:cs="Arial" w:eastAsia="Arial" w:hAnsi="Arial"/>
          <w:sz w:val="24"/>
          <w:szCs w:val="24"/>
        </w:rPr>
        <w:t xml:space="preserve">The provider obtains a blood culture and CBC. CBC shows WBC 18,000 with 8% bands. The facility does not have CRP capability. Glucose is 62 mg/dL. The provider notes that the overall clinical picture is concerning but not overtly septic.</w:t>
      </w:r>
    </w:p>
    <w:p>
      <w:pPr>
        <w:spacing w:after="160"/>
      </w:pPr>
      <w:r>
        <w:rPr>
          <w:rFonts w:ascii="Arial" w:cs="Arial" w:eastAsia="Arial" w:hAnsi="Arial"/>
          <w:b/>
          <w:bCs/>
          <w:sz w:val="24"/>
          <w:szCs w:val="24"/>
        </w:rPr>
        <w:t xml:space="preserve">Decision Point: </w:t>
      </w:r>
      <w:r>
        <w:rPr>
          <w:rFonts w:ascii="Arial" w:cs="Arial" w:eastAsia="Arial" w:hAnsi="Arial"/>
          <w:sz w:val="24"/>
          <w:szCs w:val="24"/>
        </w:rPr>
        <w:t xml:space="preserve">Do we give antibiotics and observe, or activate transport? The provider correctly chooses BOTH: initiates ampicillin and gentamicin immediately AND calls the regional NICU to discuss. During the call, the NICU attending agrees with antibiotic initiation and recommends continued observation at the Level I facility with a plan to transport if clinical deterioration occurs or if the blood culture becomes positive. At 14 hours post-culture, the blood culture flags positive for gram-negative rods. Transport is activated. LP at the receiving NICU is negative for meningitis. Final culture: E. coli, ampicillin-resistant, gentamicin-sensitive. Infant completes therapy at the NICU and is discharged home at 14 days of life.</w:t>
      </w:r>
    </w:p>
    <w:p>
      <w:pPr>
        <w:spacing w:after="160"/>
      </w:pPr>
      <w:r>
        <w:rPr>
          <w:rFonts w:ascii="Arial" w:cs="Arial" w:eastAsia="Arial" w:hAnsi="Arial"/>
          <w:b/>
          <w:bCs/>
          <w:sz w:val="24"/>
          <w:szCs w:val="24"/>
        </w:rPr>
        <w:t xml:space="preserve">Teaching points: </w:t>
      </w:r>
      <w:r>
        <w:rPr>
          <w:rFonts w:ascii="Arial" w:cs="Arial" w:eastAsia="Arial" w:hAnsi="Arial"/>
          <w:sz w:val="24"/>
          <w:szCs w:val="24"/>
        </w:rPr>
        <w:t xml:space="preserve">(1) The threshold for early consultation with a higher-level NICU should be low in rural settings. (2) Initiating antibiotics and activating transport are not mutually exclusive — they should proceed in parallel. (3) A well-appearing neonate can deteriorate rapidly with gram-negative sepsis; do not be falsely reassured by an initially stable appearance.</w:t>
      </w:r>
    </w:p>
    <w:p>
      <w:r>
        <w:br w:type="page"/>
      </w:r>
    </w:p>
    <w:p>
      <w:pPr>
        <w:pStyle w:val="Heading1"/>
        <w:spacing w:after="200" w:before="360"/>
      </w:pPr>
      <w:r>
        <w:rPr>
          <w:rFonts w:ascii="Arial" w:cs="Arial" w:eastAsia="Arial" w:hAnsi="Arial"/>
          <w:b/>
          <w:bCs/>
          <w:sz w:val="32"/>
          <w:szCs w:val="32"/>
        </w:rPr>
        <w:t xml:space="preserve">Chapter 10: Summary and Key Takeaways</w:t>
      </w:r>
    </w:p>
    <w:p>
      <w:pPr>
        <w:pStyle w:val="Heading2"/>
        <w:spacing w:after="160" w:before="280"/>
      </w:pPr>
      <w:r>
        <w:rPr>
          <w:rFonts w:ascii="Arial" w:cs="Arial" w:eastAsia="Arial" w:hAnsi="Arial"/>
          <w:b/>
          <w:bCs/>
          <w:sz w:val="28"/>
          <w:szCs w:val="28"/>
        </w:rPr>
        <w:t xml:space="preserve">10.1 Critical Points Summary</w:t>
      </w:r>
    </w:p>
    <w:p>
      <w:pPr>
        <w:spacing w:after="160"/>
      </w:pPr>
      <w:r>
        <w:rPr>
          <w:rFonts w:ascii="Arial" w:cs="Arial" w:eastAsia="Arial" w:hAnsi="Arial"/>
          <w:b/>
          <w:bCs/>
          <w:sz w:val="24"/>
          <w:szCs w:val="24"/>
        </w:rPr>
        <w:t xml:space="preserve">1. </w:t>
      </w:r>
      <w:r>
        <w:rPr>
          <w:rFonts w:ascii="Arial" w:cs="Arial" w:eastAsia="Arial" w:hAnsi="Arial"/>
          <w:sz w:val="24"/>
          <w:szCs w:val="24"/>
        </w:rPr>
        <w:t xml:space="preserve">E. coli is the most common gram-negative pathogen in neonatal EOS and the leading cause of gram-negative neonatal meningitis. Its incidence relative to GBS has increased since the adoption of IAP.</w:t>
      </w:r>
    </w:p>
    <w:p>
      <w:pPr>
        <w:spacing w:after="160"/>
      </w:pPr>
      <w:r>
        <w:rPr>
          <w:rFonts w:ascii="Arial" w:cs="Arial" w:eastAsia="Arial" w:hAnsi="Arial"/>
          <w:b/>
          <w:bCs/>
          <w:sz w:val="24"/>
          <w:szCs w:val="24"/>
        </w:rPr>
        <w:t xml:space="preserve">2. </w:t>
      </w:r>
      <w:r>
        <w:rPr>
          <w:rFonts w:ascii="Arial" w:cs="Arial" w:eastAsia="Arial" w:hAnsi="Arial"/>
          <w:sz w:val="24"/>
          <w:szCs w:val="24"/>
        </w:rPr>
        <w:t xml:space="preserve">Ampicillin resistance in neonatal E. coli isolates ranges from 70–85% in US populations. The gentamicin component of the empiric regimen is critical for gram-negative coverage.</w:t>
      </w:r>
    </w:p>
    <w:p>
      <w:pPr>
        <w:spacing w:after="160"/>
      </w:pPr>
      <w:r>
        <w:rPr>
          <w:rFonts w:ascii="Arial" w:cs="Arial" w:eastAsia="Arial" w:hAnsi="Arial"/>
          <w:b/>
          <w:bCs/>
          <w:sz w:val="24"/>
          <w:szCs w:val="24"/>
        </w:rPr>
        <w:t xml:space="preserve">3. </w:t>
      </w:r>
      <w:r>
        <w:rPr>
          <w:rFonts w:ascii="Arial" w:cs="Arial" w:eastAsia="Arial" w:hAnsi="Arial"/>
          <w:sz w:val="24"/>
          <w:szCs w:val="24"/>
        </w:rPr>
        <w:t xml:space="preserve">Empiric first-line therapy for suspected neonatal EOS is ampicillin plus gentamicin. Add cefotaxime (or cefepime) if meningitis is suspected. Do NOT substitute cefotaxime for gentamicin routinely.</w:t>
      </w:r>
    </w:p>
    <w:p>
      <w:pPr>
        <w:spacing w:after="160"/>
      </w:pPr>
      <w:r>
        <w:rPr>
          <w:rFonts w:ascii="Arial" w:cs="Arial" w:eastAsia="Arial" w:hAnsi="Arial"/>
          <w:b/>
          <w:bCs/>
          <w:sz w:val="24"/>
          <w:szCs w:val="24"/>
        </w:rPr>
        <w:t xml:space="preserve">4. </w:t>
      </w:r>
      <w:r>
        <w:rPr>
          <w:rFonts w:ascii="Arial" w:cs="Arial" w:eastAsia="Arial" w:hAnsi="Arial"/>
          <w:sz w:val="24"/>
          <w:szCs w:val="24"/>
        </w:rPr>
        <w:t xml:space="preserve">E. coli meningitis (K1 strains) carries 15–40% mortality and 30–50% long-term neurologic morbidity. Treatment requires a minimum of 21 days of an antibiotic with adequate CSF penetration.</w:t>
      </w:r>
    </w:p>
    <w:p>
      <w:pPr>
        <w:spacing w:after="160"/>
      </w:pPr>
      <w:r>
        <w:rPr>
          <w:rFonts w:ascii="Arial" w:cs="Arial" w:eastAsia="Arial" w:hAnsi="Arial"/>
          <w:b/>
          <w:bCs/>
          <w:sz w:val="24"/>
          <w:szCs w:val="24"/>
        </w:rPr>
        <w:t xml:space="preserve">5. </w:t>
      </w:r>
      <w:r>
        <w:rPr>
          <w:rFonts w:ascii="Arial" w:cs="Arial" w:eastAsia="Arial" w:hAnsi="Arial"/>
          <w:sz w:val="24"/>
          <w:szCs w:val="24"/>
        </w:rPr>
        <w:t xml:space="preserve">Neonatal sepsis signs are nonspecific. Respiratory distress is the most common presenting symptom. Temperature instability, lethargy, feeding intolerance, and cardiovascular signs should all trigger evaluation.</w:t>
      </w:r>
    </w:p>
    <w:p>
      <w:pPr>
        <w:spacing w:after="160"/>
      </w:pPr>
      <w:r>
        <w:rPr>
          <w:rFonts w:ascii="Arial" w:cs="Arial" w:eastAsia="Arial" w:hAnsi="Arial"/>
          <w:b/>
          <w:bCs/>
          <w:sz w:val="24"/>
          <w:szCs w:val="24"/>
        </w:rPr>
        <w:t xml:space="preserve">6. </w:t>
      </w:r>
      <w:r>
        <w:rPr>
          <w:rFonts w:ascii="Arial" w:cs="Arial" w:eastAsia="Arial" w:hAnsi="Arial"/>
          <w:sz w:val="24"/>
          <w:szCs w:val="24"/>
        </w:rPr>
        <w:t xml:space="preserve">Blood culture is the gold standard. Minimum volume is 1 mL. Obtain cultures before antibiotics, but NEVER delay antibiotics for culture collection in a critically ill neonate.</w:t>
      </w:r>
    </w:p>
    <w:p>
      <w:pPr>
        <w:spacing w:after="160"/>
      </w:pPr>
      <w:r>
        <w:rPr>
          <w:rFonts w:ascii="Arial" w:cs="Arial" w:eastAsia="Arial" w:hAnsi="Arial"/>
          <w:b/>
          <w:bCs/>
          <w:sz w:val="24"/>
          <w:szCs w:val="24"/>
        </w:rPr>
        <w:t xml:space="preserve">7. </w:t>
      </w:r>
      <w:r>
        <w:rPr>
          <w:rFonts w:ascii="Arial" w:cs="Arial" w:eastAsia="Arial" w:hAnsi="Arial"/>
          <w:sz w:val="24"/>
          <w:szCs w:val="24"/>
        </w:rPr>
        <w:t xml:space="preserve">Antibiotics should be administered within 60 minutes of recognizing possible sepsis. Each hour of delay increases mortality in gram-negative sepsis.</w:t>
      </w:r>
    </w:p>
    <w:p>
      <w:pPr>
        <w:spacing w:after="160"/>
      </w:pPr>
      <w:r>
        <w:rPr>
          <w:rFonts w:ascii="Arial" w:cs="Arial" w:eastAsia="Arial" w:hAnsi="Arial"/>
          <w:b/>
          <w:bCs/>
          <w:sz w:val="24"/>
          <w:szCs w:val="24"/>
        </w:rPr>
        <w:t xml:space="preserve">8. </w:t>
      </w:r>
      <w:r>
        <w:rPr>
          <w:rFonts w:ascii="Arial" w:cs="Arial" w:eastAsia="Arial" w:hAnsi="Arial"/>
          <w:sz w:val="24"/>
          <w:szCs w:val="24"/>
        </w:rPr>
        <w:t xml:space="preserve">If blood cultures are negative at 24–36 hours and the infant has improved clinically, STOP antibiotics. Prolonged unnecessary antibiotic exposure causes harm.</w:t>
      </w:r>
    </w:p>
    <w:p>
      <w:pPr>
        <w:spacing w:after="160"/>
      </w:pPr>
      <w:r>
        <w:rPr>
          <w:rFonts w:ascii="Arial" w:cs="Arial" w:eastAsia="Arial" w:hAnsi="Arial"/>
          <w:b/>
          <w:bCs/>
          <w:sz w:val="24"/>
          <w:szCs w:val="24"/>
        </w:rPr>
        <w:t xml:space="preserve">9. </w:t>
      </w:r>
      <w:r>
        <w:rPr>
          <w:rFonts w:ascii="Arial" w:cs="Arial" w:eastAsia="Arial" w:hAnsi="Arial"/>
          <w:sz w:val="24"/>
          <w:szCs w:val="24"/>
        </w:rPr>
        <w:t xml:space="preserve">For the rural nursery: know your facility’s capabilities, have vasopressor protocols ready, establish pre-transport communication plans with your referral NICU, and practice sepsis drills regularly.</w:t>
      </w:r>
    </w:p>
    <w:p>
      <w:pPr>
        <w:spacing w:after="160"/>
      </w:pPr>
      <w:r>
        <w:rPr>
          <w:rFonts w:ascii="Arial" w:cs="Arial" w:eastAsia="Arial" w:hAnsi="Arial"/>
          <w:b/>
          <w:bCs/>
          <w:sz w:val="24"/>
          <w:szCs w:val="24"/>
        </w:rPr>
        <w:t xml:space="preserve">10. </w:t>
      </w:r>
      <w:r>
        <w:rPr>
          <w:rFonts w:ascii="Arial" w:cs="Arial" w:eastAsia="Arial" w:hAnsi="Arial"/>
          <w:sz w:val="24"/>
          <w:szCs w:val="24"/>
        </w:rPr>
        <w:t xml:space="preserve">Trust clinical judgment and nursing assessment. Serial physical examinations by experienced providers remain the most sensitive tool for identifying neonates who develop EOS.</w:t>
      </w:r>
    </w:p>
    <w:p>
      <w:r>
        <w:br w:type="page"/>
      </w:r>
    </w:p>
    <w:p>
      <w:pPr>
        <w:pStyle w:val="Heading1"/>
        <w:spacing w:after="200" w:before="360"/>
      </w:pPr>
      <w:r>
        <w:rPr>
          <w:rFonts w:ascii="Arial" w:cs="Arial" w:eastAsia="Arial" w:hAnsi="Arial"/>
          <w:b/>
          <w:bCs/>
          <w:sz w:val="32"/>
          <w:szCs w:val="32"/>
        </w:rPr>
        <w:t xml:space="preserve">References</w:t>
      </w:r>
    </w:p>
    <w:p>
      <w:pPr>
        <w:spacing w:after="160"/>
      </w:pPr>
      <w:r>
        <w:rPr>
          <w:rFonts w:ascii="Arial" w:cs="Arial" w:eastAsia="Arial" w:hAnsi="Arial"/>
          <w:sz w:val="24"/>
          <w:szCs w:val="24"/>
        </w:rPr>
        <w:t xml:space="preserve">1. Harrison ML, Dickson BFR, Sharland M, Williams PCM. Beyond Early- and Late-onset Neonatal Sepsis Definitions: What are the Current Causes of Neonatal Sepsis Globally? A Systematic Review and Meta-analysis of the Evidence. Pediatr Infect Dis J. 2024;43(12):1182-1190. doi:10.1097/INF.0000000000004485. PMID: 39264197.</w:t>
      </w:r>
    </w:p>
    <w:p>
      <w:pPr>
        <w:spacing w:after="160"/>
      </w:pPr>
      <w:r>
        <w:rPr>
          <w:rFonts w:ascii="Arial" w:cs="Arial" w:eastAsia="Arial" w:hAnsi="Arial"/>
          <w:sz w:val="24"/>
          <w:szCs w:val="24"/>
        </w:rPr>
        <w:t xml:space="preserve">2. Daniels K, Arrieta A, Nieves DJ, et al. Ampicillin and Gentamicin Treatment for Early Onset Neonatal Sepsis: When One Size Does Not Fit All. Clin Pediatr (Phila). 2023;62(9):1027-1031. doi:10.1177/00099228221150612. PMID: 36691803.</w:t>
      </w:r>
    </w:p>
    <w:p>
      <w:pPr>
        <w:spacing w:after="160"/>
      </w:pPr>
      <w:r>
        <w:rPr>
          <w:rFonts w:ascii="Arial" w:cs="Arial" w:eastAsia="Arial" w:hAnsi="Arial"/>
          <w:sz w:val="24"/>
          <w:szCs w:val="24"/>
        </w:rPr>
        <w:t xml:space="preserve">3. Flannery DD, Puopolo KM. Neonatal Early-Onset Sepsis. NeoReviews. 2022;23(11):756-770. doi:10.1542/neo.23-10-e756.</w:t>
      </w:r>
    </w:p>
    <w:p>
      <w:pPr>
        <w:spacing w:after="160"/>
      </w:pPr>
      <w:r>
        <w:rPr>
          <w:rFonts w:ascii="Arial" w:cs="Arial" w:eastAsia="Arial" w:hAnsi="Arial"/>
          <w:sz w:val="24"/>
          <w:szCs w:val="24"/>
        </w:rPr>
        <w:t xml:space="preserve">4. Briggs-Steinberg C, Roth P. Early-Onset Sepsis in Newborns. Pediatr Rev. 2023;44(1):14-22. doi:10.1542/pir.2020-001164.</w:t>
      </w:r>
    </w:p>
    <w:p>
      <w:pPr>
        <w:spacing w:after="160"/>
      </w:pPr>
      <w:r>
        <w:rPr>
          <w:rFonts w:ascii="Arial" w:cs="Arial" w:eastAsia="Arial" w:hAnsi="Arial"/>
          <w:sz w:val="24"/>
          <w:szCs w:val="24"/>
        </w:rPr>
        <w:t xml:space="preserve">5. Kuzniewicz MW, Escobar GJ, Forquer H, et al. Update to the Neonatal Early-Onset Sepsis Calculator Utilizing a Contemporary Cohort. Pediatrics. 2024;154(4):e2023065267. doi:10.1542/peds.2023-065267.</w:t>
      </w:r>
    </w:p>
    <w:p>
      <w:pPr>
        <w:spacing w:after="160"/>
      </w:pPr>
      <w:r>
        <w:rPr>
          <w:rFonts w:ascii="Arial" w:cs="Arial" w:eastAsia="Arial" w:hAnsi="Arial"/>
          <w:sz w:val="24"/>
          <w:szCs w:val="24"/>
        </w:rPr>
        <w:t xml:space="preserve">6. Miselli F, Cuoghi Costantini R, Creti R, et al. Is E. coli Overtaking GBS in Early-Onset Neonatal Sepsis? Microorganisms. 2022;10(10):1878. doi:10.3390/microorganisms10101878. PMID: 36296155.</w:t>
      </w:r>
    </w:p>
    <w:p>
      <w:pPr>
        <w:spacing w:after="160"/>
      </w:pPr>
      <w:r>
        <w:rPr>
          <w:rFonts w:ascii="Arial" w:cs="Arial" w:eastAsia="Arial" w:hAnsi="Arial"/>
          <w:sz w:val="24"/>
          <w:szCs w:val="24"/>
        </w:rPr>
        <w:t xml:space="preserve">7. Zhu M, Jin Y, Duan Y, He M, Lin Z, Lin J. Multi-Drug Resistant E. coli Causing Early-Onset Neonatal Sepsis. Infect Drug Resist. 2019;12:3695-3702. doi:10.2147/IDR.S229799. PMID: 31819551.</w:t>
      </w:r>
    </w:p>
    <w:p>
      <w:pPr>
        <w:spacing w:after="160"/>
      </w:pPr>
      <w:r>
        <w:rPr>
          <w:rFonts w:ascii="Arial" w:cs="Arial" w:eastAsia="Arial" w:hAnsi="Arial"/>
          <w:sz w:val="24"/>
          <w:szCs w:val="24"/>
        </w:rPr>
        <w:t xml:space="preserve">8. Clark RH, Bloom BT, Spitzer AR, Gerstmann DR. Empiric use of ampicillin and cefotaxime, compared with ampicillin and gentamicin, for neonates at risk for sepsis is associated with an increased risk of neonatal death. Pediatrics. 2006;117(1):67-74.</w:t>
      </w:r>
    </w:p>
    <w:p>
      <w:pPr>
        <w:spacing w:after="160"/>
      </w:pPr>
      <w:r>
        <w:rPr>
          <w:rFonts w:ascii="Arial" w:cs="Arial" w:eastAsia="Arial" w:hAnsi="Arial"/>
          <w:sz w:val="24"/>
          <w:szCs w:val="24"/>
        </w:rPr>
        <w:t xml:space="preserve">9. Sands K, Carvalho MJ, Portal E, et al. Characterization of antimicrobial-resistant Gram-negative bacteria that cause neonatal sepsis in seven low- and middle-income countries. Nat Microbiol. 2021;6(4):512-523. doi:10.1038/s41564-021-00870-7. PMID: 33782558.</w:t>
      </w:r>
    </w:p>
    <w:p>
      <w:pPr>
        <w:spacing w:after="160"/>
      </w:pPr>
      <w:r>
        <w:rPr>
          <w:rFonts w:ascii="Arial" w:cs="Arial" w:eastAsia="Arial" w:hAnsi="Arial"/>
          <w:sz w:val="24"/>
          <w:szCs w:val="24"/>
        </w:rPr>
        <w:t xml:space="preserve">10. Russell NJ, Stohr W, Plakkal N, et al. Patterns of antibiotic use, pathogens, and prediction of mortality in hospitalized neonates and young infants with sepsis: A global neonatal sepsis observational cohort study (NeoOBS). PLoS Med. 2023;20(6):e1004179. doi:10.1371/journal.pmed.1004179. PMID: 37289666.</w:t>
      </w:r>
    </w:p>
    <w:p>
      <w:pPr>
        <w:spacing w:after="160"/>
      </w:pPr>
      <w:r>
        <w:rPr>
          <w:rFonts w:ascii="Arial" w:cs="Arial" w:eastAsia="Arial" w:hAnsi="Arial"/>
          <w:sz w:val="24"/>
          <w:szCs w:val="24"/>
        </w:rPr>
        <w:t xml:space="preserve">11. Stocker M, Rosa-Mangeret F, Agyeman PKA, et al. Management of neonates at risk of early onset sepsis: a probability-based approach. Eur J Pediatr. 2024;183(12):5517-5529. doi:10.1007/s00431-024-05811-0. PMID: 39417838.</w:t>
      </w:r>
    </w:p>
    <w:p>
      <w:pPr>
        <w:spacing w:after="160"/>
      </w:pPr>
      <w:r>
        <w:rPr>
          <w:rFonts w:ascii="Arial" w:cs="Arial" w:eastAsia="Arial" w:hAnsi="Arial"/>
          <w:sz w:val="24"/>
          <w:szCs w:val="24"/>
        </w:rPr>
        <w:t xml:space="preserve">12. Towers CV, Yates A, Zite N, et al. Incidence of fever in labor and risk of neonatal sepsis. Am J Obstet Gynecol. 2017;216(6):596.e1-596.e5. doi:10.1016/j.ajog.2017.02.022. PMID: 28216060.</w:t>
      </w:r>
    </w:p>
    <w:p>
      <w:pPr>
        <w:spacing w:after="160"/>
      </w:pPr>
      <w:r>
        <w:rPr>
          <w:rFonts w:ascii="Arial" w:cs="Arial" w:eastAsia="Arial" w:hAnsi="Arial"/>
          <w:sz w:val="24"/>
          <w:szCs w:val="24"/>
        </w:rPr>
        <w:t xml:space="preserve">13. Raturi A, Chandran S. Neonatal Sepsis: Aetiology, Pathophysiology, Diagnostic Advances and Management Strategies. Clin Med Insights Pediatr. 2024;18:11795565241281337.</w:t>
      </w:r>
    </w:p>
    <w:p>
      <w:pPr>
        <w:spacing w:after="160"/>
      </w:pPr>
      <w:r>
        <w:rPr>
          <w:rFonts w:ascii="Arial" w:cs="Arial" w:eastAsia="Arial" w:hAnsi="Arial"/>
          <w:sz w:val="24"/>
          <w:szCs w:val="24"/>
        </w:rPr>
        <w:t xml:space="preserve">14. Kariniotaki C, Thomou C, Gkentzi D, et al. Neonatal Sepsis: A Comprehensive Review. Antibiotics. 2025;14(1):6. doi:10.3390/antibiotics14010006.</w:t>
      </w:r>
    </w:p>
    <w:p>
      <w:pPr>
        <w:spacing w:after="160"/>
      </w:pPr>
      <w:r>
        <w:rPr>
          <w:rFonts w:ascii="Arial" w:cs="Arial" w:eastAsia="Arial" w:hAnsi="Arial"/>
          <w:sz w:val="24"/>
          <w:szCs w:val="24"/>
        </w:rPr>
        <w:t xml:space="preserve">15. Puopolo KM, Benitz WE, Zaoutis TE; Committee on Fetus and Newborn; Committee on Infectious Diseases. Management of Neonates Born at &gt;= 35 0/7 Weeks' Gestation With Suspected or Proven Early-Onset Bacterial Sepsis. Pediatrics. 2018;142(6):e20182894.</w:t>
      </w:r>
    </w:p>
    <w:p>
      <w:pPr>
        <w:spacing w:after="160"/>
      </w:pPr>
      <w:r>
        <w:rPr>
          <w:rFonts w:ascii="Arial" w:cs="Arial" w:eastAsia="Arial" w:hAnsi="Arial"/>
          <w:sz w:val="24"/>
          <w:szCs w:val="24"/>
        </w:rPr>
        <w:t xml:space="preserve">16. Puopolo KM, Benitz WE, Zaoutis TE; Committee on Fetus and Newborn; Committee on Infectious Diseases. Management of Neonates Born at &lt;= 34 6/7 Weeks' Gestation With Suspected or Proven Early-Onset Bacterial Sepsis. Pediatrics. 2018;142(6):e20182896.</w:t>
      </w:r>
    </w:p>
    <w:p>
      <w:pPr>
        <w:spacing w:after="160"/>
      </w:pPr>
      <w:r>
        <w:rPr>
          <w:rFonts w:ascii="Arial" w:cs="Arial" w:eastAsia="Arial" w:hAnsi="Arial"/>
          <w:sz w:val="24"/>
          <w:szCs w:val="24"/>
        </w:rPr>
        <w:t xml:space="preserve">17. Stoll BJ, Hansen NI, Sanchez PJ, et al. Early onset neonatal sepsis: the burden of group B Streptococcal and E. coli disease continues. Pediatrics. 2011;127(5):817-826.</w:t>
      </w:r>
    </w:p>
    <w:p>
      <w:pPr>
        <w:spacing w:after="160"/>
      </w:pPr>
      <w:r>
        <w:rPr>
          <w:rFonts w:ascii="Arial" w:cs="Arial" w:eastAsia="Arial" w:hAnsi="Arial"/>
          <w:sz w:val="24"/>
          <w:szCs w:val="24"/>
        </w:rPr>
        <w:t xml:space="preserve">18. Weston EJ, Pondo T, Lewis MM, et al. The burden of invasive early-onset neonatal sepsis in the United States, 2005-2008. Pediatr Infect Dis J. 2011;30(11):937-941.</w:t>
      </w:r>
    </w:p>
    <w:p>
      <w:pPr>
        <w:spacing w:after="160"/>
      </w:pPr>
      <w:r>
        <w:rPr>
          <w:rFonts w:ascii="Arial" w:cs="Arial" w:eastAsia="Arial" w:hAnsi="Arial"/>
          <w:sz w:val="24"/>
          <w:szCs w:val="24"/>
        </w:rPr>
        <w:t xml:space="preserve">19. Huynh BT, Kermorvant-Duchemin E, Chheang R, et al. Severe bacterial neonatal infections in Madagascar, Senegal, and Cambodia. PLoS Med. 2021;18(9):e1003681. doi:10.1371/journal.pmed.1003681. PMID: 34582450.</w:t>
      </w:r>
    </w:p>
    <w:p>
      <w:pPr>
        <w:spacing w:after="160"/>
      </w:pPr>
      <w:r>
        <w:rPr>
          <w:rFonts w:ascii="Arial" w:cs="Arial" w:eastAsia="Arial" w:hAnsi="Arial"/>
          <w:sz w:val="24"/>
          <w:szCs w:val="24"/>
        </w:rPr>
        <w:t xml:space="preserve">20. Strunk T, Molloy EJ, Mishra A, Bhutta ZA. Neonatal bacterial sepsis. Lancet. 2024;404:277-293.</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08080"/>
        <w:sz w:val="18"/>
        <w:szCs w:val="18"/>
      </w:rPr>
      <w:t xml:space="preserve">Page </w:t>
    </w:r>
    <w:r>
      <w:rPr>
        <w:rFonts w:ascii="Arial" w:cs="Arial" w:eastAsia="Arial" w:hAnsi="Arial"/>
        <w:color w:val="808080"/>
        <w:sz w:val="18"/>
        <w:szCs w:val="18"/>
      </w:rPr>
      <w:fldChar w:fldCharType="begin"/>
      <w:instrText xml:space="preserve">PAGE</w:instrText>
      <w:fldChar w:fldCharType="separate"/>
      <w:fldChar w:fldCharType="end"/>
    </w:r>
    <w:r>
      <w:rPr>
        <w:rFonts w:ascii="Arial" w:cs="Arial" w:eastAsia="Arial" w:hAnsi="Arial"/>
        <w:color w:val="808080"/>
        <w:sz w:val="18"/>
        <w:szCs w:val="18"/>
      </w:rPr>
      <w:t xml:space="preserve"> | Pediatric Emergency CDS Project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808080"/>
        <w:sz w:val="18"/>
        <w:szCs w:val="18"/>
      </w:rPr>
      <w:t xml:space="preserve">E. coli and Gram-Negative Neonatal Sepsis — Rural Nursery Education Series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75B6"/>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2026-03-31T15:58:30.699Z</dcterms:created>
  <dcterms:modified xsi:type="dcterms:W3CDTF">2026-03-31T15:58:30.700Z</dcterms:modified>
</cp:coreProperties>
</file>

<file path=docProps/custom.xml><?xml version="1.0" encoding="utf-8"?>
<Properties xmlns="http://schemas.openxmlformats.org/officeDocument/2006/custom-properties" xmlns:vt="http://schemas.openxmlformats.org/officeDocument/2006/docPropsVTypes"/>
</file>