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2E4057" w:val="clear"/>
        <w:spacing w:after="40"/>
        <w:jc w:val="center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MATERNAL INFECTIOUS DISEASES — NEWBORN DECISION TREES — QUICK REFERENCE</w:t>
      </w:r>
    </w:p>
    <w:p>
      <w:pPr>
        <w:spacing w:after="60"/>
        <w:jc w:val="center"/>
      </w:pPr>
      <w:r>
        <w:rPr>
          <w:rFonts w:ascii="Arial" w:cs="Arial" w:eastAsia="Arial" w:hAnsi="Arial"/>
          <w:color w:val="666666"/>
          <w:sz w:val="14"/>
          <w:szCs w:val="14"/>
        </w:rPr>
        <w:t xml:space="preserve">Level II / II+ Nursery  |  Pediatric Emergency CDS Project  |  March 2026</w:t>
      </w:r>
    </w:p>
    <w:p>
      <w:pPr>
        <w:shd w:fill="2E4057" w:val="clear"/>
        <w:spacing w:after="40" w:before="10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HEPATITIS B — NEWBORN MANAGEMENT BY MATERNAL STATUS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500"/>
        <w:gridCol w:w="2500"/>
        <w:gridCol w:w="2200"/>
        <w:gridCol w:w="2000"/>
        <w:gridCol w:w="228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2E4057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Maternal HBsAg</w:t>
            </w:r>
          </w:p>
        </w:tc>
        <w:tc>
          <w:tcPr>
            <w:tcW w:type="dxa" w:w="25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2E4057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HepB Vaccine</w:t>
            </w:r>
          </w:p>
        </w:tc>
        <w:tc>
          <w:tcPr>
            <w:tcW w:type="dxa" w:w="25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2E4057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HBIG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2E4057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Vaccine Series</w:t>
            </w:r>
          </w:p>
        </w:tc>
        <w:tc>
          <w:tcPr>
            <w:tcW w:type="dxa" w:w="2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2E4057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PVST</w:t>
            </w:r>
          </w:p>
        </w:tc>
        <w:tc>
          <w:tcPr>
            <w:tcW w:type="dxa" w:w="228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2E4057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Breastfeeding</w:t>
            </w:r>
          </w:p>
        </w:tc>
      </w:tr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FC7CE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POSITIVE</w:t>
            </w:r>
          </w:p>
        </w:tc>
        <w:tc>
          <w:tcPr>
            <w:tcW w:type="dxa" w:w="25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FC7CE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Within 12 hours (separate limb from HBIG)</w:t>
            </w:r>
          </w:p>
        </w:tc>
        <w:tc>
          <w:tcPr>
            <w:tcW w:type="dxa" w:w="25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FC7CE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0.5 mL IM within 12 hours (opposite limb)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&lt;2kg: 4 doses; ≥2kg: 3 doses</w:t>
            </w:r>
          </w:p>
        </w:tc>
        <w:tc>
          <w:tcPr>
            <w:tcW w:type="dxa" w:w="2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9-12 mo: HBsAg + anti-HBs</w:t>
            </w:r>
          </w:p>
        </w:tc>
        <w:tc>
          <w:tcPr>
            <w:tcW w:type="dxa" w:w="228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C6EFCE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YES</w:t>
            </w:r>
          </w:p>
        </w:tc>
      </w:tr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FEB9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UNKNOWN</w:t>
            </w:r>
          </w:p>
        </w:tc>
        <w:tc>
          <w:tcPr>
            <w:tcW w:type="dxa" w:w="25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FEB9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Within 12 hours</w:t>
            </w:r>
          </w:p>
        </w:tc>
        <w:tc>
          <w:tcPr>
            <w:tcW w:type="dxa" w:w="25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FEB9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&lt;2kg: within 12h; ≥2kg: within 12h if result not back, else within 7 days if mom+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Per maternal result</w:t>
            </w:r>
          </w:p>
        </w:tc>
        <w:tc>
          <w:tcPr>
            <w:tcW w:type="dxa" w:w="2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If mom+: at 9-12 mo</w:t>
            </w:r>
          </w:p>
        </w:tc>
        <w:tc>
          <w:tcPr>
            <w:tcW w:type="dxa" w:w="228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C6EFCE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YES</w:t>
            </w:r>
          </w:p>
        </w:tc>
      </w:tr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C6EFCE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NEGATIVE</w:t>
            </w:r>
          </w:p>
        </w:tc>
        <w:tc>
          <w:tcPr>
            <w:tcW w:type="dxa" w:w="25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C6EFCE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≥2kg: within 24h; &lt;2kg: at 1 month</w:t>
            </w:r>
          </w:p>
        </w:tc>
        <w:tc>
          <w:tcPr>
            <w:tcW w:type="dxa" w:w="25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C6EFCE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None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3-dose standard</w:t>
            </w:r>
          </w:p>
        </w:tc>
        <w:tc>
          <w:tcPr>
            <w:tcW w:type="dxa" w:w="2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Not routine</w:t>
            </w:r>
          </w:p>
        </w:tc>
        <w:tc>
          <w:tcPr>
            <w:tcW w:type="dxa" w:w="228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C6EFCE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YES</w:t>
            </w:r>
          </w:p>
        </w:tc>
      </w:tr>
    </w:tbl>
    <w:p>
      <w:pPr>
        <w:shd w:fill="2E4057" w:val="clear"/>
        <w:spacing w:after="40" w:before="10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HEPATITIS C — NEWBORN MANAGEMENT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80"/>
        <w:gridCol w:w="2280"/>
        <w:gridCol w:w="2280"/>
        <w:gridCol w:w="2280"/>
        <w:gridCol w:w="2280"/>
        <w:gridCol w:w="2280"/>
      </w:tblGrid>
      <w:tr>
        <w:tc>
          <w:tcPr>
            <w:tcW w:type="dxa" w:w="228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2E4057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At Birth</w:t>
            </w:r>
          </w:p>
        </w:tc>
        <w:tc>
          <w:tcPr>
            <w:tcW w:type="dxa" w:w="228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2E4057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Prophylaxis</w:t>
            </w:r>
          </w:p>
        </w:tc>
        <w:tc>
          <w:tcPr>
            <w:tcW w:type="dxa" w:w="228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2E4057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Early Testing (Preferred)</w:t>
            </w:r>
          </w:p>
        </w:tc>
        <w:tc>
          <w:tcPr>
            <w:tcW w:type="dxa" w:w="228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2E4057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Late Testing (Traditional)</w:t>
            </w:r>
          </w:p>
        </w:tc>
        <w:tc>
          <w:tcPr>
            <w:tcW w:type="dxa" w:w="228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2E4057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If Positive</w:t>
            </w:r>
          </w:p>
        </w:tc>
        <w:tc>
          <w:tcPr>
            <w:tcW w:type="dxa" w:w="228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2E4057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Breastfeeding</w:t>
            </w:r>
          </w:p>
        </w:tc>
      </w:tr>
      <w:tr>
        <w:tc>
          <w:tcPr>
            <w:tcW w:type="dxa" w:w="228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DAEAF6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NO testing. NO treatment. Routine care.</w:t>
            </w:r>
          </w:p>
        </w:tc>
        <w:tc>
          <w:tcPr>
            <w:tcW w:type="dxa" w:w="228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DAEAF6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None exists (no vaccine, no IG)</w:t>
            </w:r>
          </w:p>
        </w:tc>
        <w:tc>
          <w:tcPr>
            <w:tcW w:type="dxa" w:w="228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DAEAF6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HCV RNA by PCR at 2-6 months</w:t>
            </w:r>
          </w:p>
        </w:tc>
        <w:tc>
          <w:tcPr>
            <w:tcW w:type="dxa" w:w="228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DAEAF6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Anti-HCV at ≥18 months</w:t>
            </w:r>
          </w:p>
        </w:tc>
        <w:tc>
          <w:tcPr>
            <w:tcW w:type="dxa" w:w="228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Repeat RNA to confirm. Refer peds hepatology. DAA therapy age 3+.</w:t>
            </w:r>
          </w:p>
        </w:tc>
        <w:tc>
          <w:tcPr>
            <w:tcW w:type="dxa" w:w="228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C6EFCE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YES (unless cracked/bleeding nipples)</w:t>
            </w:r>
          </w:p>
        </w:tc>
      </w:tr>
    </w:tbl>
    <w:p>
      <w:pPr>
        <w:spacing w:after="30"/>
      </w:pPr>
      <w:r>
        <w:rPr>
          <w:rFonts w:ascii="Arial" w:cs="Arial" w:eastAsia="Arial" w:hAnsi="Arial"/>
          <w:sz w:val="14"/>
          <w:szCs w:val="14"/>
        </w:rPr>
        <w:t xml:space="preserve">⚠ Do NOT test anti-HCV at birth (will be positive from maternal antibody). Document exposure in discharge summary with specific follow-up plan.</w:t>
      </w:r>
    </w:p>
    <w:p>
      <w:pPr>
        <w:shd w:fill="2E4057" w:val="clear"/>
        <w:spacing w:after="40" w:before="10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CONGENITAL SYPHILIS — 4-SCENARIO DECISION TREE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800"/>
        <w:gridCol w:w="3500"/>
        <w:gridCol w:w="4980"/>
      </w:tblGrid>
      <w:tr>
        <w:tc>
          <w:tcPr>
            <w:tcW w:type="dxa" w:w="1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2E4057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Scenario</w:t>
            </w:r>
          </w:p>
        </w:tc>
        <w:tc>
          <w:tcPr>
            <w:tcW w:type="dxa" w:w="3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2E4057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Criteria</w:t>
            </w:r>
          </w:p>
        </w:tc>
        <w:tc>
          <w:tcPr>
            <w:tcW w:type="dxa" w:w="35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2E4057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Evaluation</w:t>
            </w:r>
          </w:p>
        </w:tc>
        <w:tc>
          <w:tcPr>
            <w:tcW w:type="dxa" w:w="498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2E4057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Treatment</w:t>
            </w:r>
          </w:p>
        </w:tc>
      </w:tr>
      <w:tr>
        <w:tc>
          <w:tcPr>
            <w:tcW w:type="dxa" w:w="1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FC7CE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1: PROVEN</w:t>
            </w:r>
          </w:p>
        </w:tc>
        <w:tc>
          <w:tcPr>
            <w:tcW w:type="dxa" w:w="3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FC7CE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Abnormal exam OR infant titer ≥4x maternal OR + darkfield/PCR</w:t>
            </w:r>
          </w:p>
        </w:tc>
        <w:tc>
          <w:tcPr>
            <w:tcW w:type="dxa" w:w="35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FC7CE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RPR, CBC, CSF (VDRL, cells, protein), LFTs, long bone XR</w:t>
            </w:r>
          </w:p>
        </w:tc>
        <w:tc>
          <w:tcPr>
            <w:tcW w:type="dxa" w:w="498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FC7CE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Aqueous Pen G 50,000 U/kg/dose IV q12h x7d then q8h = 10 days total</w:t>
            </w:r>
          </w:p>
        </w:tc>
      </w:tr>
      <w:tr>
        <w:tc>
          <w:tcPr>
            <w:tcW w:type="dxa" w:w="1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FEB9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2: POSSIBLE</w:t>
            </w:r>
          </w:p>
        </w:tc>
        <w:tc>
          <w:tcPr>
            <w:tcW w:type="dxa" w:w="3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FEB9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Normal exam + titer ≤4x maternal BUT mom not/inadequately treated or treated &lt;30d before delivery</w:t>
            </w:r>
          </w:p>
        </w:tc>
        <w:tc>
          <w:tcPr>
            <w:tcW w:type="dxa" w:w="35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FEB9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Same full evaluation as Scenario 1</w:t>
            </w:r>
          </w:p>
        </w:tc>
        <w:tc>
          <w:tcPr>
            <w:tcW w:type="dxa" w:w="498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FEB9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Same 10-day IV Pen G regimen</w:t>
            </w:r>
          </w:p>
        </w:tc>
      </w:tr>
      <w:tr>
        <w:tc>
          <w:tcPr>
            <w:tcW w:type="dxa" w:w="1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DAEAF6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3: LESS LIKELY</w:t>
            </w:r>
          </w:p>
        </w:tc>
        <w:tc>
          <w:tcPr>
            <w:tcW w:type="dxa" w:w="3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DAEAF6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Normal exam + titer ≤4x maternal + mom adequately treated &gt;30d before delivery + titer response</w:t>
            </w:r>
          </w:p>
        </w:tc>
        <w:tc>
          <w:tcPr>
            <w:tcW w:type="dxa" w:w="35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DAEAF6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Infant RPR only</w:t>
            </w:r>
          </w:p>
        </w:tc>
        <w:tc>
          <w:tcPr>
            <w:tcW w:type="dxa" w:w="498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DAEAF6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Benzathine Pen G 50,000 U/kg IM x1 dose</w:t>
            </w:r>
          </w:p>
        </w:tc>
      </w:tr>
      <w:tr>
        <w:tc>
          <w:tcPr>
            <w:tcW w:type="dxa" w:w="1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C6EFCE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4: UNLIKELY</w:t>
            </w:r>
          </w:p>
        </w:tc>
        <w:tc>
          <w:tcPr>
            <w:tcW w:type="dxa" w:w="3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C6EFCE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Normal exam + mom treated before pregnancy + stable low serofast titer</w:t>
            </w:r>
          </w:p>
        </w:tc>
        <w:tc>
          <w:tcPr>
            <w:tcW w:type="dxa" w:w="35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C6EFCE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None needed</w:t>
            </w:r>
          </w:p>
        </w:tc>
        <w:tc>
          <w:tcPr>
            <w:tcW w:type="dxa" w:w="498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C6EFCE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None needed</w:t>
            </w:r>
          </w:p>
        </w:tc>
      </w:tr>
    </w:tbl>
    <w:p>
      <w:pPr>
        <w:spacing w:after="30"/>
      </w:pPr>
      <w:r>
        <w:rPr>
          <w:rFonts w:ascii="Arial" w:cs="Arial" w:eastAsia="Arial" w:hAnsi="Arial"/>
          <w:sz w:val="14"/>
          <w:szCs w:val="14"/>
        </w:rPr>
        <w:t xml:space="preserve">⚠ NEVER use cord blood for syphilis testing. Draw infant serum. Compare infant RPR with maternal RPR using same test type. PCN is the ONLY treatment for CS.</w:t>
      </w:r>
    </w:p>
    <w:p>
      <w:r>
        <w:br w:type="page"/>
      </w:r>
    </w:p>
    <w:p>
      <w:pPr>
        <w:shd w:fill="2E4057" w:val="clear"/>
        <w:spacing w:after="40" w:before="10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CHORIOAMNIONITIS — NEWBORN MANAGEMENT (≥35 WEEKS)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7680"/>
      </w:tblGrid>
      <w:tr>
        <w:tc>
          <w:tcPr>
            <w:tcW w:type="dxa" w:w="3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2E4057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Infant Appearance</w:t>
            </w:r>
          </w:p>
        </w:tc>
        <w:tc>
          <w:tcPr>
            <w:tcW w:type="dxa" w:w="3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2E4057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Approach</w:t>
            </w:r>
          </w:p>
        </w:tc>
        <w:tc>
          <w:tcPr>
            <w:tcW w:type="dxa" w:w="768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2E4057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Actions</w:t>
            </w:r>
          </w:p>
        </w:tc>
      </w:tr>
      <w:tr>
        <w:tc>
          <w:tcPr>
            <w:tcW w:type="dxa" w:w="3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C6EFCE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Well-appearing</w:t>
            </w:r>
          </w:p>
        </w:tc>
        <w:tc>
          <w:tcPr>
            <w:tcW w:type="dxa" w:w="3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C6EFCE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Clinical Observation (AAP preferred)</w:t>
            </w:r>
          </w:p>
        </w:tc>
        <w:tc>
          <w:tcPr>
            <w:tcW w:type="dxa" w:w="768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C6EFCE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Serial VS q4h x 36-48h. Monitor for sepsis signs. Blood culture/CBC optional. NO empiric ABx required. Start ABx ONLY if signs develop.</w:t>
            </w:r>
          </w:p>
        </w:tc>
      </w:tr>
      <w:tr>
        <w:tc>
          <w:tcPr>
            <w:tcW w:type="dxa" w:w="3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FEB9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Well-appearing</w:t>
            </w:r>
          </w:p>
        </w:tc>
        <w:tc>
          <w:tcPr>
            <w:tcW w:type="dxa" w:w="3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FEB9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Empiric ABx Approach (more conservative)</w:t>
            </w:r>
          </w:p>
        </w:tc>
        <w:tc>
          <w:tcPr>
            <w:tcW w:type="dxa" w:w="768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FEB9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Blood culture + CBC at birth. Start Amp + Gent. D/C at 36-48h if cultures negative and infant well.</w:t>
            </w:r>
          </w:p>
        </w:tc>
      </w:tr>
      <w:tr>
        <w:tc>
          <w:tcPr>
            <w:tcW w:type="dxa" w:w="3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FC7CE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ILL-APPEARING</w:t>
            </w:r>
          </w:p>
        </w:tc>
        <w:tc>
          <w:tcPr>
            <w:tcW w:type="dxa" w:w="3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FC7CE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Full Sepsis Workup</w:t>
            </w:r>
          </w:p>
        </w:tc>
        <w:tc>
          <w:tcPr>
            <w:tcW w:type="dxa" w:w="768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FC7CE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Blood culture STAT. CBC. Amp 50 mg/kg + Gent 4-5 mg/kg IV. LP when stable. If meningitis suspected: Amp 100 mg/kg.</w:t>
            </w:r>
          </w:p>
        </w:tc>
      </w:tr>
    </w:tbl>
    <w:p>
      <w:pPr>
        <w:shd w:fill="2E4057" w:val="clear"/>
        <w:spacing w:after="40" w:before="10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GROUP B STREP (GBS) — NEWBORN MANAGEMENT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200"/>
        <w:gridCol w:w="7980"/>
      </w:tblGrid>
      <w:tr>
        <w:tc>
          <w:tcPr>
            <w:tcW w:type="dxa" w:w="35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2E4057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Scenario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2E4057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Infant</w:t>
            </w:r>
          </w:p>
        </w:tc>
        <w:tc>
          <w:tcPr>
            <w:tcW w:type="dxa" w:w="798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2E4057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Management</w:t>
            </w:r>
          </w:p>
        </w:tc>
      </w:tr>
      <w:tr>
        <w:tc>
          <w:tcPr>
            <w:tcW w:type="dxa" w:w="35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C6EFCE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GBS+ with adequate IAP (≥4h before delivery)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C6EFCE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Well</w:t>
            </w:r>
          </w:p>
        </w:tc>
        <w:tc>
          <w:tcPr>
            <w:tcW w:type="dxa" w:w="798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C6EFCE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Routine care. Observe 24-48h. No labs. No ABx.</w:t>
            </w:r>
          </w:p>
        </w:tc>
      </w:tr>
      <w:tr>
        <w:tc>
          <w:tcPr>
            <w:tcW w:type="dxa" w:w="35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FEB9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GBS+ with inadequate IAP (&lt;4h)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FEB9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Well</w:t>
            </w:r>
          </w:p>
        </w:tc>
        <w:tc>
          <w:tcPr>
            <w:tcW w:type="dxa" w:w="798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FEB9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Close observation 36-48h. Serial VS. BC/CBC optional. No empiric ABx if well. Consider EOS calculator.</w:t>
            </w:r>
          </w:p>
        </w:tc>
      </w:tr>
      <w:tr>
        <w:tc>
          <w:tcPr>
            <w:tcW w:type="dxa" w:w="35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FC7CE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Any GBS scenario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FC7CE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ILL</w:t>
            </w:r>
          </w:p>
        </w:tc>
        <w:tc>
          <w:tcPr>
            <w:tcW w:type="dxa" w:w="798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FC7CE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BC, CBC, Amp + Gent STAT. LP when stable.</w:t>
            </w:r>
          </w:p>
        </w:tc>
      </w:tr>
      <w:tr>
        <w:tc>
          <w:tcPr>
            <w:tcW w:type="dxa" w:w="35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FEB9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GBS unknown + risk factors (ROM&gt;18h, fever, preterm)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FEB9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Well</w:t>
            </w:r>
          </w:p>
        </w:tc>
        <w:tc>
          <w:tcPr>
            <w:tcW w:type="dxa" w:w="798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FEB9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Close observation. Lower threshold for BC/CBC/ABx. EOS calculator helpful.</w:t>
            </w:r>
          </w:p>
        </w:tc>
      </w:tr>
    </w:tbl>
    <w:p>
      <w:pPr>
        <w:shd w:fill="2E4057" w:val="clear"/>
        <w:spacing w:after="40" w:before="10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HERPES SIMPLEX VIRUS (HSV) — NEONATAL MANAGEMENT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5240"/>
        <w:gridCol w:w="624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2E4057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Presentation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2E4057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When to Suspect</w:t>
            </w:r>
          </w:p>
        </w:tc>
        <w:tc>
          <w:tcPr>
            <w:tcW w:type="dxa" w:w="6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2E4057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Management</w:t>
            </w:r>
          </w:p>
        </w:tc>
      </w:tr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FC7CE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Symptomatic Infant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FC7CE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Vesicles, seizures, sepsis-like with ↑AST/ALT, DIC, CSF pleocytosis, no bacterial source</w:t>
            </w:r>
          </w:p>
        </w:tc>
        <w:tc>
          <w:tcPr>
            <w:tcW w:type="dxa" w:w="6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FC7CE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HSV PCR blood + CSF. Surface cultures. CBC, LFTs, coags, CSF. START ACYCLOVIR 20 mg/kg IV q8h IMMEDIATELY. SEM: 14d. CNS/disseminated: 21d. Then oral suppression x6 mo.</w:t>
            </w:r>
          </w:p>
        </w:tc>
      </w:tr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FEB9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Asymptomatic: Mom PRIMARY HSV at delivery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FEB9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30-50% transmission risk</w:t>
            </w:r>
          </w:p>
        </w:tc>
        <w:tc>
          <w:tcPr>
            <w:tcW w:type="dxa" w:w="6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FEB9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Surface cultures + blood HSV PCR at 24h. Start empiric acyclovir while awaiting results. Observe 48-72h.</w:t>
            </w:r>
          </w:p>
        </w:tc>
      </w:tr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C6EFCE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Asymptomatic: Mom RECURRENT HSV at delivery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C6EFCE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&lt;2% transmission risk</w:t>
            </w:r>
          </w:p>
        </w:tc>
        <w:tc>
          <w:tcPr>
            <w:tcW w:type="dxa" w:w="6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C6EFCE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Surface cultures at 24h. Do NOT start acyclovir unless symptomatic. Observe 48h.</w:t>
            </w:r>
          </w:p>
        </w:tc>
      </w:tr>
    </w:tbl>
    <w:p>
      <w:pPr>
        <w:spacing w:after="30"/>
      </w:pPr>
      <w:r>
        <w:rPr>
          <w:rFonts w:ascii="Arial" w:cs="Arial" w:eastAsia="Arial" w:hAnsi="Arial"/>
          <w:sz w:val="14"/>
          <w:szCs w:val="14"/>
        </w:rPr>
        <w:t xml:space="preserve">⚠ If you suspect neonatal HSV, start acyclovir IMMEDIATELY. Do NOT wait for PCR results. Untreated disseminated HSV mortality = 85%.</w:t>
      </w:r>
    </w:p>
    <w:p>
      <w:r>
        <w:br w:type="page"/>
      </w:r>
    </w:p>
    <w:p>
      <w:pPr>
        <w:shd w:fill="2E4057" w:val="clear"/>
        <w:spacing w:after="40" w:before="10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HIV — NEONATAL MANAGEMENT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5340"/>
        <w:gridCol w:w="5340"/>
      </w:tblGrid>
      <w:tr>
        <w:tc>
          <w:tcPr>
            <w:tcW w:type="dxa" w:w="3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2E4057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Risk Category</w:t>
            </w:r>
          </w:p>
        </w:tc>
        <w:tc>
          <w:tcPr>
            <w:tcW w:type="dxa" w:w="53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2E4057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Criteria</w:t>
            </w:r>
          </w:p>
        </w:tc>
        <w:tc>
          <w:tcPr>
            <w:tcW w:type="dxa" w:w="53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2E4057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Prophylaxis</w:t>
            </w:r>
          </w:p>
        </w:tc>
      </w:tr>
      <w:tr>
        <w:tc>
          <w:tcPr>
            <w:tcW w:type="dxa" w:w="3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C6EFCE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LOW RISK</w:t>
            </w:r>
          </w:p>
        </w:tc>
        <w:tc>
          <w:tcPr>
            <w:tcW w:type="dxa" w:w="53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C6EFCE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Mom on ART with viral suppression (HIV RNA &lt;50 near delivery)</w:t>
            </w:r>
          </w:p>
        </w:tc>
        <w:tc>
          <w:tcPr>
            <w:tcW w:type="dxa" w:w="53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C6EFCE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Zidovudine (AZT) 4 mg/kg PO BID x 4 weeks. Start within 6-12h of birth.</w:t>
            </w:r>
          </w:p>
        </w:tc>
      </w:tr>
      <w:tr>
        <w:tc>
          <w:tcPr>
            <w:tcW w:type="dxa" w:w="3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FC7CE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HIGH RISK</w:t>
            </w:r>
          </w:p>
        </w:tc>
        <w:tc>
          <w:tcPr>
            <w:tcW w:type="dxa" w:w="53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FC7CE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Mom no ART, detectable viral load, or unknown status + rapid test positive</w:t>
            </w:r>
          </w:p>
        </w:tc>
        <w:tc>
          <w:tcPr>
            <w:tcW w:type="dxa" w:w="53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FC7CE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Multi-drug regimen (AZT + 3TC + NVP or RAL). Consult peds HIV specialist IMMEDIATELY. Start within 6h.</w:t>
            </w:r>
          </w:p>
        </w:tc>
      </w:tr>
    </w:tbl>
    <w:p>
      <w:pPr>
        <w:spacing w:after="30"/>
      </w:pPr>
      <w:r>
        <w:rPr>
          <w:rFonts w:ascii="Arial" w:cs="Arial" w:eastAsia="Arial" w:hAnsi="Arial"/>
          <w:sz w:val="14"/>
          <w:szCs w:val="14"/>
        </w:rPr>
        <w:t xml:space="preserve">Testing: HIV DNA/RNA PCR at 14-21 days, 1-2 months, 4-6 months. Breastfeeding NOT recommended in the USA.</w:t>
      </w:r>
    </w:p>
    <w:p>
      <w:pPr>
        <w:shd w:fill="2E4057" w:val="clear"/>
        <w:spacing w:after="40" w:before="10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BREASTFEEDING SUMMARY BY INFECTION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36"/>
        <w:gridCol w:w="2736"/>
        <w:gridCol w:w="2736"/>
        <w:gridCol w:w="2736"/>
        <w:gridCol w:w="2736"/>
      </w:tblGrid>
      <w:tr>
        <w:tc>
          <w:tcPr>
            <w:tcW w:type="dxa" w:w="2736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2E4057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Infection</w:t>
            </w:r>
          </w:p>
        </w:tc>
        <w:tc>
          <w:tcPr>
            <w:tcW w:type="dxa" w:w="2736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2E4057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Breastfeed?</w:t>
            </w:r>
          </w:p>
        </w:tc>
        <w:tc>
          <w:tcPr>
            <w:tcW w:type="dxa" w:w="2736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2E4057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Condition</w:t>
            </w:r>
          </w:p>
        </w:tc>
        <w:tc>
          <w:tcPr>
            <w:tcW w:type="dxa" w:w="2736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2E4057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Infection</w:t>
            </w:r>
          </w:p>
        </w:tc>
        <w:tc>
          <w:tcPr>
            <w:tcW w:type="dxa" w:w="2736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2E4057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Breastfeed?</w:t>
            </w:r>
          </w:p>
        </w:tc>
      </w:tr>
      <w:tr>
        <w:tc>
          <w:tcPr>
            <w:tcW w:type="dxa" w:w="2736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Hepatitis B</w:t>
            </w:r>
          </w:p>
        </w:tc>
        <w:tc>
          <w:tcPr>
            <w:tcW w:type="dxa" w:w="2736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C6EFCE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YES (with vaccine + HBIG)</w:t>
            </w:r>
          </w:p>
        </w:tc>
        <w:tc>
          <w:tcPr>
            <w:tcW w:type="dxa" w:w="2736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2736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HIV</w:t>
            </w:r>
          </w:p>
        </w:tc>
        <w:tc>
          <w:tcPr>
            <w:tcW w:type="dxa" w:w="2736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FC7CE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NO (in USA)</w:t>
            </w:r>
          </w:p>
        </w:tc>
      </w:tr>
      <w:tr>
        <w:tc>
          <w:tcPr>
            <w:tcW w:type="dxa" w:w="2736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Hepatitis C</w:t>
            </w:r>
          </w:p>
        </w:tc>
        <w:tc>
          <w:tcPr>
            <w:tcW w:type="dxa" w:w="2736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C6EFCE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YES (unless cracked nipples)</w:t>
            </w:r>
          </w:p>
        </w:tc>
        <w:tc>
          <w:tcPr>
            <w:tcW w:type="dxa" w:w="2736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2736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HSV (no breast lesions)</w:t>
            </w:r>
          </w:p>
        </w:tc>
        <w:tc>
          <w:tcPr>
            <w:tcW w:type="dxa" w:w="2736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C6EFCE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YES</w:t>
            </w:r>
          </w:p>
        </w:tc>
      </w:tr>
      <w:tr>
        <w:tc>
          <w:tcPr>
            <w:tcW w:type="dxa" w:w="2736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Syphilis (treated)</w:t>
            </w:r>
          </w:p>
        </w:tc>
        <w:tc>
          <w:tcPr>
            <w:tcW w:type="dxa" w:w="2736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C6EFCE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YES (if no breast lesions)</w:t>
            </w:r>
          </w:p>
        </w:tc>
        <w:tc>
          <w:tcPr>
            <w:tcW w:type="dxa" w:w="2736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2736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Active TB</w:t>
            </w:r>
          </w:p>
        </w:tc>
        <w:tc>
          <w:tcPr>
            <w:tcW w:type="dxa" w:w="2736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FEB9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Pump until non-infectious</w:t>
            </w:r>
          </w:p>
        </w:tc>
      </w:tr>
      <w:tr>
        <w:tc>
          <w:tcPr>
            <w:tcW w:type="dxa" w:w="2736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GBS</w:t>
            </w:r>
          </w:p>
        </w:tc>
        <w:tc>
          <w:tcPr>
            <w:tcW w:type="dxa" w:w="2736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C6EFCE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YES</w:t>
            </w:r>
          </w:p>
        </w:tc>
        <w:tc>
          <w:tcPr>
            <w:tcW w:type="dxa" w:w="2736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2736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COVID-19</w:t>
            </w:r>
          </w:p>
        </w:tc>
        <w:tc>
          <w:tcPr>
            <w:tcW w:type="dxa" w:w="2736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C6EFCE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YES (with mask + hand hygiene)</w:t>
            </w:r>
          </w:p>
        </w:tc>
      </w:tr>
    </w:tbl>
    <w:p>
      <w:pPr>
        <w:shd w:fill="2E4057" w:val="clear"/>
        <w:spacing w:after="40" w:before="10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ADDITIONAL INFECTIONS — KEY ACTIONS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5840"/>
        <w:gridCol w:w="5840"/>
      </w:tblGrid>
      <w:tr>
        <w:tc>
          <w:tcPr>
            <w:tcW w:type="dxa" w:w="2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2E4057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Infection</w:t>
            </w:r>
          </w:p>
        </w:tc>
        <w:tc>
          <w:tcPr>
            <w:tcW w:type="dxa" w:w="58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2E4057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Key Newborn Action</w:t>
            </w:r>
          </w:p>
        </w:tc>
        <w:tc>
          <w:tcPr>
            <w:tcW w:type="dxa" w:w="58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2E4057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Critical Notes</w:t>
            </w:r>
          </w:p>
        </w:tc>
      </w:tr>
      <w:tr>
        <w:tc>
          <w:tcPr>
            <w:tcW w:type="dxa" w:w="2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Varicella</w:t>
            </w:r>
          </w:p>
        </w:tc>
        <w:tc>
          <w:tcPr>
            <w:tcW w:type="dxa" w:w="58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FEB9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If mom rash 5d before to 2d after delivery: VariZIG to infant ASAP (within 48h, up to 10d). If unavailable: IVIG 400 mg/kg.</w:t>
            </w:r>
          </w:p>
        </w:tc>
        <w:tc>
          <w:tcPr>
            <w:tcW w:type="dxa" w:w="58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If infant develops varicella: acyclovir 10 mg/kg IV q8h x 7-10d. Isolate from mom until lesions crusted.</w:t>
            </w:r>
          </w:p>
        </w:tc>
      </w:tr>
      <w:tr>
        <w:tc>
          <w:tcPr>
            <w:tcW w:type="dxa" w:w="2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CMV</w:t>
            </w:r>
          </w:p>
        </w:tc>
        <w:tc>
          <w:tcPr>
            <w:tcW w:type="dxa" w:w="58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DAEAF6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CMV PCR (urine or saliva) within 21 days of life. If +: CBC, LFTs, head US, eye exam, ABR.</w:t>
            </w:r>
          </w:p>
        </w:tc>
        <w:tc>
          <w:tcPr>
            <w:tcW w:type="dxa" w:w="58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Symptomatic congenital CMV: valganciclovir 16 mg/kg PO BID x 6 months. Start &lt;1 month. Monitor CBC.</w:t>
            </w:r>
          </w:p>
        </w:tc>
      </w:tr>
      <w:tr>
        <w:tc>
          <w:tcPr>
            <w:tcW w:type="dxa" w:w="2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TB</w:t>
            </w:r>
          </w:p>
        </w:tc>
        <w:tc>
          <w:tcPr>
            <w:tcW w:type="dxa" w:w="58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FEB9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Active pulmonary TB: separate mom + infant until mom on effective Tx x2 wks. Start infant on INH 10 mg/kg/day.</w:t>
            </w:r>
          </w:p>
        </w:tc>
        <w:tc>
          <w:tcPr>
            <w:tcW w:type="dxa" w:w="58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TST at 3-4 months: if negative, stop INH. If positive, complete 9 months INH. Do NOT give BCG.</w:t>
            </w:r>
          </w:p>
        </w:tc>
      </w:tr>
      <w:tr>
        <w:tc>
          <w:tcPr>
            <w:tcW w:type="dxa" w:w="2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COVID-19</w:t>
            </w:r>
          </w:p>
        </w:tc>
        <w:tc>
          <w:tcPr>
            <w:tcW w:type="dxa" w:w="58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C6EFCE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Room-in with precautions (mask, hand hygiene). Test infant at 24-48h. Breastfeed with precautions.</w:t>
            </w:r>
          </w:p>
        </w:tc>
        <w:tc>
          <w:tcPr>
            <w:tcW w:type="dxa" w:w="58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No specific neonatal antiviral. Vertical transmission uncommon.</w:t>
            </w:r>
          </w:p>
        </w:tc>
      </w:tr>
    </w:tbl>
    <w:p>
      <w:pPr>
        <w:spacing w:after="30"/>
      </w:pPr>
      <w:r>
        <w:rPr>
          <w:rFonts w:ascii="Arial" w:cs="Arial" w:eastAsia="Arial" w:hAnsi="Arial"/>
          <w:sz w:val="14"/>
          <w:szCs w:val="14"/>
        </w:rP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sz w:val="14"/>
          <w:szCs w:val="14"/>
        </w:rPr>
        <w:t xml:space="preserve">GREEN = Safe/Low Risk  |  YELLOW = Caution/Monitor  |  RED = Urgent/High Risk  |  BLUE = Information/Protocol</w:t>
      </w:r>
    </w:p>
    <w:p>
      <w:pPr>
        <w:jc w:val="center"/>
      </w:pPr>
      <w:r>
        <w:rPr>
          <w:rFonts w:ascii="Arial" w:cs="Arial" w:eastAsia="Arial" w:hAnsi="Arial"/>
          <w:i/>
          <w:iCs/>
          <w:color w:val="888888"/>
          <w:sz w:val="12"/>
          <w:szCs w:val="12"/>
        </w:rPr>
        <w:t xml:space="preserve">References in full textbook. Verify all doses against institutional protocols. Educational use only.</w:t>
      </w:r>
    </w:p>
    <w:sectPr>
      <w:headerReference w:type="default" r:id="rId7"/>
      <w:footerReference w:type="default" r:id="rId8"/>
      <w:pgSz w:w="15840" w:h="12240" w:orient="landscape"/>
      <w:pgMar w:top="600" w:right="600" w:bottom="600" w:left="6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center" w:pos="7200"/>
        <w:tab w:val="right" w:pos="14400"/>
      </w:tabs>
    </w:pPr>
    <w:r>
      <w:t xml:space="preserve">	</w:t>
    </w:r>
    <w:r>
      <w:rPr>
        <w:rFonts w:ascii="Arial" w:cs="Arial" w:eastAsia="Arial" w:hAnsi="Arial"/>
        <w:color w:val="888888"/>
        <w:sz w:val="14"/>
        <w:szCs w:val="14"/>
      </w:rPr>
      <w:t xml:space="preserve">Page </w:t>
    </w:r>
    <w:r>
      <w:rPr>
        <w:rFonts w:ascii="Arial" w:cs="Arial" w:eastAsia="Arial" w:hAnsi="Arial"/>
        <w:color w:val="888888"/>
        <w:sz w:val="14"/>
        <w:szCs w:val="14"/>
      </w:rPr>
      <w:fldChar w:fldCharType="begin"/>
      <w:instrText xml:space="preserve">PAGE</w:instrText>
      <w:fldChar w:fldCharType="separate"/>
      <w:fldChar w:fldCharType="end"/>
    </w:r>
    <w:r>
      <w:t xml:space="preserve">	</w:t>
    </w:r>
    <w:r>
      <w:rPr>
        <w:rFonts w:ascii="Arial" w:cs="Arial" w:eastAsia="Arial" w:hAnsi="Arial"/>
        <w:color w:val="888888"/>
        <w:sz w:val="14"/>
        <w:szCs w:val="14"/>
      </w:rPr>
      <w:t xml:space="preserve">Pediatric Emergency CDS Project | March 2026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rFonts w:ascii="Arial" w:cs="Arial" w:eastAsia="Arial" w:hAnsi="Arial"/>
        <w:i/>
        <w:iCs/>
        <w:color w:val="888888"/>
        <w:sz w:val="14"/>
        <w:szCs w:val="14"/>
      </w:rPr>
      <w:t xml:space="preserve">Maternal Infectious Diseases — Newborn Decision Trees — Quick Reference — Level II/II+ Nursery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6"/>
        <w:szCs w:val="16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40" w:before="100"/>
      <w:outlineLvl w:val="0"/>
    </w:pPr>
    <w:rPr>
      <w:rFonts w:ascii="Arial" w:cs="Arial" w:eastAsia="Arial" w:hAnsi="Arial"/>
      <w:b/>
      <w:bCs/>
      <w:color w:val="FFFFFF"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2026-03-18T18:23:52.666Z</dcterms:created>
  <dcterms:modified xsi:type="dcterms:W3CDTF">2026-03-18T18:23:52.667Z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