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4057"/>
          <w:sz w:val="56"/>
          <w:szCs w:val="56"/>
        </w:rPr>
        <w:t xml:space="preserve">Maternal Infectious Diseases</w:t>
      </w:r>
    </w:p>
    <w:p>
      <w:pPr>
        <w:jc w:val="center"/>
      </w:pPr>
      <w:r>
        <w:rPr>
          <w:rFonts w:ascii="Arial" w:cs="Arial" w:eastAsia="Arial" w:hAnsi="Arial"/>
          <w:color w:val="4A6FA5"/>
          <w:sz w:val="36"/>
          <w:szCs w:val="36"/>
        </w:rPr>
        <w:t xml:space="preserve">Newborn Evaluation and Management Decision Trees</w:t>
      </w:r>
    </w:p>
    <w:p>
      <w:pPr>
        <w:spacing w:before="200"/>
        <w:jc w:val="center"/>
      </w:pPr>
      <w:r>
        <w:rPr>
          <w:rFonts w:ascii="Arial" w:cs="Arial" w:eastAsia="Arial" w:hAnsi="Arial"/>
          <w:i/>
          <w:iCs/>
          <w:sz w:val="28"/>
          <w:szCs w:val="28"/>
        </w:rPr>
        <w:t xml:space="preserve">A Comprehensive Guide for Rural Nursery Providers</w:t>
      </w:r>
    </w:p>
    <w:p>
      <w:pPr>
        <w:spacing w:after="200"/>
      </w:pPr>
    </w:p>
    <w:p>
      <w:pPr>
        <w:jc w:val="center"/>
      </w:pPr>
      <w:r>
        <w:rPr>
          <w:rFonts w:ascii="Arial" w:cs="Arial" w:eastAsia="Arial" w:hAnsi="Arial"/>
          <w:sz w:val="24"/>
          <w:szCs w:val="24"/>
        </w:rPr>
        <w:t xml:space="preserve">Level I and Level II/II+ Nursery Education Series</w:t>
      </w:r>
    </w:p>
    <w:p>
      <w:pPr>
        <w:jc w:val="center"/>
      </w:pPr>
      <w:r>
        <w:rPr>
          <w:rFonts w:ascii="Arial" w:cs="Arial" w:eastAsia="Arial" w:hAnsi="Arial"/>
          <w:sz w:val="24"/>
          <w:szCs w:val="24"/>
        </w:rPr>
        <w:t xml:space="preserve">For the Pediatric Emergency Medicine CDS Project</w:t>
      </w:r>
    </w:p>
    <w:p>
      <w:pPr>
        <w:spacing w:after="200"/>
      </w:pPr>
    </w:p>
    <w:p>
      <w:pPr>
        <w:jc w:val="center"/>
      </w:pPr>
      <w:r>
        <w:rPr>
          <w:rFonts w:ascii="Arial" w:cs="Arial" w:eastAsia="Arial" w:hAnsi="Arial"/>
          <w:sz w:val="24"/>
          <w:szCs w:val="24"/>
        </w:rPr>
        <w:t xml:space="preserve">March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spacing w:after="120" w:line="276"/>
      </w:pPr>
      <w:r>
        <w:rPr>
          <w:rFonts w:ascii="Arial" w:cs="Arial" w:eastAsia="Arial" w:hAnsi="Arial"/>
          <w:sz w:val="24"/>
          <w:szCs w:val="24"/>
        </w:rPr>
        <w:t xml:space="preserve">Every newborn infant is potentially exposed to maternal infectious diseases that can have devastating consequences if not recognized and managed appropriately in the immediate postnatal period. This guide provides evidence-based decision trees for the evaluation and management of newborns exposed to the most clinically significant maternal infections encountered in the Level II and II+ nursery.</w:t>
      </w:r>
    </w:p>
    <w:p>
      <w:pPr>
        <w:spacing w:after="200"/>
      </w:pPr>
    </w:p>
    <w:p>
      <w:pPr>
        <w:spacing w:after="120" w:line="276"/>
      </w:pPr>
      <w:r>
        <w:rPr>
          <w:rFonts w:ascii="Arial" w:cs="Arial" w:eastAsia="Arial" w:hAnsi="Arial"/>
          <w:sz w:val="24"/>
          <w:szCs w:val="24"/>
        </w:rPr>
        <w:t xml:space="preserve">The infections covered in this guide include hepatitis B virus (HBV), hepatitis C virus (HCV), syphilis (Treponema pallidum), chorioamnionitis (intraamniotic infection), herpes simplex virus (HSV), human immunodeficiency virus (HIV), Group B Streptococcus (GBS), varicella-zoster virus, cytomegalovirus (CMV), and tuberculosis. For each infection, the guide provides a structured decision tree addressing maternal risk stratification, newborn evaluation, laboratory testing, treatment protocols, breastfeeding guidance, and follow-up requirements.</w:t>
      </w:r>
    </w:p>
    <w:p>
      <w:pPr>
        <w:spacing w:after="200"/>
      </w:pPr>
    </w:p>
    <w:p>
      <w:pPr>
        <w:spacing w:after="120" w:line="276"/>
      </w:pPr>
      <w:r>
        <w:rPr>
          <w:rFonts w:ascii="Arial" w:cs="Arial" w:eastAsia="Arial" w:hAnsi="Arial"/>
          <w:sz w:val="24"/>
          <w:szCs w:val="24"/>
        </w:rPr>
        <w:t xml:space="preserve">This guide is designed for use by physicians, neonatal nurse practitioners, and registered nurses in rural and community hospital nurseries where subspecialty infectious disease consultation may not be immediately available. Every decision tree is structured to provide clear, unambiguous action steps that can be followed at the point of care.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The Screening Gap</w:t>
            </w:r>
          </w:p>
          <w:p>
            <w:pPr>
              <w:spacing w:before="60"/>
            </w:pPr>
            <w:r>
              <w:rPr>
                <w:rFonts w:ascii="Arial" w:cs="Arial" w:eastAsia="Arial" w:hAnsi="Arial"/>
                <w:sz w:val="22"/>
                <w:szCs w:val="22"/>
              </w:rPr>
              <w:t xml:space="preserve">In rural settings, maternal prenatal records may be incomplete, arrive late, or be entirely absent if the mother had no prenatal care. The provider must know what to do when maternal infectious disease status is unknown, which is addressed in every decision tree in this guide. When in doubt, treat the infant as exposed until proven otherwise.</w:t>
            </w:r>
          </w:p>
        </w:tc>
      </w:tr>
    </w:tbl>
    <w:p>
      <w:pPr>
        <w:spacing w:after="200"/>
      </w:pPr>
    </w:p>
    <w:p>
      <w:pPr>
        <w:pStyle w:val="Heading2"/>
      </w:pPr>
      <w:r>
        <w:t xml:space="preserve">1.1 Master Decision Framework</w:t>
      </w:r>
    </w:p>
    <w:p>
      <w:pPr>
        <w:spacing w:after="120" w:line="276"/>
      </w:pPr>
      <w:r>
        <w:rPr>
          <w:rFonts w:ascii="Arial" w:cs="Arial" w:eastAsia="Arial" w:hAnsi="Arial"/>
          <w:sz w:val="24"/>
          <w:szCs w:val="24"/>
        </w:rPr>
        <w:t xml:space="preserve">For every maternal infection, the decision process follows the same five-step framework: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Step</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Action</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Question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Identify Maternal Status</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Is the mother positive, negative, or unknown for this infection?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Assess Transmission Risk</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Was the infant exposed? What are the risk factors for vertical transmission?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Evaluate the Newborn</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What clinical exam findings and laboratory tests are indicated?</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Intervene</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What prophylaxis, treatment, or monitoring is required?</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Plan Follow-Up</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What outpatient testing, monitoring, and referrals are needed?</w:t>
            </w:r>
          </w:p>
        </w:tc>
      </w:tr>
    </w:tbl>
    <w:p>
      <w:r>
        <w:br w:type="page"/>
      </w:r>
    </w:p>
    <w:p>
      <w:pPr>
        <w:pStyle w:val="Heading1"/>
      </w:pPr>
      <w:r>
        <w:t xml:space="preserve">Chapter 2: Hepatitis B Virus (HBV)</w:t>
      </w:r>
    </w:p>
    <w:p>
      <w:pPr>
        <w:pStyle w:val="Heading2"/>
      </w:pPr>
      <w:r>
        <w:t xml:space="preserve">2.1 Background and Significance</w:t>
      </w:r>
    </w:p>
    <w:p>
      <w:pPr>
        <w:spacing w:after="120" w:line="276"/>
      </w:pPr>
      <w:r>
        <w:rPr>
          <w:rFonts w:ascii="Arial" w:cs="Arial" w:eastAsia="Arial" w:hAnsi="Arial"/>
          <w:sz w:val="24"/>
          <w:szCs w:val="24"/>
        </w:rPr>
        <w:t xml:space="preserve">Hepatitis B virus infection in the perinatal period carries an extraordinarily high risk of chronicity. Approximately 90 percent of infants infected with HBV at birth will develop chronic hepatitis B infection, compared with less than 5 percent of adults infected later in life. Without timely post-exposure immunoprophylaxis, infants born to HBsAg-positive mothers have a 70 to 90 percent risk of perinatal HBV acquisition if the mother is also HBeAg-positive, and a 5 to 20 percent risk if the mother is HBeAg-negative. Chronic HBV carries a 15 to 25 percent lifetime risk of premature death from cirrhosis or hepatocellular carcinoma. The combination of hepatitis B vaccine plus hepatitis B immune globulin (HBIG) administered within 12 hours of birth is 94 percent effective at preventing perinatal transmission.</w:t>
      </w:r>
    </w:p>
    <w:p>
      <w:pPr>
        <w:spacing w:after="200"/>
      </w:pPr>
    </w:p>
    <w:p>
      <w:pPr>
        <w:pStyle w:val="Heading2"/>
      </w:pPr>
      <w:r>
        <w:t xml:space="preserve">2.2 Decision Tree: Maternal HBsAg Status</w:t>
      </w:r>
    </w:p>
    <w:p>
      <w:pPr>
        <w:pStyle w:val="Heading3"/>
      </w:pPr>
      <w:r>
        <w:t xml:space="preserve">2.2.1 Mother HBsAg-Positive (Known)</w:t>
      </w:r>
    </w:p>
    <w:p>
      <w:pPr>
        <w:spacing w:after="120" w:line="276"/>
      </w:pPr>
      <w:r>
        <w:rPr>
          <w:rFonts w:ascii="Arial" w:cs="Arial" w:eastAsia="Arial" w:hAnsi="Arial"/>
          <w:b/>
          <w:bCs/>
          <w:sz w:val="24"/>
          <w:szCs w:val="24"/>
        </w:rPr>
        <w:t xml:space="preserve">Immediate Actions (within 12 hours of birth):</w:t>
      </w:r>
    </w:p>
    <w:p>
      <w:pPr>
        <w:pStyle w:val="ListParagraph"/>
        <w:numPr>
          <w:ilvl w:val="0"/>
          <w:numId w:val="2"/>
        </w:numPr>
        <w:spacing w:after="80"/>
      </w:pPr>
      <w:r>
        <w:rPr>
          <w:rFonts w:ascii="Arial" w:cs="Arial" w:eastAsia="Arial" w:hAnsi="Arial"/>
          <w:sz w:val="24"/>
          <w:szCs w:val="24"/>
        </w:rPr>
        <w:t xml:space="preserve">Administer hepatitis B vaccine (single-antigen: Engerix-B 10 mcg or Recombivax HB 5 mcg) IM in one thigh.</w:t>
      </w:r>
    </w:p>
    <w:p>
      <w:pPr>
        <w:pStyle w:val="ListParagraph"/>
        <w:numPr>
          <w:ilvl w:val="0"/>
          <w:numId w:val="2"/>
        </w:numPr>
        <w:spacing w:after="80"/>
      </w:pPr>
      <w:r>
        <w:rPr>
          <w:rFonts w:ascii="Arial" w:cs="Arial" w:eastAsia="Arial" w:hAnsi="Arial"/>
          <w:sz w:val="24"/>
          <w:szCs w:val="24"/>
        </w:rPr>
        <w:t xml:space="preserve">Administer HBIG 0.5 mL IM in the opposite thigh (separate anatomical site from vaccine). Must be given within 12 hours of birth regardless of birth weight.</w:t>
      </w:r>
    </w:p>
    <w:p>
      <w:pPr>
        <w:pStyle w:val="ListParagraph"/>
        <w:numPr>
          <w:ilvl w:val="0"/>
          <w:numId w:val="2"/>
        </w:numPr>
        <w:spacing w:after="80"/>
      </w:pPr>
      <w:r>
        <w:rPr>
          <w:rFonts w:ascii="Arial" w:cs="Arial" w:eastAsia="Arial" w:hAnsi="Arial"/>
          <w:sz w:val="24"/>
          <w:szCs w:val="24"/>
        </w:rPr>
        <w:t xml:space="preserve">For infants weighing less than 2000 grams: The birth dose of vaccine does NOT count as the first dose of the series. These infants require a 4-dose series (birth dose + 3 subsequent doses).</w:t>
      </w:r>
    </w:p>
    <w:p>
      <w:pPr>
        <w:pStyle w:val="ListParagraph"/>
        <w:numPr>
          <w:ilvl w:val="0"/>
          <w:numId w:val="2"/>
        </w:numPr>
        <w:spacing w:after="80"/>
      </w:pPr>
      <w:r>
        <w:rPr>
          <w:rFonts w:ascii="Arial" w:cs="Arial" w:eastAsia="Arial" w:hAnsi="Arial"/>
          <w:sz w:val="24"/>
          <w:szCs w:val="24"/>
        </w:rPr>
        <w:t xml:space="preserve">For infants weighing 2000 grams or more: The birth dose counts as the first dose. Complete the 3-dose series at 1 to 2 months and 6 months (final dose no earlier than 164 days of age).</w:t>
      </w:r>
    </w:p>
    <w:p>
      <w:pPr>
        <w:spacing w:after="200"/>
      </w:pPr>
    </w:p>
    <w:p>
      <w:pPr>
        <w:spacing w:after="120" w:line="276"/>
      </w:pPr>
      <w:r>
        <w:rPr>
          <w:rFonts w:ascii="Arial" w:cs="Arial" w:eastAsia="Arial" w:hAnsi="Arial"/>
          <w:b/>
          <w:bCs/>
          <w:sz w:val="24"/>
          <w:szCs w:val="24"/>
        </w:rPr>
        <w:t xml:space="preserve">Laboratory Follow-Up:</w:t>
      </w:r>
    </w:p>
    <w:p>
      <w:pPr>
        <w:pStyle w:val="ListParagraph"/>
        <w:numPr>
          <w:ilvl w:val="0"/>
          <w:numId w:val="3"/>
        </w:numPr>
        <w:spacing w:after="80"/>
      </w:pPr>
      <w:r>
        <w:rPr>
          <w:rFonts w:ascii="Arial" w:cs="Arial" w:eastAsia="Arial" w:hAnsi="Arial"/>
          <w:sz w:val="24"/>
          <w:szCs w:val="24"/>
        </w:rPr>
        <w:t xml:space="preserve">Post-vaccination serologic testing (PVST) at 9 to 12 months of age (or 1 to 2 months after the final vaccine dose if the series is delayed)</w:t>
      </w:r>
    </w:p>
    <w:p>
      <w:pPr>
        <w:pStyle w:val="ListParagraph"/>
        <w:numPr>
          <w:ilvl w:val="0"/>
          <w:numId w:val="3"/>
        </w:numPr>
        <w:spacing w:after="80"/>
      </w:pPr>
      <w:r>
        <w:rPr>
          <w:rFonts w:ascii="Arial" w:cs="Arial" w:eastAsia="Arial" w:hAnsi="Arial"/>
          <w:sz w:val="24"/>
          <w:szCs w:val="24"/>
        </w:rPr>
        <w:t xml:space="preserve">Test for HBsAg (to rule out perinatal infection) AND anti-HBs (to confirm immunity)</w:t>
      </w:r>
    </w:p>
    <w:p>
      <w:pPr>
        <w:pStyle w:val="ListParagraph"/>
        <w:numPr>
          <w:ilvl w:val="0"/>
          <w:numId w:val="3"/>
        </w:numPr>
        <w:spacing w:after="80"/>
      </w:pPr>
      <w:r>
        <w:rPr>
          <w:rFonts w:ascii="Arial" w:cs="Arial" w:eastAsia="Arial" w:hAnsi="Arial"/>
          <w:sz w:val="24"/>
          <w:szCs w:val="24"/>
        </w:rPr>
        <w:t xml:space="preserve">Do NOT test for anti-HBc (maternal antibody may persist and cause confusion)</w:t>
      </w:r>
    </w:p>
    <w:p>
      <w:pPr>
        <w:pStyle w:val="ListParagraph"/>
        <w:numPr>
          <w:ilvl w:val="0"/>
          <w:numId w:val="3"/>
        </w:numPr>
        <w:spacing w:after="80"/>
      </w:pPr>
      <w:r>
        <w:rPr>
          <w:rFonts w:ascii="Arial" w:cs="Arial" w:eastAsia="Arial" w:hAnsi="Arial"/>
          <w:sz w:val="24"/>
          <w:szCs w:val="24"/>
        </w:rPr>
        <w:t xml:space="preserve">If anti-HBs is 10 mIU/mL or greater and HBsAg is negative: infant is protected. No further action needed</w:t>
      </w:r>
    </w:p>
    <w:p>
      <w:pPr>
        <w:pStyle w:val="ListParagraph"/>
        <w:numPr>
          <w:ilvl w:val="0"/>
          <w:numId w:val="3"/>
        </w:numPr>
        <w:spacing w:after="80"/>
      </w:pPr>
      <w:r>
        <w:rPr>
          <w:rFonts w:ascii="Arial" w:cs="Arial" w:eastAsia="Arial" w:hAnsi="Arial"/>
          <w:sz w:val="24"/>
          <w:szCs w:val="24"/>
        </w:rPr>
        <w:t xml:space="preserve">If anti-HBs is less than 10 mIU/mL and HBsAg is negative: revaccinate with a single dose. Recheck anti-HBs in 1 to 2 months. If still less than 10 mIU/mL: complete a second full 3-dose series and retest</w:t>
      </w:r>
    </w:p>
    <w:p>
      <w:pPr>
        <w:pStyle w:val="ListParagraph"/>
        <w:numPr>
          <w:ilvl w:val="0"/>
          <w:numId w:val="3"/>
        </w:numPr>
        <w:spacing w:after="80"/>
      </w:pPr>
      <w:r>
        <w:rPr>
          <w:rFonts w:ascii="Arial" w:cs="Arial" w:eastAsia="Arial" w:hAnsi="Arial"/>
          <w:sz w:val="24"/>
          <w:szCs w:val="24"/>
        </w:rPr>
        <w:t xml:space="preserve">If HBsAg is positive: the infant has chronic HBV. Refer to pediatric hepatology/gastroenterology</w:t>
      </w:r>
    </w:p>
    <w:p>
      <w:pPr>
        <w:spacing w:after="200"/>
      </w:pPr>
    </w:p>
    <w:p>
      <w:pPr>
        <w:spacing w:after="120" w:line="276"/>
      </w:pPr>
      <w:r>
        <w:rPr>
          <w:rFonts w:ascii="Arial" w:cs="Arial" w:eastAsia="Arial" w:hAnsi="Arial"/>
          <w:b/>
          <w:bCs/>
          <w:sz w:val="24"/>
          <w:szCs w:val="24"/>
        </w:rPr>
        <w:t xml:space="preserve">Breastfeeding: </w:t>
      </w:r>
      <w:r>
        <w:rPr>
          <w:rFonts w:ascii="Arial" w:cs="Arial" w:eastAsia="Arial" w:hAnsi="Arial"/>
          <w:sz w:val="24"/>
          <w:szCs w:val="24"/>
        </w:rPr>
        <w:t xml:space="preserve">YES. Breastfeeding is safe and encouraged for infants who have received vaccine and HBIG. HBV is not commonly transmitted through breast milk, and the benefits of breastfeeding outweigh the theoretical risk.</w:t>
      </w:r>
    </w:p>
    <w:p>
      <w:pPr>
        <w:spacing w:after="200"/>
      </w:pPr>
    </w:p>
    <w:p>
      <w:pPr>
        <w:pStyle w:val="Heading3"/>
      </w:pPr>
      <w:r>
        <w:t xml:space="preserve">2.2.2 Mother HBsAg Status Unknown</w:t>
      </w:r>
    </w:p>
    <w:p>
      <w:pPr>
        <w:spacing w:after="120" w:line="276"/>
      </w:pPr>
      <w:r>
        <w:rPr>
          <w:rFonts w:ascii="Arial" w:cs="Arial" w:eastAsia="Arial" w:hAnsi="Arial"/>
          <w:b/>
          <w:bCs/>
          <w:sz w:val="24"/>
          <w:szCs w:val="24"/>
        </w:rPr>
        <w:t xml:space="preserve">This is one of the most common scenarios in rural settings when prenatal records are unavailable.</w:t>
      </w:r>
    </w:p>
    <w:p>
      <w:pPr>
        <w:spacing w:after="200"/>
      </w:pPr>
    </w:p>
    <w:p>
      <w:pPr>
        <w:pStyle w:val="ListParagraph"/>
        <w:numPr>
          <w:ilvl w:val="0"/>
          <w:numId w:val="2"/>
        </w:numPr>
        <w:spacing w:after="80"/>
      </w:pPr>
      <w:r>
        <w:rPr>
          <w:rFonts w:ascii="Arial" w:cs="Arial" w:eastAsia="Arial" w:hAnsi="Arial"/>
          <w:sz w:val="24"/>
          <w:szCs w:val="24"/>
        </w:rPr>
        <w:t xml:space="preserve">Administer hepatitis B vaccine within 12 hours of birth (same dosing as for HBsAg-positive mother).</w:t>
      </w:r>
    </w:p>
    <w:p>
      <w:pPr>
        <w:pStyle w:val="ListParagraph"/>
        <w:numPr>
          <w:ilvl w:val="0"/>
          <w:numId w:val="2"/>
        </w:numPr>
        <w:spacing w:after="80"/>
      </w:pPr>
      <w:r>
        <w:rPr>
          <w:rFonts w:ascii="Arial" w:cs="Arial" w:eastAsia="Arial" w:hAnsi="Arial"/>
          <w:sz w:val="24"/>
          <w:szCs w:val="24"/>
        </w:rPr>
        <w:t xml:space="preserve">Draw maternal blood for HBsAg testing IMMEDIATELY upon admission.</w:t>
      </w:r>
    </w:p>
    <w:p>
      <w:pPr>
        <w:pStyle w:val="ListParagraph"/>
        <w:numPr>
          <w:ilvl w:val="0"/>
          <w:numId w:val="2"/>
        </w:numPr>
        <w:spacing w:after="80"/>
      </w:pPr>
      <w:r>
        <w:rPr>
          <w:rFonts w:ascii="Arial" w:cs="Arial" w:eastAsia="Arial" w:hAnsi="Arial"/>
          <w:sz w:val="24"/>
          <w:szCs w:val="24"/>
        </w:rPr>
        <w:t xml:space="preserve">For infants weighing 2000 grams or more: Administer HBIG within 12 hours of birth ONLY IF maternal HBsAg result will not be available by that time, OR administer HBIG as soon as the mother is confirmed HBsAg-positive (must be within 7 days of birth).</w:t>
      </w:r>
    </w:p>
    <w:p>
      <w:pPr>
        <w:pStyle w:val="ListParagraph"/>
        <w:numPr>
          <w:ilvl w:val="0"/>
          <w:numId w:val="2"/>
        </w:numPr>
        <w:spacing w:after="80"/>
      </w:pPr>
      <w:r>
        <w:rPr>
          <w:rFonts w:ascii="Arial" w:cs="Arial" w:eastAsia="Arial" w:hAnsi="Arial"/>
          <w:sz w:val="24"/>
          <w:szCs w:val="24"/>
        </w:rPr>
        <w:t xml:space="preserve">For infants weighing less than 2000 grams: Administer HBIG within 12 hours of birth (do NOT wait for maternal results due to decreased vaccine immunogenicity in low birth weight infants).</w:t>
      </w:r>
    </w:p>
    <w:p>
      <w:pPr>
        <w:pStyle w:val="ListParagraph"/>
        <w:numPr>
          <w:ilvl w:val="0"/>
          <w:numId w:val="2"/>
        </w:numPr>
        <w:spacing w:after="80"/>
      </w:pPr>
      <w:r>
        <w:rPr>
          <w:rFonts w:ascii="Arial" w:cs="Arial" w:eastAsia="Arial" w:hAnsi="Arial"/>
          <w:sz w:val="24"/>
          <w:szCs w:val="24"/>
        </w:rPr>
        <w:t xml:space="preserve">If maternal HBsAg returns negative: No HBIG needed if not already given. Continue standard vaccine schedule.</w:t>
      </w:r>
    </w:p>
    <w:p>
      <w:pPr>
        <w:pStyle w:val="ListParagraph"/>
        <w:numPr>
          <w:ilvl w:val="0"/>
          <w:numId w:val="2"/>
        </w:numPr>
        <w:spacing w:after="80"/>
      </w:pPr>
      <w:r>
        <w:rPr>
          <w:rFonts w:ascii="Arial" w:cs="Arial" w:eastAsia="Arial" w:hAnsi="Arial"/>
          <w:sz w:val="24"/>
          <w:szCs w:val="24"/>
        </w:rPr>
        <w:t xml:space="preserve">If maternal HBsAg returns positive: Ensure HBIG was given. Follow the HBsAg-positive protocol for the vaccine series and PVST.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The 12-Hour Window</w:t>
            </w:r>
          </w:p>
          <w:p>
            <w:pPr>
              <w:spacing w:before="60"/>
            </w:pPr>
            <w:r>
              <w:rPr>
                <w:rFonts w:ascii="Arial" w:cs="Arial" w:eastAsia="Arial" w:hAnsi="Arial"/>
                <w:sz w:val="22"/>
                <w:szCs w:val="22"/>
              </w:rPr>
              <w:t xml:space="preserve">HBIG efficacy decreases dramatically after 12 hours. For infants born to HBsAg-positive mothers or mothers of unknown status with birth weight less than 2000 grams, HBIG MUST be given within 12 hours. Do not delay for any reason. If the pharmacy does not stock HBIG, know your emergency procurement process before the infant arrives.</w:t>
            </w:r>
          </w:p>
        </w:tc>
      </w:tr>
    </w:tbl>
    <w:p>
      <w:pPr>
        <w:spacing w:after="200"/>
      </w:pPr>
    </w:p>
    <w:p>
      <w:pPr>
        <w:pStyle w:val="Heading3"/>
      </w:pPr>
      <w:r>
        <w:t xml:space="preserve">2.2.3 Mother HBsAg-Negative (Confirmed)</w:t>
      </w:r>
    </w:p>
    <w:p>
      <w:pPr>
        <w:spacing w:after="120" w:line="276"/>
      </w:pPr>
      <w:r>
        <w:rPr>
          <w:rFonts w:ascii="Arial" w:cs="Arial" w:eastAsia="Arial" w:hAnsi="Arial"/>
          <w:sz w:val="24"/>
          <w:szCs w:val="24"/>
        </w:rPr>
        <w:t xml:space="preserve">For medically stable infants weighing 2000 grams or more: Administer hepatitis B vaccine within 24 hours of birth per AAP recommendation. The AAP continues to recommend universal birth dose vaccination regardless of the December 2025 ACIP vote to allow parental choice for HBsAg-negative mothers. The AAP position is that the birth dose has resulted in a 99 percent reduction in pediatric hepatitis B infections since 1991 and should be maintained.</w:t>
      </w:r>
    </w:p>
    <w:p>
      <w:pPr>
        <w:spacing w:after="200"/>
      </w:pPr>
    </w:p>
    <w:p>
      <w:pPr>
        <w:spacing w:after="120" w:line="276"/>
      </w:pPr>
      <w:r>
        <w:rPr>
          <w:rFonts w:ascii="Arial" w:cs="Arial" w:eastAsia="Arial" w:hAnsi="Arial"/>
          <w:sz w:val="24"/>
          <w:szCs w:val="24"/>
        </w:rPr>
        <w:t xml:space="preserve">For preterm infants weighing less than 2000 grams born to HBsAg-negative mothers: Delay the first dose of hepatitis B vaccine until 1 month of age or hospital discharge (whichever comes first), even if weight is still less than 2000 grams at that time. Ensure that a copy of the original laboratory report confirming maternal HBsAg-negative status is placed in the infant's chart.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86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Maternal Status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HepB Vaccine Timing</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HBIG</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Vaccine Series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PVST</w:t>
            </w:r>
          </w:p>
        </w:tc>
      </w:tr>
      <w:tr>
        <w:tc>
          <w:tcPr>
            <w:tcW w:type="dxa" w:w="1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HBsAg +</w:t>
            </w:r>
          </w:p>
        </w:tc>
        <w:tc>
          <w:tcPr>
            <w:tcW w:type="dxa" w:w="20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Within 12 hours</w:t>
            </w:r>
          </w:p>
        </w:tc>
        <w:tc>
          <w:tcPr>
            <w:tcW w:type="dxa" w:w="22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Within 12 hours (separate limb)</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&lt;2 kg: 4 doses; &gt;=2 kg: 3 doses</w:t>
            </w:r>
          </w:p>
        </w:tc>
        <w:tc>
          <w:tcPr>
            <w:tcW w:type="dxa" w:w="1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At 9-12 months (HBsAg + anti-HBs)</w:t>
            </w:r>
          </w:p>
        </w:tc>
      </w:tr>
      <w:tr>
        <w:tc>
          <w:tcPr>
            <w:tcW w:type="dxa" w:w="1500"/>
            <w:tcBorders>
              <w:top w:val="single" w:color="CCCCCC" w:sz="1"/>
              <w:left w:val="single" w:color="CCCCCC" w:sz="1"/>
              <w:bottom w:val="single" w:color="CCCCCC" w:sz="1"/>
              <w:right w:val="single" w:color="CCCCCC" w:sz="1"/>
            </w:tcBorders>
            <w:shd w:fill="FFEB9C" w:val="clear"/>
            <w:tcMar>
              <w:top w:type="dxa" w:w="40"/>
              <w:left w:type="dxa" w:w="100"/>
              <w:bottom w:type="dxa" w:w="40"/>
              <w:right w:type="dxa" w:w="100"/>
            </w:tcMar>
          </w:tcPr>
          <w:p>
            <w:r>
              <w:rPr>
                <w:rFonts w:ascii="Arial" w:cs="Arial" w:eastAsia="Arial" w:hAnsi="Arial"/>
                <w:b/>
                <w:bCs/>
                <w:sz w:val="22"/>
                <w:szCs w:val="22"/>
              </w:rPr>
              <w:t xml:space="preserve">HBsAg Unknown</w:t>
            </w:r>
          </w:p>
        </w:tc>
        <w:tc>
          <w:tcPr>
            <w:tcW w:type="dxa" w:w="2000"/>
            <w:tcBorders>
              <w:top w:val="single" w:color="CCCCCC" w:sz="1"/>
              <w:left w:val="single" w:color="CCCCCC" w:sz="1"/>
              <w:bottom w:val="single" w:color="CCCCCC" w:sz="1"/>
              <w:right w:val="single" w:color="CCCCCC" w:sz="1"/>
            </w:tcBorders>
            <w:shd w:fill="FFEB9C" w:val="clear"/>
            <w:tcMar>
              <w:top w:type="dxa" w:w="40"/>
              <w:left w:type="dxa" w:w="100"/>
              <w:bottom w:type="dxa" w:w="40"/>
              <w:right w:type="dxa" w:w="100"/>
            </w:tcMar>
          </w:tcPr>
          <w:p>
            <w:r>
              <w:rPr>
                <w:rFonts w:ascii="Arial" w:cs="Arial" w:eastAsia="Arial" w:hAnsi="Arial"/>
                <w:b/>
                <w:bCs/>
                <w:sz w:val="22"/>
                <w:szCs w:val="22"/>
              </w:rPr>
              <w:t xml:space="preserve">Within 12 hours</w:t>
            </w:r>
          </w:p>
        </w:tc>
        <w:tc>
          <w:tcPr>
            <w:tcW w:type="dxa" w:w="2200"/>
            <w:tcBorders>
              <w:top w:val="single" w:color="CCCCCC" w:sz="1"/>
              <w:left w:val="single" w:color="CCCCCC" w:sz="1"/>
              <w:bottom w:val="single" w:color="CCCCCC" w:sz="1"/>
              <w:right w:val="single" w:color="CCCCCC" w:sz="1"/>
            </w:tcBorders>
            <w:shd w:fill="FFEB9C" w:val="clear"/>
            <w:tcMar>
              <w:top w:type="dxa" w:w="40"/>
              <w:left w:type="dxa" w:w="100"/>
              <w:bottom w:type="dxa" w:w="40"/>
              <w:right w:type="dxa" w:w="100"/>
            </w:tcMar>
          </w:tcPr>
          <w:p>
            <w:r>
              <w:rPr>
                <w:rFonts w:ascii="Arial" w:cs="Arial" w:eastAsia="Arial" w:hAnsi="Arial"/>
                <w:b w:val="false"/>
                <w:bCs w:val="false"/>
                <w:sz w:val="22"/>
                <w:szCs w:val="22"/>
              </w:rPr>
              <w:t xml:space="preserve">&lt;2 kg: within 12h; &gt;=2 kg: within 12h if result not back</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Based on maternal result</w:t>
            </w:r>
          </w:p>
        </w:tc>
        <w:tc>
          <w:tcPr>
            <w:tcW w:type="dxa" w:w="1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If mom HBsAg+: at 9-12 months</w:t>
            </w:r>
          </w:p>
        </w:tc>
      </w:tr>
      <w:tr>
        <w:tc>
          <w:tcPr>
            <w:tcW w:type="dxa" w:w="1500"/>
            <w:tcBorders>
              <w:top w:val="single" w:color="CCCCCC" w:sz="1"/>
              <w:left w:val="single" w:color="CCCCCC" w:sz="1"/>
              <w:bottom w:val="single" w:color="CCCCCC" w:sz="1"/>
              <w:right w:val="single" w:color="CCCCCC" w:sz="1"/>
            </w:tcBorders>
            <w:shd w:fill="C6EFCE" w:val="clear"/>
            <w:tcMar>
              <w:top w:type="dxa" w:w="40"/>
              <w:left w:type="dxa" w:w="100"/>
              <w:bottom w:type="dxa" w:w="40"/>
              <w:right w:type="dxa" w:w="100"/>
            </w:tcMar>
          </w:tcPr>
          <w:p>
            <w:r>
              <w:rPr>
                <w:rFonts w:ascii="Arial" w:cs="Arial" w:eastAsia="Arial" w:hAnsi="Arial"/>
                <w:b/>
                <w:bCs/>
                <w:sz w:val="22"/>
                <w:szCs w:val="22"/>
              </w:rPr>
              <w:t xml:space="preserve">HBsAg -</w:t>
            </w:r>
          </w:p>
        </w:tc>
        <w:tc>
          <w:tcPr>
            <w:tcW w:type="dxa" w:w="2000"/>
            <w:tcBorders>
              <w:top w:val="single" w:color="CCCCCC" w:sz="1"/>
              <w:left w:val="single" w:color="CCCCCC" w:sz="1"/>
              <w:bottom w:val="single" w:color="CCCCCC" w:sz="1"/>
              <w:right w:val="single" w:color="CCCCCC" w:sz="1"/>
            </w:tcBorders>
            <w:shd w:fill="C6EFCE" w:val="clear"/>
            <w:tcMar>
              <w:top w:type="dxa" w:w="40"/>
              <w:left w:type="dxa" w:w="100"/>
              <w:bottom w:type="dxa" w:w="40"/>
              <w:right w:type="dxa" w:w="100"/>
            </w:tcMar>
          </w:tcPr>
          <w:p>
            <w:r>
              <w:rPr>
                <w:rFonts w:ascii="Arial" w:cs="Arial" w:eastAsia="Arial" w:hAnsi="Arial"/>
                <w:b w:val="false"/>
                <w:bCs w:val="false"/>
                <w:sz w:val="22"/>
                <w:szCs w:val="22"/>
              </w:rPr>
              <w:t xml:space="preserve">Within 24 hours (&gt;=2 kg); 1 month (&lt;2 kg)</w:t>
            </w:r>
          </w:p>
        </w:tc>
        <w:tc>
          <w:tcPr>
            <w:tcW w:type="dxa" w:w="2200"/>
            <w:tcBorders>
              <w:top w:val="single" w:color="CCCCCC" w:sz="1"/>
              <w:left w:val="single" w:color="CCCCCC" w:sz="1"/>
              <w:bottom w:val="single" w:color="CCCCCC" w:sz="1"/>
              <w:right w:val="single" w:color="CCCCCC" w:sz="1"/>
            </w:tcBorders>
            <w:shd w:fill="C6EFCE" w:val="clear"/>
            <w:tcMar>
              <w:top w:type="dxa" w:w="40"/>
              <w:left w:type="dxa" w:w="100"/>
              <w:bottom w:type="dxa" w:w="40"/>
              <w:right w:type="dxa" w:w="100"/>
            </w:tcMar>
          </w:tcPr>
          <w:p>
            <w:r>
              <w:rPr>
                <w:rFonts w:ascii="Arial" w:cs="Arial" w:eastAsia="Arial" w:hAnsi="Arial"/>
                <w:b w:val="false"/>
                <w:bCs w:val="false"/>
                <w:sz w:val="22"/>
                <w:szCs w:val="22"/>
              </w:rPr>
              <w:t xml:space="preserve">None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 doses standard schedule</w:t>
            </w:r>
          </w:p>
        </w:tc>
        <w:tc>
          <w:tcPr>
            <w:tcW w:type="dxa" w:w="1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Not routinely indicated</w:t>
            </w:r>
          </w:p>
        </w:tc>
      </w:tr>
    </w:tbl>
    <w:p>
      <w:r>
        <w:br w:type="page"/>
      </w:r>
    </w:p>
    <w:p>
      <w:pPr>
        <w:pStyle w:val="Heading1"/>
      </w:pPr>
      <w:r>
        <w:t xml:space="preserve">Chapter 3: Hepatitis C Virus (HCV)</w:t>
      </w:r>
    </w:p>
    <w:p>
      <w:pPr>
        <w:pStyle w:val="Heading2"/>
      </w:pPr>
      <w:r>
        <w:t xml:space="preserve">3.1 Background and Significance</w:t>
      </w:r>
    </w:p>
    <w:p>
      <w:pPr>
        <w:spacing w:after="120" w:line="276"/>
      </w:pPr>
      <w:r>
        <w:rPr>
          <w:rFonts w:ascii="Arial" w:cs="Arial" w:eastAsia="Arial" w:hAnsi="Arial"/>
          <w:sz w:val="24"/>
          <w:szCs w:val="24"/>
        </w:rPr>
        <w:t xml:space="preserve">Hepatitis C virus vertical transmission occurs in approximately 5 to 8 percent of infants born to HCV-positive mothers, with the rate increasing to 10 to 25 percent if the mother is co-infected with HIV. Unlike hepatitis B, there is no vaccine or immunoprophylaxis available for HCV. The management of the exposed newborn centers on appropriate testing, monitoring, and avoidance of interventions that are not evidence-based.</w:t>
      </w:r>
    </w:p>
    <w:p>
      <w:pPr>
        <w:spacing w:after="200"/>
      </w:pPr>
    </w:p>
    <w:p>
      <w:pPr>
        <w:spacing w:after="120" w:line="276"/>
      </w:pPr>
      <w:r>
        <w:rPr>
          <w:rFonts w:ascii="Arial" w:cs="Arial" w:eastAsia="Arial" w:hAnsi="Arial"/>
          <w:sz w:val="24"/>
          <w:szCs w:val="24"/>
        </w:rPr>
        <w:t xml:space="preserve">HCV prevalence among women of childbearing age has increased significantly in the United States, driven largely by the opioid epidemic. Universal HCV screening during pregnancy was recommended by the CDC in 2020 and endorsed by ACOG and the U.S. Preventive Services Task Force.</w:t>
      </w:r>
    </w:p>
    <w:p>
      <w:pPr>
        <w:spacing w:after="200"/>
      </w:pPr>
    </w:p>
    <w:p>
      <w:pPr>
        <w:pStyle w:val="Heading2"/>
      </w:pPr>
      <w:r>
        <w:t xml:space="preserve">3.2 Decision Tree: Infant Born to HCV-Positive Mother</w:t>
      </w:r>
    </w:p>
    <w:p>
      <w:pPr>
        <w:pStyle w:val="Heading3"/>
      </w:pPr>
      <w:r>
        <w:t xml:space="preserve">3.2.1 At Birth</w:t>
      </w:r>
    </w:p>
    <w:p>
      <w:pPr>
        <w:spacing w:after="120" w:line="276"/>
      </w:pPr>
      <w:r>
        <w:rPr>
          <w:rFonts w:ascii="Arial" w:cs="Arial" w:eastAsia="Arial" w:hAnsi="Arial"/>
          <w:b/>
          <w:bCs/>
          <w:sz w:val="24"/>
          <w:szCs w:val="24"/>
        </w:rPr>
        <w:t xml:space="preserve">No specific interventions are required at the time of birth.</w:t>
      </w:r>
    </w:p>
    <w:p>
      <w:pPr>
        <w:pStyle w:val="ListParagraph"/>
        <w:numPr>
          <w:ilvl w:val="0"/>
          <w:numId w:val="3"/>
        </w:numPr>
        <w:spacing w:after="80"/>
      </w:pPr>
      <w:r>
        <w:rPr>
          <w:rFonts w:ascii="Arial" w:cs="Arial" w:eastAsia="Arial" w:hAnsi="Arial"/>
          <w:sz w:val="24"/>
          <w:szCs w:val="24"/>
        </w:rPr>
        <w:t xml:space="preserve">No immunoprophylaxis exists for HCV (no vaccine, no immune globulin)</w:t>
      </w:r>
    </w:p>
    <w:p>
      <w:pPr>
        <w:pStyle w:val="ListParagraph"/>
        <w:numPr>
          <w:ilvl w:val="0"/>
          <w:numId w:val="3"/>
        </w:numPr>
        <w:spacing w:after="80"/>
      </w:pPr>
      <w:r>
        <w:rPr>
          <w:rFonts w:ascii="Arial" w:cs="Arial" w:eastAsia="Arial" w:hAnsi="Arial"/>
          <w:sz w:val="24"/>
          <w:szCs w:val="24"/>
        </w:rPr>
        <w:t xml:space="preserve">No antiviral treatment is given to the newborn at birth</w:t>
      </w:r>
    </w:p>
    <w:p>
      <w:pPr>
        <w:pStyle w:val="ListParagraph"/>
        <w:numPr>
          <w:ilvl w:val="0"/>
          <w:numId w:val="3"/>
        </w:numPr>
        <w:spacing w:after="80"/>
      </w:pPr>
      <w:r>
        <w:rPr>
          <w:rFonts w:ascii="Arial" w:cs="Arial" w:eastAsia="Arial" w:hAnsi="Arial"/>
          <w:sz w:val="24"/>
          <w:szCs w:val="24"/>
        </w:rPr>
        <w:t xml:space="preserve">Routine newborn care is appropriate</w:t>
      </w:r>
    </w:p>
    <w:p>
      <w:pPr>
        <w:pStyle w:val="ListParagraph"/>
        <w:numPr>
          <w:ilvl w:val="0"/>
          <w:numId w:val="3"/>
        </w:numPr>
        <w:spacing w:after="80"/>
      </w:pPr>
      <w:r>
        <w:rPr>
          <w:rFonts w:ascii="Arial" w:cs="Arial" w:eastAsia="Arial" w:hAnsi="Arial"/>
          <w:sz w:val="24"/>
          <w:szCs w:val="24"/>
        </w:rPr>
        <w:t xml:space="preserve">Avoid fetal scalp electrodes and prolonged rupture of membranes when possible (may increase transmission risk, though evidence is limited)</w:t>
      </w:r>
    </w:p>
    <w:p>
      <w:pPr>
        <w:spacing w:after="200"/>
      </w:pPr>
    </w:p>
    <w:p>
      <w:pPr>
        <w:pStyle w:val="Heading3"/>
      </w:pPr>
      <w:r>
        <w:t xml:space="preserve">3.2.2 Testing Strategy</w:t>
      </w:r>
    </w:p>
    <w:p>
      <w:pPr>
        <w:spacing w:after="120" w:line="276"/>
      </w:pPr>
      <w:r>
        <w:rPr>
          <w:rFonts w:ascii="Arial" w:cs="Arial" w:eastAsia="Arial" w:hAnsi="Arial"/>
          <w:sz w:val="24"/>
          <w:szCs w:val="24"/>
        </w:rPr>
        <w:t xml:space="preserve">The testing strategy for HCV-exposed infants has evolved. The current AAP recommendation (2023) allows for two approaches:</w:t>
      </w:r>
    </w:p>
    <w:p>
      <w:pPr>
        <w:spacing w:after="200"/>
      </w:pPr>
    </w:p>
    <w:p>
      <w:pPr>
        <w:spacing w:after="120" w:line="276"/>
      </w:pPr>
      <w:r>
        <w:rPr>
          <w:rFonts w:ascii="Arial" w:cs="Arial" w:eastAsia="Arial" w:hAnsi="Arial"/>
          <w:b/>
          <w:bCs/>
          <w:sz w:val="24"/>
          <w:szCs w:val="24"/>
        </w:rPr>
        <w:t xml:space="preserve">Approach 1 (Preferred — Early RNA Testing): </w:t>
      </w:r>
      <w:r>
        <w:rPr>
          <w:rFonts w:ascii="Arial" w:cs="Arial" w:eastAsia="Arial" w:hAnsi="Arial"/>
          <w:sz w:val="24"/>
          <w:szCs w:val="24"/>
        </w:rPr>
        <w:t xml:space="preserve">HCV RNA by PCR at 2 to 6 months of age. This allows earlier diagnosis than waiting for antibody testing. If positive, repeat HCV RNA to confirm (a single positive RNA may represent transient viremia). If confirmed positive, refer to pediatric hepatology.</w:t>
      </w:r>
    </w:p>
    <w:p>
      <w:pPr>
        <w:spacing w:after="200"/>
      </w:pPr>
    </w:p>
    <w:p>
      <w:pPr>
        <w:spacing w:after="120" w:line="276"/>
      </w:pPr>
      <w:r>
        <w:rPr>
          <w:rFonts w:ascii="Arial" w:cs="Arial" w:eastAsia="Arial" w:hAnsi="Arial"/>
          <w:b/>
          <w:bCs/>
          <w:sz w:val="24"/>
          <w:szCs w:val="24"/>
        </w:rPr>
        <w:t xml:space="preserve">Approach 2 (Traditional — Antibody Testing): </w:t>
      </w:r>
      <w:r>
        <w:rPr>
          <w:rFonts w:ascii="Arial" w:cs="Arial" w:eastAsia="Arial" w:hAnsi="Arial"/>
          <w:sz w:val="24"/>
          <w:szCs w:val="24"/>
        </w:rPr>
        <w:t xml:space="preserve">Anti-HCV antibody at 18 months of age. Maternal anti-HCV IgG crosses the placenta and may persist in the infant until 18 months, so testing before 18 months will detect maternal antibody and produce false-positive results. If anti-HCV is positive at 18 months or later, confirm with HCV RNA.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Do NOT Test at Birth</w:t>
            </w:r>
          </w:p>
          <w:p>
            <w:pPr>
              <w:spacing w:before="60"/>
            </w:pPr>
            <w:r>
              <w:rPr>
                <w:rFonts w:ascii="Arial" w:cs="Arial" w:eastAsia="Arial" w:hAnsi="Arial"/>
                <w:sz w:val="22"/>
                <w:szCs w:val="22"/>
              </w:rPr>
              <w:t xml:space="preserve">Do not order anti-HCV or HCV RNA at birth. Anti-HCV will be positive due to passive transfer of maternal antibody and provides no diagnostic information about infant infection. Testing at birth causes unnecessary parental anxiety and may lead to inappropriate interventions.</w:t>
            </w:r>
          </w:p>
        </w:tc>
      </w:tr>
    </w:tbl>
    <w:p>
      <w:pPr>
        <w:spacing w:after="200"/>
      </w:pPr>
    </w:p>
    <w:p>
      <w:pPr>
        <w:pStyle w:val="Heading3"/>
      </w:pPr>
      <w:r>
        <w:t xml:space="preserve">3.2.3 Breastfeeding</w:t>
      </w:r>
    </w:p>
    <w:p>
      <w:pPr>
        <w:spacing w:after="120" w:line="276"/>
      </w:pPr>
      <w:r>
        <w:rPr>
          <w:rFonts w:ascii="Arial" w:cs="Arial" w:eastAsia="Arial" w:hAnsi="Arial"/>
          <w:b/>
          <w:bCs/>
          <w:sz w:val="24"/>
          <w:szCs w:val="24"/>
        </w:rPr>
        <w:t xml:space="preserve">YES. Breastfeeding is safe and recommended </w:t>
      </w:r>
      <w:r>
        <w:rPr>
          <w:rFonts w:ascii="Arial" w:cs="Arial" w:eastAsia="Arial" w:hAnsi="Arial"/>
          <w:sz w:val="24"/>
          <w:szCs w:val="24"/>
        </w:rPr>
        <w:t xml:space="preserve">for infants born to HCV-positive mothers, per AAP, ACOG, and CDC guidelines. HCV transmission through breast milk has not been documented. The only exception is if the mother has cracked or bleeding nipples, in which case temporary cessation and pumping/discarding is recommended until the nipples have healed.</w:t>
      </w:r>
    </w:p>
    <w:p>
      <w:pPr>
        <w:spacing w:after="200"/>
      </w:pPr>
    </w:p>
    <w:p>
      <w:pPr>
        <w:pStyle w:val="Heading3"/>
      </w:pPr>
      <w:r>
        <w:t xml:space="preserve">3.2.4 Follow-Up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Time Point</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Action</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Birth</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 testing. Routine care.</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Document maternal HCV status in infant chart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2-6 months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HCV RNA by PCR (if early testing approach used)</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Preferred approach for earlier diagnosis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18 months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Anti-HCV antibody (if traditional approach used)</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If positive, confirm with HCV RNA</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If HCV RNA positive (any age)</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Repeat HCV RNA in 3-6 months to confirm</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Transient viremia can occur; need persistent viremia for diagnosis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Confirmed HCV infection</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Refer to pediatric hepatology</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DAA therapy (ledipasvir/sofosbuvir) now approved for age 3+ years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The biggest failure in HCV-exposed infant management is not the birth hospitalization but the follow-up. Many infants are lost to follow-up before testing is completed. At discharge, ensure that the pediatrician or primary care provider is explicitly informed of the infant's HCV exposure status and that a specific follow-up plan with testing dates is documented in the discharge summary. Consider a warm handoff to the outpatient provider.</w:t>
            </w:r>
          </w:p>
        </w:tc>
      </w:tr>
    </w:tbl>
    <w:p>
      <w:r>
        <w:br w:type="page"/>
      </w:r>
    </w:p>
    <w:p>
      <w:pPr>
        <w:pStyle w:val="Heading1"/>
      </w:pPr>
      <w:r>
        <w:t xml:space="preserve">Chapter 4: Congenital Syphilis</w:t>
      </w:r>
    </w:p>
    <w:p>
      <w:pPr>
        <w:pStyle w:val="Heading2"/>
      </w:pPr>
      <w:r>
        <w:t xml:space="preserve">4.1 Background and Significance</w:t>
      </w:r>
    </w:p>
    <w:p>
      <w:pPr>
        <w:spacing w:after="120" w:line="276"/>
      </w:pPr>
      <w:r>
        <w:rPr>
          <w:rFonts w:ascii="Arial" w:cs="Arial" w:eastAsia="Arial" w:hAnsi="Arial"/>
          <w:sz w:val="24"/>
          <w:szCs w:val="24"/>
        </w:rPr>
        <w:t xml:space="preserve">Congenital syphilis is a national public health crisis. Cases have more than tripled in the United States in recent years, with nearly 4,000 cases reported in 2024 alone, the highest number since 1994. Congenital syphilis is entirely preventable with adequate maternal screening and treatment during pregnancy, yet systemic failures in prenatal care, particularly in rural and underserved communities, have allowed the epidemic to resurge. As the AAP has stated, no mother or newborn infant should leave the hospital without maternal serologic status having been documented at least once during pregnancy.</w:t>
      </w:r>
    </w:p>
    <w:p>
      <w:pPr>
        <w:spacing w:after="200"/>
      </w:pPr>
    </w:p>
    <w:p>
      <w:pPr>
        <w:spacing w:after="120" w:line="276"/>
      </w:pPr>
      <w:r>
        <w:rPr>
          <w:rFonts w:ascii="Arial" w:cs="Arial" w:eastAsia="Arial" w:hAnsi="Arial"/>
          <w:sz w:val="24"/>
          <w:szCs w:val="24"/>
        </w:rPr>
        <w:t xml:space="preserve">Treponema pallidum crosses the placenta and can infect the fetus at any stage of pregnancy. Untreated maternal syphilis results in adverse pregnancy outcomes in up to 80 percent of cases, including stillbirth, neonatal death, preterm delivery, and congenital infection. Infants with congenital syphilis may be asymptomatic at birth (up to 70 percent), making laboratory screening essential.</w:t>
      </w:r>
    </w:p>
    <w:p>
      <w:pPr>
        <w:spacing w:after="200"/>
      </w:pPr>
    </w:p>
    <w:p>
      <w:pPr>
        <w:pStyle w:val="Heading2"/>
      </w:pPr>
      <w:r>
        <w:t xml:space="preserve">4.2 Maternal Screening and Classification</w:t>
      </w:r>
    </w:p>
    <w:p>
      <w:pPr>
        <w:spacing w:after="120" w:line="276"/>
      </w:pPr>
      <w:r>
        <w:rPr>
          <w:rFonts w:ascii="Arial" w:cs="Arial" w:eastAsia="Arial" w:hAnsi="Arial"/>
          <w:sz w:val="24"/>
          <w:szCs w:val="24"/>
        </w:rPr>
        <w:t xml:space="preserve">The evaluation of the newborn depends critically on the mother's syphilis status and treatment history. The CDC 2021 STI Treatment Guidelines provide a risk-stratification framework based on four key questions:</w:t>
      </w:r>
    </w:p>
    <w:p>
      <w:pPr>
        <w:spacing w:after="200"/>
      </w:pPr>
    </w:p>
    <w:p>
      <w:pPr>
        <w:pStyle w:val="ListParagraph"/>
        <w:numPr>
          <w:ilvl w:val="0"/>
          <w:numId w:val="2"/>
        </w:numPr>
        <w:spacing w:after="80"/>
      </w:pPr>
      <w:r>
        <w:rPr>
          <w:rFonts w:ascii="Arial" w:cs="Arial" w:eastAsia="Arial" w:hAnsi="Arial"/>
          <w:sz w:val="24"/>
          <w:szCs w:val="24"/>
        </w:rPr>
        <w:t xml:space="preserve">Was the mother's syphilis treatment adequate? (Penicillin G is the ONLY acceptable treatment. Any non-penicillin regimen during pregnancy is considered inadequate.)</w:t>
      </w:r>
    </w:p>
    <w:p>
      <w:pPr>
        <w:pStyle w:val="ListParagraph"/>
        <w:numPr>
          <w:ilvl w:val="0"/>
          <w:numId w:val="2"/>
        </w:numPr>
        <w:spacing w:after="80"/>
      </w:pPr>
      <w:r>
        <w:rPr>
          <w:rFonts w:ascii="Arial" w:cs="Arial" w:eastAsia="Arial" w:hAnsi="Arial"/>
          <w:sz w:val="24"/>
          <w:szCs w:val="24"/>
        </w:rPr>
        <w:t xml:space="preserve">Was treatment completed at least 30 days before delivery? (Treatment less than 30 days before delivery is considered inadequate for fetal treatment.)</w:t>
      </w:r>
    </w:p>
    <w:p>
      <w:pPr>
        <w:pStyle w:val="ListParagraph"/>
        <w:numPr>
          <w:ilvl w:val="0"/>
          <w:numId w:val="2"/>
        </w:numPr>
        <w:spacing w:after="80"/>
      </w:pPr>
      <w:r>
        <w:rPr>
          <w:rFonts w:ascii="Arial" w:cs="Arial" w:eastAsia="Arial" w:hAnsi="Arial"/>
          <w:sz w:val="24"/>
          <w:szCs w:val="24"/>
        </w:rPr>
        <w:t xml:space="preserve">Did the mother's nontreponemal titer decrease appropriately after treatment? (A fourfold decline in RPR/VDRL titer by 6 to 12 months indicates adequate response.)</w:t>
      </w:r>
    </w:p>
    <w:p>
      <w:pPr>
        <w:pStyle w:val="ListParagraph"/>
        <w:numPr>
          <w:ilvl w:val="0"/>
          <w:numId w:val="2"/>
        </w:numPr>
        <w:spacing w:after="80"/>
      </w:pPr>
      <w:r>
        <w:rPr>
          <w:rFonts w:ascii="Arial" w:cs="Arial" w:eastAsia="Arial" w:hAnsi="Arial"/>
          <w:sz w:val="24"/>
          <w:szCs w:val="24"/>
        </w:rPr>
        <w:t xml:space="preserve">Is the infant's nontreponemal titer more than fourfold higher than the mother's titer at delivery? (A titer ratio greater than 4:1 suggests active infant infection.)</w:t>
      </w:r>
    </w:p>
    <w:p>
      <w:pPr>
        <w:spacing w:after="200"/>
      </w:pPr>
    </w:p>
    <w:p>
      <w:pPr>
        <w:pStyle w:val="Heading2"/>
      </w:pPr>
      <w:r>
        <w:t xml:space="preserve">4.3 Decision Tree: Newborn Evaluation for Congenital Syphilis</w:t>
      </w:r>
    </w:p>
    <w:p>
      <w:pPr>
        <w:pStyle w:val="Heading3"/>
      </w:pPr>
      <w:r>
        <w:t xml:space="preserve">4.3.1 Scenario 1: Proven or Highly Probable Congenital Syphilis</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Abnormal physical exam consistent with congenital syphilis (hepatosplenomegaly, rash, snuffles, jaundice, pseudoparalysis, edema) AND/OR infant nontreponemal titer at least fourfold higher than maternal titer AND/OR positive darkfield or PCR of lesion, body fluid, or placenta.</w:t>
      </w:r>
    </w:p>
    <w:p>
      <w:pPr>
        <w:spacing w:after="200"/>
      </w:pPr>
    </w:p>
    <w:p>
      <w:pPr>
        <w:spacing w:after="120" w:line="276"/>
      </w:pPr>
      <w:r>
        <w:rPr>
          <w:rFonts w:ascii="Arial" w:cs="Arial" w:eastAsia="Arial" w:hAnsi="Arial"/>
          <w:b/>
          <w:bCs/>
          <w:sz w:val="24"/>
          <w:szCs w:val="24"/>
        </w:rPr>
        <w:t xml:space="preserve">Evaluation:</w:t>
      </w:r>
    </w:p>
    <w:p>
      <w:pPr>
        <w:pStyle w:val="ListParagraph"/>
        <w:numPr>
          <w:ilvl w:val="0"/>
          <w:numId w:val="3"/>
        </w:numPr>
        <w:spacing w:after="80"/>
      </w:pPr>
      <w:r>
        <w:rPr>
          <w:rFonts w:ascii="Arial" w:cs="Arial" w:eastAsia="Arial" w:hAnsi="Arial"/>
          <w:sz w:val="24"/>
          <w:szCs w:val="24"/>
        </w:rPr>
        <w:t xml:space="preserve">Quantitative nontreponemal test (RPR or VDRL) on infant serum (NOT cord blood)</w:t>
      </w:r>
    </w:p>
    <w:p>
      <w:pPr>
        <w:pStyle w:val="ListParagraph"/>
        <w:numPr>
          <w:ilvl w:val="0"/>
          <w:numId w:val="3"/>
        </w:numPr>
        <w:spacing w:after="80"/>
      </w:pPr>
      <w:r>
        <w:rPr>
          <w:rFonts w:ascii="Arial" w:cs="Arial" w:eastAsia="Arial" w:hAnsi="Arial"/>
          <w:sz w:val="24"/>
          <w:szCs w:val="24"/>
        </w:rPr>
        <w:t xml:space="preserve">CBC with differential and platelet count</w:t>
      </w:r>
    </w:p>
    <w:p>
      <w:pPr>
        <w:pStyle w:val="ListParagraph"/>
        <w:numPr>
          <w:ilvl w:val="0"/>
          <w:numId w:val="3"/>
        </w:numPr>
        <w:spacing w:after="80"/>
      </w:pPr>
      <w:r>
        <w:rPr>
          <w:rFonts w:ascii="Arial" w:cs="Arial" w:eastAsia="Arial" w:hAnsi="Arial"/>
          <w:sz w:val="24"/>
          <w:szCs w:val="24"/>
        </w:rPr>
        <w:t xml:space="preserve">Lumbar puncture: CSF for VDRL, cell count, and protein</w:t>
      </w:r>
    </w:p>
    <w:p>
      <w:pPr>
        <w:pStyle w:val="ListParagraph"/>
        <w:numPr>
          <w:ilvl w:val="0"/>
          <w:numId w:val="3"/>
        </w:numPr>
        <w:spacing w:after="80"/>
      </w:pPr>
      <w:r>
        <w:rPr>
          <w:rFonts w:ascii="Arial" w:cs="Arial" w:eastAsia="Arial" w:hAnsi="Arial"/>
          <w:sz w:val="24"/>
          <w:szCs w:val="24"/>
        </w:rPr>
        <w:t xml:space="preserve">Liver function tests (AST, ALT, bilirubin)</w:t>
      </w:r>
    </w:p>
    <w:p>
      <w:pPr>
        <w:pStyle w:val="ListParagraph"/>
        <w:numPr>
          <w:ilvl w:val="0"/>
          <w:numId w:val="3"/>
        </w:numPr>
        <w:spacing w:after="80"/>
      </w:pPr>
      <w:r>
        <w:rPr>
          <w:rFonts w:ascii="Arial" w:cs="Arial" w:eastAsia="Arial" w:hAnsi="Arial"/>
          <w:sz w:val="24"/>
          <w:szCs w:val="24"/>
        </w:rPr>
        <w:t xml:space="preserve">Long bone radiographs (osteochondritis, periostitis)</w:t>
      </w:r>
    </w:p>
    <w:p>
      <w:pPr>
        <w:pStyle w:val="ListParagraph"/>
        <w:numPr>
          <w:ilvl w:val="0"/>
          <w:numId w:val="3"/>
        </w:numPr>
        <w:spacing w:after="80"/>
      </w:pPr>
      <w:r>
        <w:rPr>
          <w:rFonts w:ascii="Arial" w:cs="Arial" w:eastAsia="Arial" w:hAnsi="Arial"/>
          <w:sz w:val="24"/>
          <w:szCs w:val="24"/>
        </w:rPr>
        <w:t xml:space="preserve">Consider: ophthalmologic exam, auditory brainstem response, neuroimaging as clinically indicated</w:t>
      </w:r>
    </w:p>
    <w:p>
      <w:pPr>
        <w:spacing w:after="200"/>
      </w:pPr>
    </w:p>
    <w:p>
      <w:pPr>
        <w:spacing w:after="120" w:line="276"/>
      </w:pPr>
      <w:r>
        <w:rPr>
          <w:rFonts w:ascii="Arial" w:cs="Arial" w:eastAsia="Arial" w:hAnsi="Arial"/>
          <w:b/>
          <w:bCs/>
          <w:sz w:val="24"/>
          <w:szCs w:val="24"/>
        </w:rPr>
        <w:t xml:space="preserve">Treatment:</w:t>
      </w:r>
    </w:p>
    <w:p>
      <w:pPr>
        <w:spacing w:after="120" w:line="276"/>
      </w:pPr>
      <w:r>
        <w:rPr>
          <w:rFonts w:ascii="Arial" w:cs="Arial" w:eastAsia="Arial" w:hAnsi="Arial"/>
          <w:b/>
          <w:bCs/>
          <w:sz w:val="24"/>
          <w:szCs w:val="24"/>
        </w:rPr>
        <w:t xml:space="preserve">Aqueous crystalline penicillin G: </w:t>
      </w:r>
      <w:r>
        <w:rPr>
          <w:rFonts w:ascii="Arial" w:cs="Arial" w:eastAsia="Arial" w:hAnsi="Arial"/>
          <w:sz w:val="24"/>
          <w:szCs w:val="24"/>
        </w:rPr>
        <w:t xml:space="preserve">50,000 units/kg/dose IV every 12 hours for the first 7 days of life, then every 8 hours for a total of 10 days. This is the preferred regimen.</w:t>
      </w:r>
    </w:p>
    <w:p>
      <w:pPr>
        <w:spacing w:after="120" w:line="276"/>
      </w:pPr>
      <w:r>
        <w:rPr>
          <w:rFonts w:ascii="Arial" w:cs="Arial" w:eastAsia="Arial" w:hAnsi="Arial"/>
          <w:b/>
          <w:bCs/>
          <w:sz w:val="24"/>
          <w:szCs w:val="24"/>
        </w:rPr>
        <w:t xml:space="preserve">Alternative: Procaine penicillin G: </w:t>
      </w:r>
      <w:r>
        <w:rPr>
          <w:rFonts w:ascii="Arial" w:cs="Arial" w:eastAsia="Arial" w:hAnsi="Arial"/>
          <w:sz w:val="24"/>
          <w:szCs w:val="24"/>
        </w:rPr>
        <w:t xml:space="preserve">50,000 units/kg/dose IM as a single daily dose for 10 days. If a single dose is missed, the entire course must be restarted.</w:t>
      </w:r>
    </w:p>
    <w:p>
      <w:pPr>
        <w:spacing w:after="200"/>
      </w:pPr>
    </w:p>
    <w:p>
      <w:pPr>
        <w:pStyle w:val="Heading3"/>
      </w:pPr>
      <w:r>
        <w:t xml:space="preserve">4.3.2 Scenario 2: Possible Congenital Syphilis</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Normal physical exam AND infant nontreponemal titer is less than or equal to fourfold of maternal titer, BUT any of the following: mother was not treated or inadequately treated (non-penicillin regimen, treatment less than 30 days before delivery), mother's nontreponemal titer did not decrease appropriately after treatment, or mother was treated but with insufficient documentation.</w:t>
      </w:r>
    </w:p>
    <w:p>
      <w:pPr>
        <w:spacing w:after="200"/>
      </w:pPr>
    </w:p>
    <w:p>
      <w:pPr>
        <w:spacing w:after="120" w:line="276"/>
      </w:pPr>
      <w:r>
        <w:rPr>
          <w:rFonts w:ascii="Arial" w:cs="Arial" w:eastAsia="Arial" w:hAnsi="Arial"/>
          <w:b/>
          <w:bCs/>
          <w:sz w:val="24"/>
          <w:szCs w:val="24"/>
        </w:rPr>
        <w:t xml:space="preserve">Evaluation: </w:t>
      </w:r>
      <w:r>
        <w:rPr>
          <w:rFonts w:ascii="Arial" w:cs="Arial" w:eastAsia="Arial" w:hAnsi="Arial"/>
          <w:sz w:val="24"/>
          <w:szCs w:val="24"/>
        </w:rPr>
        <w:t xml:space="preserve">Full evaluation as in Scenario 1 (RPR, CBC, CSF analysis, LFTs, long bone radiographs).</w:t>
      </w:r>
    </w:p>
    <w:p>
      <w:pPr>
        <w:spacing w:after="120" w:line="276"/>
      </w:pPr>
      <w:r>
        <w:rPr>
          <w:rFonts w:ascii="Arial" w:cs="Arial" w:eastAsia="Arial" w:hAnsi="Arial"/>
          <w:b/>
          <w:bCs/>
          <w:sz w:val="24"/>
          <w:szCs w:val="24"/>
        </w:rPr>
        <w:t xml:space="preserve">Treatment: </w:t>
      </w:r>
      <w:r>
        <w:rPr>
          <w:rFonts w:ascii="Arial" w:cs="Arial" w:eastAsia="Arial" w:hAnsi="Arial"/>
          <w:sz w:val="24"/>
          <w:szCs w:val="24"/>
        </w:rPr>
        <w:t xml:space="preserve">Aqueous crystalline penicillin G for 10 days (same regimen as Scenario 1).</w:t>
      </w:r>
    </w:p>
    <w:p>
      <w:pPr>
        <w:spacing w:after="200"/>
      </w:pPr>
    </w:p>
    <w:p>
      <w:pPr>
        <w:pStyle w:val="Heading3"/>
      </w:pPr>
      <w:r>
        <w:t xml:space="preserve">4.3.3 Scenario 3: Congenital Syphilis Less Likely</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Normal physical exam AND infant nontreponemal titer is less than or equal to fourfold of maternal titer AND mother was adequately treated (penicillin, completed more than 30 days before delivery) AND mother's nontreponemal titer decreased appropriately after treatment (or was stable at low titer for latent syphilis).</w:t>
      </w:r>
    </w:p>
    <w:p>
      <w:pPr>
        <w:spacing w:after="200"/>
      </w:pPr>
    </w:p>
    <w:p>
      <w:pPr>
        <w:spacing w:after="120" w:line="276"/>
      </w:pPr>
      <w:r>
        <w:rPr>
          <w:rFonts w:ascii="Arial" w:cs="Arial" w:eastAsia="Arial" w:hAnsi="Arial"/>
          <w:b/>
          <w:bCs/>
          <w:sz w:val="24"/>
          <w:szCs w:val="24"/>
        </w:rPr>
        <w:t xml:space="preserve">Evaluation: </w:t>
      </w:r>
      <w:r>
        <w:rPr>
          <w:rFonts w:ascii="Arial" w:cs="Arial" w:eastAsia="Arial" w:hAnsi="Arial"/>
          <w:sz w:val="24"/>
          <w:szCs w:val="24"/>
        </w:rPr>
        <w:t xml:space="preserve">No additional evaluation beyond the quantitative nontreponemal test on infant serum.</w:t>
      </w:r>
    </w:p>
    <w:p>
      <w:pPr>
        <w:spacing w:after="120" w:line="276"/>
      </w:pPr>
      <w:r>
        <w:rPr>
          <w:rFonts w:ascii="Arial" w:cs="Arial" w:eastAsia="Arial" w:hAnsi="Arial"/>
          <w:b/>
          <w:bCs/>
          <w:sz w:val="24"/>
          <w:szCs w:val="24"/>
        </w:rPr>
        <w:t xml:space="preserve">Treatment: </w:t>
      </w:r>
      <w:r>
        <w:rPr>
          <w:rFonts w:ascii="Arial" w:cs="Arial" w:eastAsia="Arial" w:hAnsi="Arial"/>
          <w:sz w:val="24"/>
          <w:szCs w:val="24"/>
        </w:rPr>
        <w:t xml:space="preserve">Benzathine penicillin G 50,000 units/kg IM as a single dose. Alternatively, if follow-up is certain, the provider may elect to observe without treatment and perform serologic follow-up every 2 to 3 months for 6 months, with repeat treatment if titers fail to decline.</w:t>
      </w:r>
    </w:p>
    <w:p>
      <w:pPr>
        <w:spacing w:after="200"/>
      </w:pPr>
    </w:p>
    <w:p>
      <w:pPr>
        <w:pStyle w:val="Heading3"/>
      </w:pPr>
      <w:r>
        <w:t xml:space="preserve">4.3.4 Scenario 4: Congenital Syphilis Unlikely</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Normal physical exam AND infant nontreponemal titer is less than or equal to fourfold of maternal titer AND mother was adequately treated before pregnancy AND mother's nontreponemal titer remained low and stable (serofast) before and during pregnancy (e.g., VDRL less than or equal to 1:2 or RPR less than or equal to 1:4).</w:t>
      </w:r>
    </w:p>
    <w:p>
      <w:pPr>
        <w:spacing w:after="200"/>
      </w:pPr>
    </w:p>
    <w:p>
      <w:pPr>
        <w:spacing w:after="120" w:line="276"/>
      </w:pPr>
      <w:r>
        <w:rPr>
          <w:rFonts w:ascii="Arial" w:cs="Arial" w:eastAsia="Arial" w:hAnsi="Arial"/>
          <w:b/>
          <w:bCs/>
          <w:sz w:val="24"/>
          <w:szCs w:val="24"/>
        </w:rPr>
        <w:t xml:space="preserve">Evaluation: </w:t>
      </w:r>
      <w:r>
        <w:rPr>
          <w:rFonts w:ascii="Arial" w:cs="Arial" w:eastAsia="Arial" w:hAnsi="Arial"/>
          <w:sz w:val="24"/>
          <w:szCs w:val="24"/>
        </w:rPr>
        <w:t xml:space="preserve">No additional evaluation needed.</w:t>
      </w:r>
    </w:p>
    <w:p>
      <w:pPr>
        <w:spacing w:after="120" w:line="276"/>
      </w:pPr>
      <w:r>
        <w:rPr>
          <w:rFonts w:ascii="Arial" w:cs="Arial" w:eastAsia="Arial" w:hAnsi="Arial"/>
          <w:b/>
          <w:bCs/>
          <w:sz w:val="24"/>
          <w:szCs w:val="24"/>
        </w:rPr>
        <w:t xml:space="preserve">Treatment: </w:t>
      </w:r>
      <w:r>
        <w:rPr>
          <w:rFonts w:ascii="Arial" w:cs="Arial" w:eastAsia="Arial" w:hAnsi="Arial"/>
          <w:sz w:val="24"/>
          <w:szCs w:val="24"/>
        </w:rPr>
        <w:t xml:space="preserve">No treatment required. Routine neonatal follow-up.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Never Use Cord Blood for Syphilis Testing</w:t>
            </w:r>
          </w:p>
          <w:p>
            <w:pPr>
              <w:spacing w:before="60"/>
            </w:pPr>
            <w:r>
              <w:rPr>
                <w:rFonts w:ascii="Arial" w:cs="Arial" w:eastAsia="Arial" w:hAnsi="Arial"/>
                <w:sz w:val="22"/>
                <w:szCs w:val="22"/>
              </w:rPr>
              <w:t xml:space="preserve">Cord blood is unreliable for nontreponemal testing due to contamination with maternal blood and Wharton's jelly. Always draw infant serum from a peripheral venipuncture for RPR/VDRL testing. Also, the mother's quantitative RPR at delivery must be compared with the infant's result using the same test type (RPR to RPR, or VDRL to VDRL) performed at the same laboratory whenever possible.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Penicillin Availability</w:t>
            </w:r>
          </w:p>
          <w:p>
            <w:pPr>
              <w:spacing w:before="60"/>
            </w:pPr>
            <w:r>
              <w:rPr>
                <w:rFonts w:ascii="Arial" w:cs="Arial" w:eastAsia="Arial" w:hAnsi="Arial"/>
                <w:sz w:val="22"/>
                <w:szCs w:val="22"/>
              </w:rPr>
              <w:t xml:space="preserve">There have been intermittent national shortages of both aqueous crystalline penicillin G and benzathine penicillin G in recent years. If your pharmacy does not routinely stock these formulations, establish a protocol for emergency procurement. Penicillin is the ONLY acceptable treatment for congenital syphilis. There is no acceptable alternative. If penicillin is unavailable, contact the CDC STD hotline (404-639-8659) for guidance.</w:t>
            </w:r>
          </w:p>
        </w:tc>
      </w:tr>
    </w:tbl>
    <w:p>
      <w:r>
        <w:br w:type="page"/>
      </w:r>
    </w:p>
    <w:p>
      <w:pPr>
        <w:pStyle w:val="Heading1"/>
      </w:pPr>
      <w:r>
        <w:t xml:space="preserve">Chapter 5: Chorioamnionitis (Intraamniotic Infection)</w:t>
      </w:r>
    </w:p>
    <w:p>
      <w:pPr>
        <w:pStyle w:val="Heading2"/>
      </w:pPr>
      <w:r>
        <w:t xml:space="preserve">5.1 Background</w:t>
      </w:r>
    </w:p>
    <w:p>
      <w:pPr>
        <w:spacing w:after="120" w:line="276"/>
      </w:pPr>
      <w:r>
        <w:rPr>
          <w:rFonts w:ascii="Arial" w:cs="Arial" w:eastAsia="Arial" w:hAnsi="Arial"/>
          <w:sz w:val="24"/>
          <w:szCs w:val="24"/>
        </w:rPr>
        <w:t xml:space="preserve">Chorioamnionitis, now more precisely termed intraamniotic infection (IAI) or triple I (intrauterine inflammation or infection or both), is an infection of the amniotic fluid, membranes, placenta, or any combination thereof. It complicates 1 to 4 percent of all deliveries and is a major risk factor for early-onset neonatal sepsis. The most common organisms are genital mycoplasmas, anaerobes, Group B Streptococcus, and E. coli. The diagnosis is typically clinical, based on maternal fever (temperature 39.0 degrees Celsius or greater on a single reading, or 38.0 to 38.9 degrees Celsius sustained for more than 30 minutes) plus additional findings such as maternal tachycardia, fetal tachycardia, uterine tenderness, or purulent amniotic fluid.</w:t>
      </w:r>
    </w:p>
    <w:p>
      <w:pPr>
        <w:spacing w:after="200"/>
      </w:pPr>
    </w:p>
    <w:p>
      <w:pPr>
        <w:pStyle w:val="Heading2"/>
      </w:pPr>
      <w:r>
        <w:t xml:space="preserve">5.2 Decision Tree: Newborn Exposed to Chorioamnionitis</w:t>
      </w:r>
    </w:p>
    <w:p>
      <w:pPr>
        <w:pStyle w:val="Heading3"/>
      </w:pPr>
      <w:r>
        <w:t xml:space="preserve">5.2.1 Well-Appearing Infant Born at 35 Weeks or Greater</w:t>
      </w:r>
    </w:p>
    <w:p>
      <w:pPr>
        <w:spacing w:after="120" w:line="276"/>
      </w:pPr>
      <w:r>
        <w:rPr>
          <w:rFonts w:ascii="Arial" w:cs="Arial" w:eastAsia="Arial" w:hAnsi="Arial"/>
          <w:sz w:val="24"/>
          <w:szCs w:val="24"/>
        </w:rPr>
        <w:t xml:space="preserve">Per AAP Committee on Fetus and Newborn (Puopolo et al., Pediatrics 2018), the management depends on whether the infant appears well or ill:</w:t>
      </w:r>
    </w:p>
    <w:p>
      <w:pPr>
        <w:spacing w:after="200"/>
      </w:pPr>
    </w:p>
    <w:p>
      <w:pPr>
        <w:spacing w:after="120" w:line="276"/>
      </w:pPr>
      <w:r>
        <w:rPr>
          <w:rFonts w:ascii="Arial" w:cs="Arial" w:eastAsia="Arial" w:hAnsi="Arial"/>
          <w:b/>
          <w:bCs/>
          <w:sz w:val="24"/>
          <w:szCs w:val="24"/>
        </w:rPr>
        <w:t xml:space="preserve">Option A: Clinical Observation (Preferred for well-appearing infants):</w:t>
      </w:r>
    </w:p>
    <w:p>
      <w:pPr>
        <w:pStyle w:val="ListParagraph"/>
        <w:numPr>
          <w:ilvl w:val="0"/>
          <w:numId w:val="3"/>
        </w:numPr>
        <w:spacing w:after="80"/>
      </w:pPr>
      <w:r>
        <w:rPr>
          <w:rFonts w:ascii="Arial" w:cs="Arial" w:eastAsia="Arial" w:hAnsi="Arial"/>
          <w:sz w:val="24"/>
          <w:szCs w:val="24"/>
        </w:rPr>
        <w:t xml:space="preserve">Close clinical observation for at least 36 to 48 hours</w:t>
      </w:r>
    </w:p>
    <w:p>
      <w:pPr>
        <w:pStyle w:val="ListParagraph"/>
        <w:numPr>
          <w:ilvl w:val="0"/>
          <w:numId w:val="3"/>
        </w:numPr>
        <w:spacing w:after="80"/>
      </w:pPr>
      <w:r>
        <w:rPr>
          <w:rFonts w:ascii="Arial" w:cs="Arial" w:eastAsia="Arial" w:hAnsi="Arial"/>
          <w:sz w:val="24"/>
          <w:szCs w:val="24"/>
        </w:rPr>
        <w:t xml:space="preserve">Serial vital signs every 4 hours (or more frequently if clinical concern develops)</w:t>
      </w:r>
    </w:p>
    <w:p>
      <w:pPr>
        <w:pStyle w:val="ListParagraph"/>
        <w:numPr>
          <w:ilvl w:val="0"/>
          <w:numId w:val="3"/>
        </w:numPr>
        <w:spacing w:after="80"/>
      </w:pPr>
      <w:r>
        <w:rPr>
          <w:rFonts w:ascii="Arial" w:cs="Arial" w:eastAsia="Arial" w:hAnsi="Arial"/>
          <w:sz w:val="24"/>
          <w:szCs w:val="24"/>
        </w:rPr>
        <w:t xml:space="preserve">Monitor for signs of sepsis: temperature instability, respiratory distress, lethargy, poor feeding, hypotension</w:t>
      </w:r>
    </w:p>
    <w:p>
      <w:pPr>
        <w:pStyle w:val="ListParagraph"/>
        <w:numPr>
          <w:ilvl w:val="0"/>
          <w:numId w:val="3"/>
        </w:numPr>
        <w:spacing w:after="80"/>
      </w:pPr>
      <w:r>
        <w:rPr>
          <w:rFonts w:ascii="Arial" w:cs="Arial" w:eastAsia="Arial" w:hAnsi="Arial"/>
          <w:sz w:val="24"/>
          <w:szCs w:val="24"/>
        </w:rPr>
        <w:t xml:space="preserve">Blood culture and CBC may be obtained at birth, but empiric antibiotics are NOT required for well-appearing infants if close observation is available</w:t>
      </w:r>
    </w:p>
    <w:p>
      <w:pPr>
        <w:pStyle w:val="ListParagraph"/>
        <w:numPr>
          <w:ilvl w:val="0"/>
          <w:numId w:val="3"/>
        </w:numPr>
        <w:spacing w:after="80"/>
      </w:pPr>
      <w:r>
        <w:rPr>
          <w:rFonts w:ascii="Arial" w:cs="Arial" w:eastAsia="Arial" w:hAnsi="Arial"/>
          <w:sz w:val="24"/>
          <w:szCs w:val="24"/>
        </w:rPr>
        <w:t xml:space="preserve">If the infant develops any signs of illness during the observation period, immediately obtain blood culture, CBC, and start empiric antibiotics (ampicillin + gentamicin)</w:t>
      </w:r>
    </w:p>
    <w:p>
      <w:pPr>
        <w:spacing w:after="200"/>
      </w:pPr>
    </w:p>
    <w:p>
      <w:pPr>
        <w:spacing w:after="120" w:line="276"/>
      </w:pPr>
      <w:r>
        <w:rPr>
          <w:rFonts w:ascii="Arial" w:cs="Arial" w:eastAsia="Arial" w:hAnsi="Arial"/>
          <w:b/>
          <w:bCs/>
          <w:sz w:val="24"/>
          <w:szCs w:val="24"/>
        </w:rPr>
        <w:t xml:space="preserve">Option B: Empiric Antibiotic Approach:</w:t>
      </w:r>
    </w:p>
    <w:p>
      <w:pPr>
        <w:pStyle w:val="ListParagraph"/>
        <w:numPr>
          <w:ilvl w:val="0"/>
          <w:numId w:val="3"/>
        </w:numPr>
        <w:spacing w:after="80"/>
      </w:pPr>
      <w:r>
        <w:rPr>
          <w:rFonts w:ascii="Arial" w:cs="Arial" w:eastAsia="Arial" w:hAnsi="Arial"/>
          <w:sz w:val="24"/>
          <w:szCs w:val="24"/>
        </w:rPr>
        <w:t xml:space="preserve">Some facilities prefer to start empiric antibiotics (ampicillin + gentamicin) for all infants exposed to chorioamnionitis and then discontinue at 36 to 48 hours if blood cultures are negative and the infant remains well</w:t>
      </w:r>
    </w:p>
    <w:p>
      <w:pPr>
        <w:pStyle w:val="ListParagraph"/>
        <w:numPr>
          <w:ilvl w:val="0"/>
          <w:numId w:val="3"/>
        </w:numPr>
        <w:spacing w:after="80"/>
      </w:pPr>
      <w:r>
        <w:rPr>
          <w:rFonts w:ascii="Arial" w:cs="Arial" w:eastAsia="Arial" w:hAnsi="Arial"/>
          <w:sz w:val="24"/>
          <w:szCs w:val="24"/>
        </w:rPr>
        <w:t xml:space="preserve">This approach is more conservative and may be preferred in facilities where close clinical observation resources are limited</w:t>
      </w:r>
    </w:p>
    <w:p>
      <w:pPr>
        <w:spacing w:after="200"/>
      </w:pPr>
    </w:p>
    <w:p>
      <w:pPr>
        <w:spacing w:after="120" w:line="276"/>
      </w:pPr>
      <w:r>
        <w:rPr>
          <w:rFonts w:ascii="Arial" w:cs="Arial" w:eastAsia="Arial" w:hAnsi="Arial"/>
          <w:b/>
          <w:bCs/>
          <w:sz w:val="24"/>
          <w:szCs w:val="24"/>
        </w:rPr>
        <w:t xml:space="preserve">The Kaiser EOS Calculator may also be used </w:t>
      </w:r>
      <w:r>
        <w:rPr>
          <w:rFonts w:ascii="Arial" w:cs="Arial" w:eastAsia="Arial" w:hAnsi="Arial"/>
          <w:sz w:val="24"/>
          <w:szCs w:val="24"/>
        </w:rPr>
        <w:t xml:space="preserve">to quantify sepsis risk based on maternal and infant factors and guide the decision between observation and empiric antibiotics.</w:t>
      </w:r>
    </w:p>
    <w:p>
      <w:pPr>
        <w:spacing w:after="200"/>
      </w:pPr>
    </w:p>
    <w:p>
      <w:pPr>
        <w:pStyle w:val="Heading3"/>
      </w:pPr>
      <w:r>
        <w:t xml:space="preserve">5.2.2 Ill-Appearing Infant (Any Gestational Age)</w:t>
      </w:r>
    </w:p>
    <w:p>
      <w:pPr>
        <w:spacing w:after="120" w:line="276"/>
      </w:pPr>
      <w:r>
        <w:rPr>
          <w:rFonts w:ascii="Arial" w:cs="Arial" w:eastAsia="Arial" w:hAnsi="Arial"/>
          <w:b/>
          <w:bCs/>
          <w:sz w:val="24"/>
          <w:szCs w:val="24"/>
        </w:rPr>
        <w:t xml:space="preserve">Any infant with clinical signs of sepsis, regardless of chorioamnionitis exposure:</w:t>
      </w:r>
    </w:p>
    <w:p>
      <w:pPr>
        <w:pStyle w:val="ListParagraph"/>
        <w:numPr>
          <w:ilvl w:val="0"/>
          <w:numId w:val="2"/>
        </w:numPr>
        <w:spacing w:after="80"/>
      </w:pPr>
      <w:r>
        <w:rPr>
          <w:rFonts w:ascii="Arial" w:cs="Arial" w:eastAsia="Arial" w:hAnsi="Arial"/>
          <w:sz w:val="24"/>
          <w:szCs w:val="24"/>
        </w:rPr>
        <w:t xml:space="preserve">Obtain blood culture IMMEDIATELY</w:t>
      </w:r>
    </w:p>
    <w:p>
      <w:pPr>
        <w:pStyle w:val="ListParagraph"/>
        <w:numPr>
          <w:ilvl w:val="0"/>
          <w:numId w:val="2"/>
        </w:numPr>
        <w:spacing w:after="80"/>
      </w:pPr>
      <w:r>
        <w:rPr>
          <w:rFonts w:ascii="Arial" w:cs="Arial" w:eastAsia="Arial" w:hAnsi="Arial"/>
          <w:sz w:val="24"/>
          <w:szCs w:val="24"/>
        </w:rPr>
        <w:t xml:space="preserve">Obtain CBC with differential</w:t>
      </w:r>
    </w:p>
    <w:p>
      <w:pPr>
        <w:pStyle w:val="ListParagraph"/>
        <w:numPr>
          <w:ilvl w:val="0"/>
          <w:numId w:val="2"/>
        </w:numPr>
        <w:spacing w:after="80"/>
      </w:pPr>
      <w:r>
        <w:rPr>
          <w:rFonts w:ascii="Arial" w:cs="Arial" w:eastAsia="Arial" w:hAnsi="Arial"/>
          <w:sz w:val="24"/>
          <w:szCs w:val="24"/>
        </w:rPr>
        <w:t xml:space="preserve">Start empiric antibiotics: Ampicillin 50 mg/kg IV + Gentamicin 4 to 5 mg/kg IV</w:t>
      </w:r>
    </w:p>
    <w:p>
      <w:pPr>
        <w:pStyle w:val="ListParagraph"/>
        <w:numPr>
          <w:ilvl w:val="0"/>
          <w:numId w:val="2"/>
        </w:numPr>
        <w:spacing w:after="80"/>
      </w:pPr>
      <w:r>
        <w:rPr>
          <w:rFonts w:ascii="Arial" w:cs="Arial" w:eastAsia="Arial" w:hAnsi="Arial"/>
          <w:sz w:val="24"/>
          <w:szCs w:val="24"/>
        </w:rPr>
        <w:t xml:space="preserve">If meningitis is suspected: increase ampicillin to 100 mg/kg and consider adding cefotaxime; perform LP when the infant is stable enough</w:t>
      </w:r>
    </w:p>
    <w:p>
      <w:pPr>
        <w:pStyle w:val="ListParagraph"/>
        <w:numPr>
          <w:ilvl w:val="0"/>
          <w:numId w:val="2"/>
        </w:numPr>
        <w:spacing w:after="80"/>
      </w:pPr>
      <w:r>
        <w:rPr>
          <w:rFonts w:ascii="Arial" w:cs="Arial" w:eastAsia="Arial" w:hAnsi="Arial"/>
          <w:sz w:val="24"/>
          <w:szCs w:val="24"/>
        </w:rPr>
        <w:t xml:space="preserve">Evaluate for other sources of distress (respiratory failure, metabolic derangement)</w:t>
      </w:r>
    </w:p>
    <w:p>
      <w:pPr>
        <w:pStyle w:val="ListParagraph"/>
        <w:numPr>
          <w:ilvl w:val="0"/>
          <w:numId w:val="2"/>
        </w:numPr>
        <w:spacing w:after="80"/>
      </w:pPr>
      <w:r>
        <w:rPr>
          <w:rFonts w:ascii="Arial" w:cs="Arial" w:eastAsia="Arial" w:hAnsi="Arial"/>
          <w:sz w:val="24"/>
          <w:szCs w:val="24"/>
        </w:rPr>
        <w:t xml:space="preserve">Continue antibiotics for 36 to 48 hours pending culture results. If cultures are positive, treat for the identified organism for the appropriate duration (7 to 10 days for bacteremia, 14 to 21 days for meningitis)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The 2018 AAP clinical report on management of neonates with suspected EOS (Puopolo et al.) was a paradigm shift. It moved away from the reflexive approach of drawing labs and starting antibiotics on every infant exposed to chorioamnionitis and toward a risk-stratified approach that considers both maternal risk factors and the infant's clinical appearance. For well-appearing infants at 35 weeks or greater, clinical observation without antibiotics is now accepted practice at many centers.</w:t>
            </w:r>
          </w:p>
        </w:tc>
      </w:tr>
    </w:tbl>
    <w:p>
      <w:r>
        <w:br w:type="page"/>
      </w:r>
    </w:p>
    <w:p>
      <w:pPr>
        <w:pStyle w:val="Heading1"/>
      </w:pPr>
      <w:r>
        <w:t xml:space="preserve">Chapter 6: Herpes Simplex Virus (HSV)</w:t>
      </w:r>
    </w:p>
    <w:p>
      <w:pPr>
        <w:pStyle w:val="Heading2"/>
      </w:pPr>
      <w:r>
        <w:t xml:space="preserve">6.1 Background and Significance</w:t>
      </w:r>
    </w:p>
    <w:p>
      <w:pPr>
        <w:spacing w:after="120" w:line="276"/>
      </w:pPr>
      <w:r>
        <w:rPr>
          <w:rFonts w:ascii="Arial" w:cs="Arial" w:eastAsia="Arial" w:hAnsi="Arial"/>
          <w:sz w:val="24"/>
          <w:szCs w:val="24"/>
        </w:rPr>
        <w:t xml:space="preserve">Neonatal herpes simplex virus infection is one of the most devastating perinatal infections, with mortality rates of up to 30 percent for disseminated disease and 50 percent or more for CNS disease if untreated. The majority (85 percent) of neonatal HSV is acquired during passage through the birth canal (intrapartum), with the highest risk occurring when the mother has a primary genital HSV outbreak at the time of delivery (30 to 50 percent transmission rate). The risk is much lower with recurrent maternal HSV (less than 2 percent). HSV-1 and HSV-2 are both capable of causing neonatal disease.</w:t>
      </w:r>
    </w:p>
    <w:p>
      <w:pPr>
        <w:spacing w:after="200"/>
      </w:pPr>
    </w:p>
    <w:p>
      <w:pPr>
        <w:pStyle w:val="Heading2"/>
      </w:pPr>
      <w:r>
        <w:t xml:space="preserve">6.2 Clinical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1600"/>
        <w:gridCol w:w="19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Category</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Timing</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Manifestations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Mortality (Untreated)</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Mortality (Treated)</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Skin, Eyes, Mouth (SEM)</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5-14 days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Vesicular lesions on skin, keratoconjunctivitis, oral ulcers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&lt;1%</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CNS Disease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10-21 days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Seizures, lethargy, irritability, poor feeding, bulging fontanelle, CSF pleocytosis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4-6%</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Disseminated</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5-14 days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Sepsis-like picture: DIC, hepatitis, pneumonitis, shock. May or may not have skin vesicles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w:t>
            </w:r>
          </w:p>
        </w:tc>
      </w:tr>
    </w:tbl>
    <w:p>
      <w:pPr>
        <w:spacing w:after="200"/>
      </w:pPr>
    </w:p>
    <w:p>
      <w:pPr>
        <w:pStyle w:val="Heading2"/>
      </w:pPr>
      <w:r>
        <w:t xml:space="preserve">6.3 Decision Tree: When to Suspect and Evaluate for Neonatal HSV</w:t>
      </w:r>
    </w:p>
    <w:p>
      <w:pPr>
        <w:spacing w:after="120" w:line="276"/>
      </w:pPr>
      <w:r>
        <w:rPr>
          <w:rFonts w:ascii="Arial" w:cs="Arial" w:eastAsia="Arial" w:hAnsi="Arial"/>
          <w:b/>
          <w:bCs/>
          <w:sz w:val="24"/>
          <w:szCs w:val="24"/>
        </w:rPr>
        <w:t xml:space="preserve">Suspect neonatal HSV in any of the following:</w:t>
      </w:r>
    </w:p>
    <w:p>
      <w:pPr>
        <w:pStyle w:val="ListParagraph"/>
        <w:numPr>
          <w:ilvl w:val="0"/>
          <w:numId w:val="3"/>
        </w:numPr>
        <w:spacing w:after="80"/>
      </w:pPr>
      <w:r>
        <w:rPr>
          <w:rFonts w:ascii="Arial" w:cs="Arial" w:eastAsia="Arial" w:hAnsi="Arial"/>
          <w:sz w:val="24"/>
          <w:szCs w:val="24"/>
        </w:rPr>
        <w:t xml:space="preserve">Vesicular rash in the first 4 weeks of life (most specific finding)</w:t>
      </w:r>
    </w:p>
    <w:p>
      <w:pPr>
        <w:pStyle w:val="ListParagraph"/>
        <w:numPr>
          <w:ilvl w:val="0"/>
          <w:numId w:val="3"/>
        </w:numPr>
        <w:spacing w:after="80"/>
      </w:pPr>
      <w:r>
        <w:rPr>
          <w:rFonts w:ascii="Arial" w:cs="Arial" w:eastAsia="Arial" w:hAnsi="Arial"/>
          <w:sz w:val="24"/>
          <w:szCs w:val="24"/>
        </w:rPr>
        <w:t xml:space="preserve">Seizures in a neonate without clear etiology</w:t>
      </w:r>
    </w:p>
    <w:p>
      <w:pPr>
        <w:pStyle w:val="ListParagraph"/>
        <w:numPr>
          <w:ilvl w:val="0"/>
          <w:numId w:val="3"/>
        </w:numPr>
        <w:spacing w:after="80"/>
      </w:pPr>
      <w:r>
        <w:rPr>
          <w:rFonts w:ascii="Arial" w:cs="Arial" w:eastAsia="Arial" w:hAnsi="Arial"/>
          <w:sz w:val="24"/>
          <w:szCs w:val="24"/>
        </w:rPr>
        <w:t xml:space="preserve">Sepsis-like presentation with negative bacterial cultures, especially with liver dysfunction (elevated AST/ALT) or coagulopathy (DIC)</w:t>
      </w:r>
    </w:p>
    <w:p>
      <w:pPr>
        <w:pStyle w:val="ListParagraph"/>
        <w:numPr>
          <w:ilvl w:val="0"/>
          <w:numId w:val="3"/>
        </w:numPr>
        <w:spacing w:after="80"/>
      </w:pPr>
      <w:r>
        <w:rPr>
          <w:rFonts w:ascii="Arial" w:cs="Arial" w:eastAsia="Arial" w:hAnsi="Arial"/>
          <w:sz w:val="24"/>
          <w:szCs w:val="24"/>
        </w:rPr>
        <w:t xml:space="preserve">CSF pleocytosis (especially lymphocytic) without a bacterial source</w:t>
      </w:r>
    </w:p>
    <w:p>
      <w:pPr>
        <w:pStyle w:val="ListParagraph"/>
        <w:numPr>
          <w:ilvl w:val="0"/>
          <w:numId w:val="3"/>
        </w:numPr>
        <w:spacing w:after="80"/>
      </w:pPr>
      <w:r>
        <w:rPr>
          <w:rFonts w:ascii="Arial" w:cs="Arial" w:eastAsia="Arial" w:hAnsi="Arial"/>
          <w:sz w:val="24"/>
          <w:szCs w:val="24"/>
        </w:rPr>
        <w:t xml:space="preserve">Maternal history of genital herpes, especially primary outbreak at delivery</w:t>
      </w:r>
    </w:p>
    <w:p>
      <w:pPr>
        <w:pStyle w:val="ListParagraph"/>
        <w:numPr>
          <w:ilvl w:val="0"/>
          <w:numId w:val="3"/>
        </w:numPr>
        <w:spacing w:after="80"/>
      </w:pPr>
      <w:r>
        <w:rPr>
          <w:rFonts w:ascii="Arial" w:cs="Arial" w:eastAsia="Arial" w:hAnsi="Arial"/>
          <w:sz w:val="24"/>
          <w:szCs w:val="24"/>
        </w:rPr>
        <w:t xml:space="preserve">Fever and irritability without an identified source in the first month of life</w:t>
      </w:r>
    </w:p>
    <w:p>
      <w:pPr>
        <w:spacing w:after="200"/>
      </w:pPr>
    </w:p>
    <w:p>
      <w:pPr>
        <w:pStyle w:val="Heading3"/>
      </w:pPr>
      <w:r>
        <w:t xml:space="preserve">6.3.1 Evaluation</w:t>
      </w:r>
    </w:p>
    <w:p>
      <w:pPr>
        <w:pStyle w:val="ListParagraph"/>
        <w:numPr>
          <w:ilvl w:val="0"/>
          <w:numId w:val="2"/>
        </w:numPr>
        <w:spacing w:after="80"/>
      </w:pPr>
      <w:r>
        <w:rPr>
          <w:rFonts w:ascii="Arial" w:cs="Arial" w:eastAsia="Arial" w:hAnsi="Arial"/>
          <w:sz w:val="24"/>
          <w:szCs w:val="24"/>
        </w:rPr>
        <w:t xml:space="preserve">HSV PCR of blood (plasma or serum) and CSF (most sensitive diagnostic test)</w:t>
      </w:r>
    </w:p>
    <w:p>
      <w:pPr>
        <w:pStyle w:val="ListParagraph"/>
        <w:numPr>
          <w:ilvl w:val="0"/>
          <w:numId w:val="2"/>
        </w:numPr>
        <w:spacing w:after="80"/>
      </w:pPr>
      <w:r>
        <w:rPr>
          <w:rFonts w:ascii="Arial" w:cs="Arial" w:eastAsia="Arial" w:hAnsi="Arial"/>
          <w:sz w:val="24"/>
          <w:szCs w:val="24"/>
        </w:rPr>
        <w:t xml:space="preserve">HSV culture AND PCR from surface sites: conjunctivae, nasopharynx, mouth, anus, and any vesicular lesions (swab the base of a freshly unroofed vesicle)</w:t>
      </w:r>
    </w:p>
    <w:p>
      <w:pPr>
        <w:pStyle w:val="ListParagraph"/>
        <w:numPr>
          <w:ilvl w:val="0"/>
          <w:numId w:val="2"/>
        </w:numPr>
        <w:spacing w:after="80"/>
      </w:pPr>
      <w:r>
        <w:rPr>
          <w:rFonts w:ascii="Arial" w:cs="Arial" w:eastAsia="Arial" w:hAnsi="Arial"/>
          <w:sz w:val="24"/>
          <w:szCs w:val="24"/>
        </w:rPr>
        <w:t xml:space="preserve">CBC, liver function tests (AST, ALT), coagulation studies (PT, PTT, fibrinogen)</w:t>
      </w:r>
    </w:p>
    <w:p>
      <w:pPr>
        <w:pStyle w:val="ListParagraph"/>
        <w:numPr>
          <w:ilvl w:val="0"/>
          <w:numId w:val="2"/>
        </w:numPr>
        <w:spacing w:after="80"/>
      </w:pPr>
      <w:r>
        <w:rPr>
          <w:rFonts w:ascii="Arial" w:cs="Arial" w:eastAsia="Arial" w:hAnsi="Arial"/>
          <w:sz w:val="24"/>
          <w:szCs w:val="24"/>
        </w:rPr>
        <w:t xml:space="preserve">CSF: cell count, protein, glucose, HSV PCR</w:t>
      </w:r>
    </w:p>
    <w:p>
      <w:pPr>
        <w:pStyle w:val="ListParagraph"/>
        <w:numPr>
          <w:ilvl w:val="0"/>
          <w:numId w:val="2"/>
        </w:numPr>
        <w:spacing w:after="80"/>
      </w:pPr>
      <w:r>
        <w:rPr>
          <w:rFonts w:ascii="Arial" w:cs="Arial" w:eastAsia="Arial" w:hAnsi="Arial"/>
          <w:sz w:val="24"/>
          <w:szCs w:val="24"/>
        </w:rPr>
        <w:t xml:space="preserve">Consider: chest radiograph, head ultrasound or MRI</w:t>
      </w:r>
    </w:p>
    <w:p>
      <w:pPr>
        <w:spacing w:after="200"/>
      </w:pPr>
    </w:p>
    <w:p>
      <w:pPr>
        <w:pStyle w:val="Heading3"/>
      </w:pPr>
      <w:r>
        <w:t xml:space="preserve">6.3.2 Treatment</w:t>
      </w:r>
    </w:p>
    <w:p>
      <w:pPr>
        <w:spacing w:after="120" w:line="276"/>
      </w:pPr>
      <w:r>
        <w:rPr>
          <w:rFonts w:ascii="Arial" w:cs="Arial" w:eastAsia="Arial" w:hAnsi="Arial"/>
          <w:b/>
          <w:bCs/>
          <w:sz w:val="24"/>
          <w:szCs w:val="24"/>
        </w:rPr>
        <w:t xml:space="preserve">Acyclovir 20 mg/kg/dose IV every 8 hours</w:t>
      </w:r>
    </w:p>
    <w:p>
      <w:pPr>
        <w:pStyle w:val="ListParagraph"/>
        <w:numPr>
          <w:ilvl w:val="0"/>
          <w:numId w:val="3"/>
        </w:numPr>
        <w:spacing w:after="80"/>
      </w:pPr>
      <w:r>
        <w:rPr>
          <w:rFonts w:ascii="Arial" w:cs="Arial" w:eastAsia="Arial" w:hAnsi="Arial"/>
          <w:sz w:val="24"/>
          <w:szCs w:val="24"/>
        </w:rPr>
        <w:t xml:space="preserve">SEM disease: 14 days of treatment</w:t>
      </w:r>
    </w:p>
    <w:p>
      <w:pPr>
        <w:pStyle w:val="ListParagraph"/>
        <w:numPr>
          <w:ilvl w:val="0"/>
          <w:numId w:val="3"/>
        </w:numPr>
        <w:spacing w:after="80"/>
      </w:pPr>
      <w:r>
        <w:rPr>
          <w:rFonts w:ascii="Arial" w:cs="Arial" w:eastAsia="Arial" w:hAnsi="Arial"/>
          <w:sz w:val="24"/>
          <w:szCs w:val="24"/>
        </w:rPr>
        <w:t xml:space="preserve">CNS disease: 21 days of treatment</w:t>
      </w:r>
    </w:p>
    <w:p>
      <w:pPr>
        <w:pStyle w:val="ListParagraph"/>
        <w:numPr>
          <w:ilvl w:val="0"/>
          <w:numId w:val="3"/>
        </w:numPr>
        <w:spacing w:after="80"/>
      </w:pPr>
      <w:r>
        <w:rPr>
          <w:rFonts w:ascii="Arial" w:cs="Arial" w:eastAsia="Arial" w:hAnsi="Arial"/>
          <w:sz w:val="24"/>
          <w:szCs w:val="24"/>
        </w:rPr>
        <w:t xml:space="preserve">Disseminated disease: 21 days of treatment</w:t>
      </w:r>
    </w:p>
    <w:p>
      <w:pPr>
        <w:pStyle w:val="ListParagraph"/>
        <w:numPr>
          <w:ilvl w:val="0"/>
          <w:numId w:val="3"/>
        </w:numPr>
        <w:spacing w:after="80"/>
      </w:pPr>
      <w:r>
        <w:rPr>
          <w:rFonts w:ascii="Arial" w:cs="Arial" w:eastAsia="Arial" w:hAnsi="Arial"/>
          <w:sz w:val="24"/>
          <w:szCs w:val="24"/>
        </w:rPr>
        <w:t xml:space="preserve">Obtain repeat CSF HSV PCR near the end of treatment for CNS/disseminated disease. If still positive, continue treatment until negative</w:t>
      </w:r>
    </w:p>
    <w:p>
      <w:pPr>
        <w:pStyle w:val="ListParagraph"/>
        <w:numPr>
          <w:ilvl w:val="0"/>
          <w:numId w:val="3"/>
        </w:numPr>
        <w:spacing w:after="80"/>
      </w:pPr>
      <w:r>
        <w:rPr>
          <w:rFonts w:ascii="Arial" w:cs="Arial" w:eastAsia="Arial" w:hAnsi="Arial"/>
          <w:sz w:val="24"/>
          <w:szCs w:val="24"/>
        </w:rPr>
        <w:t xml:space="preserve">After completing IV treatment: suppressive oral acyclovir 300 mg/m2/dose three times daily for 6 months. This reduces recurrences and improves neurodevelopmental outcomes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Do NOT Delay Acyclovir</w:t>
            </w:r>
          </w:p>
          <w:p>
            <w:pPr>
              <w:spacing w:before="60"/>
            </w:pPr>
            <w:r>
              <w:rPr>
                <w:rFonts w:ascii="Arial" w:cs="Arial" w:eastAsia="Arial" w:hAnsi="Arial"/>
                <w:sz w:val="22"/>
                <w:szCs w:val="22"/>
              </w:rPr>
              <w:t xml:space="preserve">If neonatal HSV is suspected, start acyclovir IMMEDIATELY. Do not wait for PCR results. The mortality of untreated disseminated HSV approaches 85 percent. Acyclovir is safe and the consequences of withholding it while awaiting results are catastrophic. Ensure adequate hydration during acyclovir infusion to prevent crystalline nephropathy.</w:t>
            </w:r>
          </w:p>
        </w:tc>
      </w:tr>
    </w:tbl>
    <w:p>
      <w:pPr>
        <w:spacing w:after="200"/>
      </w:pPr>
    </w:p>
    <w:p>
      <w:pPr>
        <w:pStyle w:val="Heading3"/>
      </w:pPr>
      <w:r>
        <w:t xml:space="preserve">6.3.3 Asymptomatic Infant Born to Mother with Active Genital Herpes at Delivery</w:t>
      </w:r>
    </w:p>
    <w:p>
      <w:pPr>
        <w:spacing w:after="120" w:line="276"/>
      </w:pPr>
      <w:r>
        <w:rPr>
          <w:rFonts w:ascii="Arial" w:cs="Arial" w:eastAsia="Arial" w:hAnsi="Arial"/>
          <w:sz w:val="24"/>
          <w:szCs w:val="24"/>
        </w:rPr>
        <w:t xml:space="preserve">Per AAP guidelines, management depends on the type of maternal HSV episode: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Maternal Episode Type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Infant Risk</w:t>
            </w:r>
          </w:p>
        </w:tc>
        <w:tc>
          <w:tcPr>
            <w:tcW w:type="dxa" w:w="5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Management</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Primary genital HSV at delivery</w:t>
            </w:r>
          </w:p>
        </w:tc>
        <w:tc>
          <w:tcPr>
            <w:tcW w:type="dxa" w:w="1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30-50%</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Obtain surface cultures and blood HSV PCR at 24 hours. Start empiric acyclovir while awaiting results. Observe for 48-72 hours minimum.</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Recurrent genital HSV at delivery (vaginal delivery)</w:t>
            </w:r>
          </w:p>
        </w:tc>
        <w:tc>
          <w:tcPr>
            <w:tcW w:type="dxa" w:w="1500"/>
            <w:tcBorders>
              <w:top w:val="single" w:color="CCCCCC" w:sz="1"/>
              <w:left w:val="single" w:color="CCCCCC" w:sz="1"/>
              <w:bottom w:val="single" w:color="CCCCCC" w:sz="1"/>
              <w:right w:val="single" w:color="CCCCCC" w:sz="1"/>
            </w:tcBorders>
            <w:shd w:fill="FFEB9C" w:val="clear"/>
            <w:tcMar>
              <w:top w:type="dxa" w:w="40"/>
              <w:left w:type="dxa" w:w="100"/>
              <w:bottom w:type="dxa" w:w="40"/>
              <w:right w:type="dxa" w:w="100"/>
            </w:tcMar>
          </w:tcPr>
          <w:p>
            <w:r>
              <w:rPr>
                <w:rFonts w:ascii="Arial" w:cs="Arial" w:eastAsia="Arial" w:hAnsi="Arial"/>
                <w:b w:val="false"/>
                <w:bCs w:val="false"/>
                <w:sz w:val="22"/>
                <w:szCs w:val="22"/>
              </w:rPr>
              <w:t xml:space="preserve">&lt;2%</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Obtain surface cultures at 24 hours. Do NOT start empiric acyclovir unless infant becomes symptomatic. Observe for 48 hours.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History of genital HSV, no active lesions at delivery</w:t>
            </w:r>
          </w:p>
        </w:tc>
        <w:tc>
          <w:tcPr>
            <w:tcW w:type="dxa" w:w="1500"/>
            <w:tcBorders>
              <w:top w:val="single" w:color="CCCCCC" w:sz="1"/>
              <w:left w:val="single" w:color="CCCCCC" w:sz="1"/>
              <w:bottom w:val="single" w:color="CCCCCC" w:sz="1"/>
              <w:right w:val="single" w:color="CCCCCC" w:sz="1"/>
            </w:tcBorders>
            <w:shd w:fill="C6EFCE" w:val="clear"/>
            <w:tcMar>
              <w:top w:type="dxa" w:w="40"/>
              <w:left w:type="dxa" w:w="100"/>
              <w:bottom w:type="dxa" w:w="40"/>
              <w:right w:type="dxa" w:w="100"/>
            </w:tcMar>
          </w:tcPr>
          <w:p>
            <w:r>
              <w:rPr>
                <w:rFonts w:ascii="Arial" w:cs="Arial" w:eastAsia="Arial" w:hAnsi="Arial"/>
                <w:b w:val="false"/>
                <w:bCs w:val="false"/>
                <w:sz w:val="22"/>
                <w:szCs w:val="22"/>
              </w:rPr>
              <w:t xml:space="preserve">Very low</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Routine newborn care. Educate parents on HSV signs (fever, vesicles, irritability, poor feeding). No special testing.</w:t>
            </w:r>
          </w:p>
        </w:tc>
      </w:tr>
    </w:tbl>
    <w:p>
      <w:r>
        <w:br w:type="page"/>
      </w:r>
    </w:p>
    <w:p>
      <w:pPr>
        <w:pStyle w:val="Heading1"/>
      </w:pPr>
      <w:r>
        <w:t xml:space="preserve">Chapter 7: Human Immunodeficiency Virus (HIV)</w:t>
      </w:r>
    </w:p>
    <w:p>
      <w:pPr>
        <w:pStyle w:val="Heading2"/>
      </w:pPr>
      <w:r>
        <w:t xml:space="preserve">7.1 Background</w:t>
      </w:r>
    </w:p>
    <w:p>
      <w:pPr>
        <w:spacing w:after="120" w:line="276"/>
      </w:pPr>
      <w:r>
        <w:rPr>
          <w:rFonts w:ascii="Arial" w:cs="Arial" w:eastAsia="Arial" w:hAnsi="Arial"/>
          <w:sz w:val="24"/>
          <w:szCs w:val="24"/>
        </w:rPr>
        <w:t xml:space="preserve">Mother-to-child transmission (MTCT) of HIV has been reduced from 25 to 30 percent (without intervention) to less than 1 percent in the United States through the combination of maternal antiretroviral therapy (ART), cesarean delivery when indicated, neonatal antiretroviral prophylaxis, and avoidance of breastfeeding. The management of the exposed newborn depends on the mother's viral load and ART status.</w:t>
      </w:r>
    </w:p>
    <w:p>
      <w:pPr>
        <w:spacing w:after="200"/>
      </w:pPr>
    </w:p>
    <w:p>
      <w:pPr>
        <w:pStyle w:val="Heading2"/>
      </w:pPr>
      <w:r>
        <w:t xml:space="preserve">7.2 Decision Tree: Infant Born to HIV-Positive Mother</w:t>
      </w:r>
    </w:p>
    <w:p>
      <w:pPr>
        <w:pStyle w:val="Heading3"/>
      </w:pPr>
      <w:r>
        <w:t xml:space="preserve">7.2.1 Low-Risk Infant</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Mother received ART during pregnancy with sustained viral suppression (HIV RNA less than 50 copies/mL) near delivery.</w:t>
      </w:r>
    </w:p>
    <w:p>
      <w:pPr>
        <w:pStyle w:val="ListParagraph"/>
        <w:numPr>
          <w:ilvl w:val="0"/>
          <w:numId w:val="3"/>
        </w:numPr>
        <w:spacing w:after="80"/>
      </w:pPr>
      <w:r>
        <w:rPr>
          <w:rFonts w:ascii="Arial" w:cs="Arial" w:eastAsia="Arial" w:hAnsi="Arial"/>
          <w:b/>
          <w:bCs/>
          <w:sz w:val="24"/>
          <w:szCs w:val="24"/>
        </w:rPr>
        <w:t xml:space="preserve">Prophylaxis: </w:t>
      </w:r>
      <w:r>
        <w:rPr>
          <w:rFonts w:ascii="Arial" w:cs="Arial" w:eastAsia="Arial" w:hAnsi="Arial"/>
          <w:sz w:val="24"/>
          <w:szCs w:val="24"/>
        </w:rPr>
        <w:t xml:space="preserve">Zidovudine (AZT) 4 mg/kg PO twice daily, starting within 6 to 12 hours of birth, for 4 weeks</w:t>
      </w:r>
    </w:p>
    <w:p>
      <w:pPr>
        <w:pStyle w:val="ListParagraph"/>
        <w:numPr>
          <w:ilvl w:val="0"/>
          <w:numId w:val="3"/>
        </w:numPr>
        <w:spacing w:after="80"/>
      </w:pPr>
      <w:r>
        <w:rPr>
          <w:rFonts w:ascii="Arial" w:cs="Arial" w:eastAsia="Arial" w:hAnsi="Arial"/>
          <w:b/>
          <w:bCs/>
          <w:sz w:val="24"/>
          <w:szCs w:val="24"/>
        </w:rPr>
        <w:t xml:space="preserve">Testing: </w:t>
      </w:r>
      <w:r>
        <w:rPr>
          <w:rFonts w:ascii="Arial" w:cs="Arial" w:eastAsia="Arial" w:hAnsi="Arial"/>
          <w:sz w:val="24"/>
          <w:szCs w:val="24"/>
        </w:rPr>
        <w:t xml:space="preserve">HIV DNA or RNA PCR at 14 to 21 days, 1 to 2 months, and 4 to 6 months</w:t>
      </w:r>
    </w:p>
    <w:p>
      <w:pPr>
        <w:pStyle w:val="ListParagraph"/>
        <w:numPr>
          <w:ilvl w:val="0"/>
          <w:numId w:val="3"/>
        </w:numPr>
        <w:spacing w:after="80"/>
      </w:pPr>
      <w:r>
        <w:rPr>
          <w:rFonts w:ascii="Arial" w:cs="Arial" w:eastAsia="Arial" w:hAnsi="Arial"/>
          <w:b/>
          <w:bCs/>
          <w:sz w:val="24"/>
          <w:szCs w:val="24"/>
        </w:rPr>
        <w:t xml:space="preserve">Breastfeeding: </w:t>
      </w:r>
      <w:r>
        <w:rPr>
          <w:rFonts w:ascii="Arial" w:cs="Arial" w:eastAsia="Arial" w:hAnsi="Arial"/>
          <w:sz w:val="24"/>
          <w:szCs w:val="24"/>
        </w:rPr>
        <w:t xml:space="preserve">NOT recommended in the United States (recommendation differs in resource-limited settings)</w:t>
      </w:r>
    </w:p>
    <w:p>
      <w:pPr>
        <w:spacing w:after="200"/>
      </w:pPr>
    </w:p>
    <w:p>
      <w:pPr>
        <w:pStyle w:val="Heading3"/>
      </w:pPr>
      <w:r>
        <w:t xml:space="preserve">7.2.2 High-Risk Infant</w:t>
      </w:r>
    </w:p>
    <w:p>
      <w:pPr>
        <w:spacing w:after="120" w:line="276"/>
      </w:pPr>
      <w:r>
        <w:rPr>
          <w:rFonts w:ascii="Arial" w:cs="Arial" w:eastAsia="Arial" w:hAnsi="Arial"/>
          <w:b/>
          <w:bCs/>
          <w:sz w:val="24"/>
          <w:szCs w:val="24"/>
        </w:rPr>
        <w:t xml:space="preserve">Criteria: </w:t>
      </w:r>
      <w:r>
        <w:rPr>
          <w:rFonts w:ascii="Arial" w:cs="Arial" w:eastAsia="Arial" w:hAnsi="Arial"/>
          <w:sz w:val="24"/>
          <w:szCs w:val="24"/>
        </w:rPr>
        <w:t xml:space="preserve">Mother did not receive ART, received ART but without viral suppression (detectable viral load near delivery), or maternal HIV status unknown with rapid test positive at delivery.</w:t>
      </w:r>
    </w:p>
    <w:p>
      <w:pPr>
        <w:pStyle w:val="ListParagraph"/>
        <w:numPr>
          <w:ilvl w:val="0"/>
          <w:numId w:val="3"/>
        </w:numPr>
        <w:spacing w:after="80"/>
      </w:pPr>
      <w:r>
        <w:rPr>
          <w:rFonts w:ascii="Arial" w:cs="Arial" w:eastAsia="Arial" w:hAnsi="Arial"/>
          <w:b/>
          <w:bCs/>
          <w:sz w:val="24"/>
          <w:szCs w:val="24"/>
        </w:rPr>
        <w:t xml:space="preserve">Prophylaxis: </w:t>
      </w:r>
      <w:r>
        <w:rPr>
          <w:rFonts w:ascii="Arial" w:cs="Arial" w:eastAsia="Arial" w:hAnsi="Arial"/>
          <w:sz w:val="24"/>
          <w:szCs w:val="24"/>
        </w:rPr>
        <w:t xml:space="preserve">Presumptive HIV therapy (not just prophylaxis) with a multi-drug regimen: Zidovudine + Lamivudine + Nevirapine (or Raltegravir). Specific regimen per current DHHS Perinatal HIV Guidelines.</w:t>
      </w:r>
    </w:p>
    <w:p>
      <w:pPr>
        <w:pStyle w:val="ListParagraph"/>
        <w:numPr>
          <w:ilvl w:val="0"/>
          <w:numId w:val="3"/>
        </w:numPr>
        <w:spacing w:after="80"/>
      </w:pPr>
      <w:r>
        <w:rPr>
          <w:rFonts w:ascii="Arial" w:cs="Arial" w:eastAsia="Arial" w:hAnsi="Arial"/>
          <w:sz w:val="24"/>
          <w:szCs w:val="24"/>
        </w:rPr>
        <w:t xml:space="preserve">Consult with pediatric infectious disease or HIV specialist immediately</w:t>
      </w:r>
    </w:p>
    <w:p>
      <w:pPr>
        <w:pStyle w:val="ListParagraph"/>
        <w:numPr>
          <w:ilvl w:val="0"/>
          <w:numId w:val="3"/>
        </w:numPr>
        <w:spacing w:after="80"/>
      </w:pPr>
      <w:r>
        <w:rPr>
          <w:rFonts w:ascii="Arial" w:cs="Arial" w:eastAsia="Arial" w:hAnsi="Arial"/>
          <w:b/>
          <w:bCs/>
          <w:sz w:val="24"/>
          <w:szCs w:val="24"/>
        </w:rPr>
        <w:t xml:space="preserve">Testing: </w:t>
      </w:r>
      <w:r>
        <w:rPr>
          <w:rFonts w:ascii="Arial" w:cs="Arial" w:eastAsia="Arial" w:hAnsi="Arial"/>
          <w:sz w:val="24"/>
          <w:szCs w:val="24"/>
        </w:rPr>
        <w:t xml:space="preserve">HIV DNA or RNA PCR at birth, 14 to 21 days, 1 to 2 months, and 4 to 6 months</w:t>
      </w:r>
    </w:p>
    <w:p>
      <w:pPr>
        <w:pStyle w:val="ListParagraph"/>
        <w:numPr>
          <w:ilvl w:val="0"/>
          <w:numId w:val="3"/>
        </w:numPr>
        <w:spacing w:after="80"/>
      </w:pPr>
      <w:r>
        <w:rPr>
          <w:rFonts w:ascii="Arial" w:cs="Arial" w:eastAsia="Arial" w:hAnsi="Arial"/>
          <w:sz w:val="24"/>
          <w:szCs w:val="24"/>
        </w:rPr>
        <w:t xml:space="preserve">CBC and differential at baseline and periodically during ART (monitor for hematologic toxicity)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Unknown Maternal HIV Status at Delivery</w:t>
            </w:r>
          </w:p>
          <w:p>
            <w:pPr>
              <w:spacing w:before="60"/>
            </w:pPr>
            <w:r>
              <w:rPr>
                <w:rFonts w:ascii="Arial" w:cs="Arial" w:eastAsia="Arial" w:hAnsi="Arial"/>
                <w:sz w:val="22"/>
                <w:szCs w:val="22"/>
              </w:rPr>
              <w:t xml:space="preserve">If a mother's HIV status is unknown at the time of delivery, a rapid HIV test must be performed immediately. If positive, initiate neonatal antiretroviral prophylaxis within 6 hours of birth. Do not wait for confirmatory testing to start prophylaxis. Time is critical. Contact pediatric HIV specialty consultation immediately.</w:t>
            </w:r>
          </w:p>
        </w:tc>
      </w:tr>
    </w:tbl>
    <w:p>
      <w:r>
        <w:br w:type="page"/>
      </w:r>
    </w:p>
    <w:p>
      <w:pPr>
        <w:pStyle w:val="Heading1"/>
      </w:pPr>
      <w:r>
        <w:t xml:space="preserve">Chapter 8: Group B Streptococcus (GBS)</w:t>
      </w:r>
    </w:p>
    <w:p>
      <w:pPr>
        <w:pStyle w:val="Heading2"/>
      </w:pPr>
      <w:r>
        <w:t xml:space="preserve">8.1 Background</w:t>
      </w:r>
    </w:p>
    <w:p>
      <w:pPr>
        <w:spacing w:after="120" w:line="276"/>
      </w:pPr>
      <w:r>
        <w:rPr>
          <w:rFonts w:ascii="Arial" w:cs="Arial" w:eastAsia="Arial" w:hAnsi="Arial"/>
          <w:sz w:val="24"/>
          <w:szCs w:val="24"/>
        </w:rPr>
        <w:t xml:space="preserve">Group B Streptococcus (Streptococcus agalactiae) is the most common cause of early-onset neonatal sepsis in the United States. Approximately 25 percent of pregnant women are colonized with GBS, and without intrapartum antibiotic prophylaxis (IAP), 1 to 2 percent of their infants develop early-onset GBS disease. IAP with penicillin or ampicillin administered at least 4 hours before delivery reduces early-onset GBS disease by approximately 80 percent.</w:t>
      </w:r>
    </w:p>
    <w:p>
      <w:pPr>
        <w:spacing w:after="200"/>
      </w:pPr>
    </w:p>
    <w:p>
      <w:pPr>
        <w:pStyle w:val="Heading2"/>
      </w:pPr>
      <w:r>
        <w:t xml:space="preserve">8.2 Decision Tree: Infant with GBS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Scenario</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Clinical Appearance</w:t>
            </w:r>
          </w:p>
        </w:tc>
        <w:tc>
          <w:tcPr>
            <w:tcW w:type="dxa" w:w="3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Management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Mother GBS+ with adequate IAP (&gt;=4 hours before delivery)</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Well-appearing</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Routine care. Observe for 24-48 hours. No labs or antibiotics needed.</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Mother GBS+ with inadequate IAP (&lt;4 hours before delivery)</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Well-appearing</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Close observation for at least 36-48 hours. Serial vital signs. Blood culture and CBC may be obtained but empiric antibiotics are not required if infant remains well. Consider EOS calculator.</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Mother GBS+ with inadequate IAP</w:t>
            </w:r>
          </w:p>
        </w:tc>
        <w:tc>
          <w:tcPr>
            <w:tcW w:type="dxa" w:w="2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Ill-appearing (any signs of sepsis)</w:t>
            </w:r>
          </w:p>
        </w:tc>
        <w:tc>
          <w:tcPr>
            <w:tcW w:type="dxa" w:w="386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val="false"/>
                <w:bCs w:val="false"/>
                <w:sz w:val="22"/>
                <w:szCs w:val="22"/>
              </w:rPr>
              <w:t xml:space="preserve">Blood culture, CBC, start ampicillin + gentamicin immediately. Evaluate for meningitis when stable.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Mother GBS status unknown, no IAP given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Well-appearing, &gt;=37 weeks, ROM &lt;18 hours</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Observation for 36-48 hours per institutional protocol. Low risk.</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Mother GBS status unknown, no IAP, with risk factors (ROM&gt;18h, fever, preterm)</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Well-appearing</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Close observation. Consider blood culture and CBC. Lower threshold for empiric antibiotics. EOS calculator helpful.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The 2018 AAP EOS management guidelines (Puopolo et al.) apply to GBS-exposed infants born at 35 weeks or greater. The key shift is from reflexive antibiotic administration to risk-stratified management using serial clinical observation, the EOS calculator, or a combination approach. The well-appearing infant born to a GBS-positive mother who received adequate IAP is at very low risk and does not need laboratory evaluation or antibiotics.</w:t>
            </w:r>
          </w:p>
        </w:tc>
      </w:tr>
    </w:tbl>
    <w:p>
      <w:r>
        <w:br w:type="page"/>
      </w:r>
    </w:p>
    <w:p>
      <w:pPr>
        <w:pStyle w:val="Heading1"/>
      </w:pPr>
      <w:r>
        <w:t xml:space="preserve">Chapter 9: Additional Maternal Infections</w:t>
      </w:r>
    </w:p>
    <w:p>
      <w:pPr>
        <w:pStyle w:val="Heading2"/>
      </w:pPr>
      <w:r>
        <w:t xml:space="preserve">9.1 Varicella-Zoster Virus (Chickenpox)</w:t>
      </w:r>
    </w:p>
    <w:p>
      <w:pPr>
        <w:spacing w:after="120" w:line="276"/>
      </w:pPr>
      <w:r>
        <w:rPr>
          <w:rFonts w:ascii="Arial" w:cs="Arial" w:eastAsia="Arial" w:hAnsi="Arial"/>
          <w:b/>
          <w:bCs/>
          <w:sz w:val="24"/>
          <w:szCs w:val="24"/>
        </w:rPr>
        <w:t xml:space="preserve">Maternal varicella around the time of delivery:</w:t>
      </w:r>
    </w:p>
    <w:p>
      <w:pPr>
        <w:spacing w:after="120" w:line="276"/>
      </w:pPr>
      <w:r>
        <w:rPr>
          <w:rFonts w:ascii="Arial" w:cs="Arial" w:eastAsia="Arial" w:hAnsi="Arial"/>
          <w:sz w:val="24"/>
          <w:szCs w:val="24"/>
        </w:rPr>
        <w:t xml:space="preserve">If the mother develops varicella rash 5 days before to 2 days after delivery, the infant is at high risk for severe neonatal varicella (mortality up to 30 percent without treatment) because the infant is exposed to the virus without the benefit of transplacentally acquired maternal antibodies.</w:t>
      </w:r>
    </w:p>
    <w:p>
      <w:pPr>
        <w:spacing w:after="200"/>
      </w:pPr>
    </w:p>
    <w:p>
      <w:pPr>
        <w:spacing w:after="120" w:line="276"/>
      </w:pPr>
      <w:r>
        <w:rPr>
          <w:rFonts w:ascii="Arial" w:cs="Arial" w:eastAsia="Arial" w:hAnsi="Arial"/>
          <w:b/>
          <w:bCs/>
          <w:sz w:val="24"/>
          <w:szCs w:val="24"/>
        </w:rPr>
        <w:t xml:space="preserve">Management:</w:t>
      </w:r>
    </w:p>
    <w:p>
      <w:pPr>
        <w:pStyle w:val="ListParagraph"/>
        <w:numPr>
          <w:ilvl w:val="0"/>
          <w:numId w:val="3"/>
        </w:numPr>
        <w:spacing w:after="80"/>
      </w:pPr>
      <w:r>
        <w:rPr>
          <w:rFonts w:ascii="Arial" w:cs="Arial" w:eastAsia="Arial" w:hAnsi="Arial"/>
          <w:b/>
          <w:bCs/>
          <w:sz w:val="24"/>
          <w:szCs w:val="24"/>
        </w:rPr>
        <w:t xml:space="preserve">Administer Varicella-Zoster Immune Globulin (VariZIG) </w:t>
      </w:r>
      <w:r>
        <w:rPr>
          <w:rFonts w:ascii="Arial" w:cs="Arial" w:eastAsia="Arial" w:hAnsi="Arial"/>
          <w:sz w:val="24"/>
          <w:szCs w:val="24"/>
        </w:rPr>
        <w:t xml:space="preserve">to the infant as soon as possible after birth (ideally within 48 hours, up to 10 days)</w:t>
      </w:r>
    </w:p>
    <w:p>
      <w:pPr>
        <w:pStyle w:val="ListParagraph"/>
        <w:numPr>
          <w:ilvl w:val="0"/>
          <w:numId w:val="3"/>
        </w:numPr>
        <w:spacing w:after="80"/>
      </w:pPr>
      <w:r>
        <w:rPr>
          <w:rFonts w:ascii="Arial" w:cs="Arial" w:eastAsia="Arial" w:hAnsi="Arial"/>
          <w:sz w:val="24"/>
          <w:szCs w:val="24"/>
        </w:rPr>
        <w:t xml:space="preserve">If VariZIG is unavailable: IVIG 400 mg/kg IV as a single dose</w:t>
      </w:r>
    </w:p>
    <w:p>
      <w:pPr>
        <w:pStyle w:val="ListParagraph"/>
        <w:numPr>
          <w:ilvl w:val="0"/>
          <w:numId w:val="3"/>
        </w:numPr>
        <w:spacing w:after="80"/>
      </w:pPr>
      <w:r>
        <w:rPr>
          <w:rFonts w:ascii="Arial" w:cs="Arial" w:eastAsia="Arial" w:hAnsi="Arial"/>
          <w:sz w:val="24"/>
          <w:szCs w:val="24"/>
        </w:rPr>
        <w:t xml:space="preserve">If the infant develops varicella despite prophylaxis: Acyclovir 10 mg/kg IV every 8 hours for 7 to 10 days</w:t>
      </w:r>
    </w:p>
    <w:p>
      <w:pPr>
        <w:pStyle w:val="ListParagraph"/>
        <w:numPr>
          <w:ilvl w:val="0"/>
          <w:numId w:val="3"/>
        </w:numPr>
        <w:spacing w:after="80"/>
      </w:pPr>
      <w:r>
        <w:rPr>
          <w:rFonts w:ascii="Arial" w:cs="Arial" w:eastAsia="Arial" w:hAnsi="Arial"/>
          <w:sz w:val="24"/>
          <w:szCs w:val="24"/>
        </w:rPr>
        <w:t xml:space="preserve">Isolate the infant from the mother until she is no longer infectious (lesions crusted)</w:t>
      </w:r>
    </w:p>
    <w:p>
      <w:pPr>
        <w:spacing w:after="200"/>
      </w:pPr>
    </w:p>
    <w:p>
      <w:pPr>
        <w:pStyle w:val="Heading2"/>
      </w:pPr>
      <w:r>
        <w:t xml:space="preserve">9.2 Cytomegalovirus (CMV)</w:t>
      </w:r>
    </w:p>
    <w:p>
      <w:pPr>
        <w:spacing w:after="120" w:line="276"/>
      </w:pPr>
      <w:r>
        <w:rPr>
          <w:rFonts w:ascii="Arial" w:cs="Arial" w:eastAsia="Arial" w:hAnsi="Arial"/>
          <w:sz w:val="24"/>
          <w:szCs w:val="24"/>
        </w:rPr>
        <w:t xml:space="preserve">Congenital CMV is the most common congenital infection in the United States, affecting approximately 0.5 to 1 percent of all live births. However, only 10 to 15 percent of infected infants are symptomatic at birth. Symptomatic congenital CMV may present with intrauterine growth restriction, microcephaly, periventricular calcifications, hepatosplenomegaly, jaundice, petechiae, thrombocytopenia, chorioretinitis, or sensorineural hearing loss.</w:t>
      </w:r>
    </w:p>
    <w:p>
      <w:pPr>
        <w:spacing w:after="200"/>
      </w:pPr>
    </w:p>
    <w:p>
      <w:pPr>
        <w:spacing w:after="120" w:line="276"/>
      </w:pPr>
      <w:r>
        <w:rPr>
          <w:rFonts w:ascii="Arial" w:cs="Arial" w:eastAsia="Arial" w:hAnsi="Arial"/>
          <w:b/>
          <w:bCs/>
          <w:sz w:val="24"/>
          <w:szCs w:val="24"/>
        </w:rPr>
        <w:t xml:space="preserve">Evaluation for suspected congenital CMV:</w:t>
      </w:r>
    </w:p>
    <w:p>
      <w:pPr>
        <w:pStyle w:val="ListParagraph"/>
        <w:numPr>
          <w:ilvl w:val="0"/>
          <w:numId w:val="3"/>
        </w:numPr>
        <w:spacing w:after="80"/>
      </w:pPr>
      <w:r>
        <w:rPr>
          <w:rFonts w:ascii="Arial" w:cs="Arial" w:eastAsia="Arial" w:hAnsi="Arial"/>
          <w:sz w:val="24"/>
          <w:szCs w:val="24"/>
        </w:rPr>
        <w:t xml:space="preserve">CMV PCR from urine or saliva within the first 21 days of life (a positive test after 21 days cannot distinguish congenital from postnatal infection)</w:t>
      </w:r>
    </w:p>
    <w:p>
      <w:pPr>
        <w:pStyle w:val="ListParagraph"/>
        <w:numPr>
          <w:ilvl w:val="0"/>
          <w:numId w:val="3"/>
        </w:numPr>
        <w:spacing w:after="80"/>
      </w:pPr>
      <w:r>
        <w:rPr>
          <w:rFonts w:ascii="Arial" w:cs="Arial" w:eastAsia="Arial" w:hAnsi="Arial"/>
          <w:sz w:val="24"/>
          <w:szCs w:val="24"/>
        </w:rPr>
        <w:t xml:space="preserve">If positive: CBC, liver function tests, head ultrasound, ophthalmologic exam, auditory brainstem response</w:t>
      </w:r>
    </w:p>
    <w:p>
      <w:pPr>
        <w:pStyle w:val="ListParagraph"/>
        <w:numPr>
          <w:ilvl w:val="0"/>
          <w:numId w:val="3"/>
        </w:numPr>
        <w:spacing w:after="80"/>
      </w:pPr>
      <w:r>
        <w:rPr>
          <w:rFonts w:ascii="Arial" w:cs="Arial" w:eastAsia="Arial" w:hAnsi="Arial"/>
          <w:sz w:val="24"/>
          <w:szCs w:val="24"/>
        </w:rPr>
        <w:t xml:space="preserve">Treatment (for symptomatic congenital CMV): Valganciclovir 16 mg/kg PO twice daily for 6 months. Initiate within the first month of life. Monitor CBC every 1 to 2 weeks (neutropenia is common)</w:t>
      </w:r>
    </w:p>
    <w:p>
      <w:pPr>
        <w:pStyle w:val="ListParagraph"/>
        <w:numPr>
          <w:ilvl w:val="0"/>
          <w:numId w:val="3"/>
        </w:numPr>
        <w:spacing w:after="80"/>
      </w:pPr>
      <w:r>
        <w:rPr>
          <w:rFonts w:ascii="Arial" w:cs="Arial" w:eastAsia="Arial" w:hAnsi="Arial"/>
          <w:b/>
          <w:bCs/>
          <w:sz w:val="24"/>
          <w:szCs w:val="24"/>
        </w:rPr>
        <w:t xml:space="preserve">Breastfeeding: </w:t>
      </w:r>
      <w:r>
        <w:rPr>
          <w:rFonts w:ascii="Arial" w:cs="Arial" w:eastAsia="Arial" w:hAnsi="Arial"/>
          <w:sz w:val="24"/>
          <w:szCs w:val="24"/>
        </w:rPr>
        <w:t xml:space="preserve">Safe for term infants. CMV in breast milk is a concern primarily for very preterm infants (&lt;32 weeks or &lt;1500 g), where the decision should be individualized</w:t>
      </w:r>
    </w:p>
    <w:p>
      <w:pPr>
        <w:spacing w:after="200"/>
      </w:pPr>
    </w:p>
    <w:p>
      <w:pPr>
        <w:pStyle w:val="Heading2"/>
      </w:pPr>
      <w:r>
        <w:t xml:space="preserve">9.3 Tuberculosis</w:t>
      </w:r>
    </w:p>
    <w:p>
      <w:pPr>
        <w:spacing w:after="120" w:line="276"/>
      </w:pPr>
      <w:r>
        <w:rPr>
          <w:rFonts w:ascii="Arial" w:cs="Arial" w:eastAsia="Arial" w:hAnsi="Arial"/>
          <w:sz w:val="24"/>
          <w:szCs w:val="24"/>
        </w:rPr>
        <w:t xml:space="preserve">Maternal active tuberculosis (TB) at the time of delivery poses a risk to the newborn through postnatal exposure (respiratory droplet) rather than transplacental transmission (congenital TB is extremely rare). Management of the infant depends on the mother's TB status and infectiousness.</w:t>
      </w:r>
    </w:p>
    <w:p>
      <w:pPr>
        <w:spacing w:after="200"/>
      </w:pPr>
    </w:p>
    <w:p>
      <w:pPr>
        <w:pStyle w:val="ListParagraph"/>
        <w:numPr>
          <w:ilvl w:val="0"/>
          <w:numId w:val="3"/>
        </w:numPr>
        <w:spacing w:after="80"/>
      </w:pPr>
      <w:r>
        <w:rPr>
          <w:rFonts w:ascii="Arial" w:cs="Arial" w:eastAsia="Arial" w:hAnsi="Arial"/>
          <w:sz w:val="24"/>
          <w:szCs w:val="24"/>
        </w:rPr>
        <w:t xml:space="preserve">If the mother has active pulmonary TB and is considered infectious: Separate mother and infant until the mother is on effective treatment and no longer considered infectious (typically after 2 weeks of appropriate therapy with documented clinical improvement)</w:t>
      </w:r>
    </w:p>
    <w:p>
      <w:pPr>
        <w:pStyle w:val="ListParagraph"/>
        <w:numPr>
          <w:ilvl w:val="0"/>
          <w:numId w:val="3"/>
        </w:numPr>
        <w:spacing w:after="80"/>
      </w:pPr>
      <w:r>
        <w:rPr>
          <w:rFonts w:ascii="Arial" w:cs="Arial" w:eastAsia="Arial" w:hAnsi="Arial"/>
          <w:sz w:val="24"/>
          <w:szCs w:val="24"/>
        </w:rPr>
        <w:t xml:space="preserve">Start the infant on isoniazid prophylaxis: 10 mg/kg/day for 3 to 4 months, then perform a tuberculin skin test (TST). If TST is negative, discontinue isoniazid. If positive, complete 9 months of isoniazid</w:t>
      </w:r>
    </w:p>
    <w:p>
      <w:pPr>
        <w:pStyle w:val="ListParagraph"/>
        <w:numPr>
          <w:ilvl w:val="0"/>
          <w:numId w:val="3"/>
        </w:numPr>
        <w:spacing w:after="80"/>
      </w:pPr>
      <w:r>
        <w:rPr>
          <w:rFonts w:ascii="Arial" w:cs="Arial" w:eastAsia="Arial" w:hAnsi="Arial"/>
          <w:sz w:val="24"/>
          <w:szCs w:val="24"/>
        </w:rPr>
        <w:t xml:space="preserve">Do NOT give BCG vaccine until maternal infectiousness status is resolved (BCG would invalidate future TST interpretation)</w:t>
      </w:r>
    </w:p>
    <w:p>
      <w:pPr>
        <w:pStyle w:val="ListParagraph"/>
        <w:numPr>
          <w:ilvl w:val="0"/>
          <w:numId w:val="3"/>
        </w:numPr>
        <w:spacing w:after="80"/>
      </w:pPr>
      <w:r>
        <w:rPr>
          <w:rFonts w:ascii="Arial" w:cs="Arial" w:eastAsia="Arial" w:hAnsi="Arial"/>
          <w:sz w:val="24"/>
          <w:szCs w:val="24"/>
        </w:rPr>
        <w:t xml:space="preserve">If the mother has latent TB and is on treatment: No separation necessary. Routine newborn care</w:t>
      </w:r>
    </w:p>
    <w:p>
      <w:pPr>
        <w:spacing w:after="200"/>
      </w:pPr>
    </w:p>
    <w:p>
      <w:pPr>
        <w:pStyle w:val="Heading2"/>
      </w:pPr>
      <w:r>
        <w:t xml:space="preserve">9.4 COVID-19 (SARS-CoV-2)</w:t>
      </w:r>
    </w:p>
    <w:p>
      <w:pPr>
        <w:spacing w:after="120" w:line="276"/>
      </w:pPr>
      <w:r>
        <w:rPr>
          <w:rFonts w:ascii="Arial" w:cs="Arial" w:eastAsia="Arial" w:hAnsi="Arial"/>
          <w:sz w:val="24"/>
          <w:szCs w:val="24"/>
        </w:rPr>
        <w:t xml:space="preserve">Vertical transmission of SARS-CoV-2 is uncommon. The primary risk to the newborn is postnatal respiratory droplet transmission from an infected mother. Per AAP guidance:</w:t>
      </w:r>
    </w:p>
    <w:p>
      <w:pPr>
        <w:spacing w:after="200"/>
      </w:pPr>
    </w:p>
    <w:p>
      <w:pPr>
        <w:pStyle w:val="ListParagraph"/>
        <w:numPr>
          <w:ilvl w:val="0"/>
          <w:numId w:val="3"/>
        </w:numPr>
        <w:spacing w:after="80"/>
      </w:pPr>
      <w:r>
        <w:rPr>
          <w:rFonts w:ascii="Arial" w:cs="Arial" w:eastAsia="Arial" w:hAnsi="Arial"/>
          <w:sz w:val="24"/>
          <w:szCs w:val="24"/>
        </w:rPr>
        <w:t xml:space="preserve">Well-appearing infants born to mothers with COVID-19 may room-in with the mother using appropriate infection prevention measures (maternal mask, hand hygiene, distance when not breastfeeding)</w:t>
      </w:r>
    </w:p>
    <w:p>
      <w:pPr>
        <w:pStyle w:val="ListParagraph"/>
        <w:numPr>
          <w:ilvl w:val="0"/>
          <w:numId w:val="3"/>
        </w:numPr>
        <w:spacing w:after="80"/>
      </w:pPr>
      <w:r>
        <w:rPr>
          <w:rFonts w:ascii="Arial" w:cs="Arial" w:eastAsia="Arial" w:hAnsi="Arial"/>
          <w:sz w:val="24"/>
          <w:szCs w:val="24"/>
        </w:rPr>
        <w:t xml:space="preserve">Breastfeeding is encouraged. Direct breastfeeding with maternal mask and hand hygiene is preferred over pumped milk</w:t>
      </w:r>
    </w:p>
    <w:p>
      <w:pPr>
        <w:pStyle w:val="ListParagraph"/>
        <w:numPr>
          <w:ilvl w:val="0"/>
          <w:numId w:val="3"/>
        </w:numPr>
        <w:spacing w:after="80"/>
      </w:pPr>
      <w:r>
        <w:rPr>
          <w:rFonts w:ascii="Arial" w:cs="Arial" w:eastAsia="Arial" w:hAnsi="Arial"/>
          <w:sz w:val="24"/>
          <w:szCs w:val="24"/>
        </w:rPr>
        <w:t xml:space="preserve">Test the infant for SARS-CoV-2 at 24 to 48 hours of life if the mother was positive at delivery</w:t>
      </w:r>
    </w:p>
    <w:p>
      <w:pPr>
        <w:pStyle w:val="ListParagraph"/>
        <w:numPr>
          <w:ilvl w:val="0"/>
          <w:numId w:val="3"/>
        </w:numPr>
        <w:spacing w:after="80"/>
      </w:pPr>
      <w:r>
        <w:rPr>
          <w:rFonts w:ascii="Arial" w:cs="Arial" w:eastAsia="Arial" w:hAnsi="Arial"/>
          <w:sz w:val="24"/>
          <w:szCs w:val="24"/>
        </w:rPr>
        <w:t xml:space="preserve">No specific antiviral treatment for the newborn unless the infant develops symptomatic COVID-19</w:t>
      </w:r>
    </w:p>
    <w:p>
      <w:r>
        <w:br w:type="page"/>
      </w:r>
    </w:p>
    <w:p>
      <w:pPr>
        <w:pStyle w:val="Heading1"/>
      </w:pPr>
      <w:r>
        <w:t xml:space="preserve">References</w:t>
      </w:r>
    </w:p>
    <w:p>
      <w:pPr>
        <w:pStyle w:val="ListParagraph"/>
        <w:numPr>
          <w:ilvl w:val="0"/>
          <w:numId w:val="2"/>
        </w:numPr>
        <w:spacing w:after="80"/>
      </w:pPr>
      <w:r>
        <w:rPr>
          <w:rFonts w:ascii="Arial" w:cs="Arial" w:eastAsia="Arial" w:hAnsi="Arial"/>
          <w:sz w:val="24"/>
          <w:szCs w:val="24"/>
        </w:rPr>
        <w:t xml:space="preserve">Schillie S, Vellozzi C, Reingold A, et al. Prevention of Hepatitis B Virus Infection in the United States: Recommendations of the Advisory Committee on Immunization Practices. MMWR Recomm Rep. 2018;67(1):1-31. doi:10.15585/mmwr.rr6701a1</w:t>
      </w:r>
    </w:p>
    <w:p>
      <w:pPr>
        <w:pStyle w:val="ListParagraph"/>
        <w:numPr>
          <w:ilvl w:val="0"/>
          <w:numId w:val="2"/>
        </w:numPr>
        <w:spacing w:after="80"/>
      </w:pPr>
      <w:r>
        <w:rPr>
          <w:rFonts w:ascii="Arial" w:cs="Arial" w:eastAsia="Arial" w:hAnsi="Arial"/>
          <w:sz w:val="24"/>
          <w:szCs w:val="24"/>
        </w:rPr>
        <w:t xml:space="preserve">AAP Committee on Infectious Diseases. Red Book: 2021-2024 Report of the Committee on Infectious Diseases. 33rd ed. American Academy of Pediatrics; 2021.</w:t>
      </w:r>
    </w:p>
    <w:p>
      <w:pPr>
        <w:pStyle w:val="ListParagraph"/>
        <w:numPr>
          <w:ilvl w:val="0"/>
          <w:numId w:val="2"/>
        </w:numPr>
        <w:spacing w:after="80"/>
      </w:pPr>
      <w:r>
        <w:rPr>
          <w:rFonts w:ascii="Arial" w:cs="Arial" w:eastAsia="Arial" w:hAnsi="Arial"/>
          <w:sz w:val="24"/>
          <w:szCs w:val="24"/>
        </w:rPr>
        <w:t xml:space="preserve">CDC. Congenital Syphilis - STI Treatment Guidelines, 2021. Available at: https://www.cdc.gov/std/treatment-guidelines/congenital-syphilis.htm</w:t>
      </w:r>
    </w:p>
    <w:p>
      <w:pPr>
        <w:pStyle w:val="ListParagraph"/>
        <w:numPr>
          <w:ilvl w:val="0"/>
          <w:numId w:val="2"/>
        </w:numPr>
        <w:spacing w:after="80"/>
      </w:pPr>
      <w:r>
        <w:rPr>
          <w:rFonts w:ascii="Arial" w:cs="Arial" w:eastAsia="Arial" w:hAnsi="Arial"/>
          <w:sz w:val="24"/>
          <w:szCs w:val="24"/>
        </w:rPr>
        <w:t xml:space="preserve">Puopolo KM, Benitz WE, Zaoutis TE, et al. Management of Neonates Born at &gt;=35 0/7 Weeks' Gestation With Suspected or Proven Early-Onset Bacterial Sepsis. Pediatrics. 2018;142(6):e20182894. doi:10.1542/peds.2018-2894</w:t>
      </w:r>
    </w:p>
    <w:p>
      <w:pPr>
        <w:pStyle w:val="ListParagraph"/>
        <w:numPr>
          <w:ilvl w:val="0"/>
          <w:numId w:val="2"/>
        </w:numPr>
        <w:spacing w:after="80"/>
      </w:pPr>
      <w:r>
        <w:rPr>
          <w:rFonts w:ascii="Arial" w:cs="Arial" w:eastAsia="Arial" w:hAnsi="Arial"/>
          <w:sz w:val="24"/>
          <w:szCs w:val="24"/>
        </w:rPr>
        <w:t xml:space="preserve">Kimberlin DW, Baley J; AAP Committee on Infectious Diseases; AAP Committee on Fetus and Newborn. Guidance on Management of Asymptomatic Neonates Born to Women With Active Genital Herpes Lesions. Pediatrics. 2013;131(2):e572-e579. doi:10.1542/peds.2012-3216</w:t>
      </w:r>
    </w:p>
    <w:p>
      <w:pPr>
        <w:pStyle w:val="ListParagraph"/>
        <w:numPr>
          <w:ilvl w:val="0"/>
          <w:numId w:val="2"/>
        </w:numPr>
        <w:spacing w:after="80"/>
      </w:pPr>
      <w:r>
        <w:rPr>
          <w:rFonts w:ascii="Arial" w:cs="Arial" w:eastAsia="Arial" w:hAnsi="Arial"/>
          <w:sz w:val="24"/>
          <w:szCs w:val="24"/>
        </w:rPr>
        <w:t xml:space="preserve">Panel on Treatment of Pregnant Women with HIV Infection and Prevention of Perinatal Transmission. Recommendations for the Use of Antiretroviral Drugs During Pregnancy and Interventions to Reduce Perinatal HIV Transmission in the United States. DHHS. Updated regularly. Available at: https://clinicalinfo.hiv.gov/en/guidelines</w:t>
      </w:r>
    </w:p>
    <w:p>
      <w:pPr>
        <w:pStyle w:val="ListParagraph"/>
        <w:numPr>
          <w:ilvl w:val="0"/>
          <w:numId w:val="2"/>
        </w:numPr>
        <w:spacing w:after="80"/>
      </w:pPr>
      <w:r>
        <w:rPr>
          <w:rFonts w:ascii="Arial" w:cs="Arial" w:eastAsia="Arial" w:hAnsi="Arial"/>
          <w:sz w:val="24"/>
          <w:szCs w:val="24"/>
        </w:rPr>
        <w:t xml:space="preserve">Verani JR, McGee L, Schrag SJ. Prevention of Perinatal Group B Streptococcal Disease: Revised Guidelines from CDC, 2010. MMWR Recomm Rep. 2010;59(RR-10):1-36.</w:t>
      </w:r>
    </w:p>
    <w:p>
      <w:pPr>
        <w:pStyle w:val="ListParagraph"/>
        <w:numPr>
          <w:ilvl w:val="0"/>
          <w:numId w:val="2"/>
        </w:numPr>
        <w:spacing w:after="80"/>
      </w:pPr>
      <w:r>
        <w:rPr>
          <w:rFonts w:ascii="Arial" w:cs="Arial" w:eastAsia="Arial" w:hAnsi="Arial"/>
          <w:sz w:val="24"/>
          <w:szCs w:val="24"/>
        </w:rPr>
        <w:t xml:space="preserve">Hodgson KA, Wilkinson D, De Paoli AG, Manley BJ. Nasal high flow therapy for primary respiratory support in preterm infants. Cochrane Database Syst Rev. 2023;5(5):CD006405. doi:10.1002/14651858.CD006405.pub4. PMID: 37144837</w:t>
      </w:r>
    </w:p>
    <w:p>
      <w:pPr>
        <w:pStyle w:val="ListParagraph"/>
        <w:numPr>
          <w:ilvl w:val="0"/>
          <w:numId w:val="2"/>
        </w:numPr>
        <w:spacing w:after="80"/>
      </w:pPr>
      <w:r>
        <w:rPr>
          <w:rFonts w:ascii="Arial" w:cs="Arial" w:eastAsia="Arial" w:hAnsi="Arial"/>
          <w:sz w:val="24"/>
          <w:szCs w:val="24"/>
        </w:rPr>
        <w:t xml:space="preserve">Sankaran D, Partridge E, Lakshminrusimha S. Congenital Syphilis - An Illustrative Review. Children (Basel). 2023;10(8):1310. doi:10.3390/children10081310. PMID: 37628309</w:t>
      </w:r>
    </w:p>
    <w:p>
      <w:pPr>
        <w:pStyle w:val="ListParagraph"/>
        <w:numPr>
          <w:ilvl w:val="0"/>
          <w:numId w:val="2"/>
        </w:numPr>
        <w:spacing w:after="80"/>
      </w:pPr>
      <w:r>
        <w:rPr>
          <w:rFonts w:ascii="Arial" w:cs="Arial" w:eastAsia="Arial" w:hAnsi="Arial"/>
          <w:sz w:val="24"/>
          <w:szCs w:val="24"/>
        </w:rPr>
        <w:t xml:space="preserve">CDC. Hepatitis B Perinatal Vaccine Information. Updated August 2025. Available at: https://www.cdc.gov/hepatitis-b/hcp/perinatal-provider-overview/vaccine-administration.html</w:t>
      </w:r>
    </w:p>
    <w:p>
      <w:pPr>
        <w:pStyle w:val="ListParagraph"/>
        <w:numPr>
          <w:ilvl w:val="0"/>
          <w:numId w:val="2"/>
        </w:numPr>
        <w:spacing w:after="80"/>
      </w:pPr>
      <w:r>
        <w:rPr>
          <w:rFonts w:ascii="Arial" w:cs="Arial" w:eastAsia="Arial" w:hAnsi="Arial"/>
          <w:sz w:val="24"/>
          <w:szCs w:val="24"/>
        </w:rPr>
        <w:t xml:space="preserve">AAP. Hepatitis B Vaccine Frequently Asked Questions. 2025. Available at: https://www.aap.org/en/patient-care/hepatitis-b/</w:t>
      </w:r>
    </w:p>
    <w:p>
      <w:pPr>
        <w:pStyle w:val="ListParagraph"/>
        <w:numPr>
          <w:ilvl w:val="0"/>
          <w:numId w:val="2"/>
        </w:numPr>
        <w:spacing w:after="80"/>
      </w:pPr>
      <w:r>
        <w:rPr>
          <w:rFonts w:ascii="Arial" w:cs="Arial" w:eastAsia="Arial" w:hAnsi="Arial"/>
          <w:sz w:val="24"/>
          <w:szCs w:val="24"/>
        </w:rPr>
        <w:t xml:space="preserve">CDC. Screening and Referral Algorithm for Hepatitis C Virus Infection. 2020.</w:t>
      </w:r>
    </w:p>
    <w:p>
      <w:pPr>
        <w:pStyle w:val="ListParagraph"/>
        <w:numPr>
          <w:ilvl w:val="0"/>
          <w:numId w:val="2"/>
        </w:numPr>
        <w:spacing w:after="80"/>
      </w:pPr>
      <w:r>
        <w:rPr>
          <w:rFonts w:ascii="Arial" w:cs="Arial" w:eastAsia="Arial" w:hAnsi="Arial"/>
          <w:sz w:val="24"/>
          <w:szCs w:val="24"/>
        </w:rPr>
        <w:t xml:space="preserve">Rawlinson WD, Boppana SB, Fowler KB, et al. Congenital cytomegalovirus infection in pregnancy and the neonate: consensus recommendations for prevention, diagnosis, and therapy. Lancet Infect Dis. 2017;17(6):e177-e188. doi:10.1016/S1473-3099(17)30143-3</w:t>
      </w:r>
    </w:p>
    <w:p>
      <w:pPr>
        <w:pStyle w:val="ListParagraph"/>
        <w:numPr>
          <w:ilvl w:val="0"/>
          <w:numId w:val="2"/>
        </w:numPr>
        <w:spacing w:after="80"/>
      </w:pPr>
      <w:r>
        <w:rPr>
          <w:rFonts w:ascii="Arial" w:cs="Arial" w:eastAsia="Arial" w:hAnsi="Arial"/>
          <w:sz w:val="24"/>
          <w:szCs w:val="24"/>
        </w:rPr>
        <w:t xml:space="preserve">Kimberlin DW, Whitley RJ, Wan W, et al. Oral Acyclovir Suppression and Neurodevelopment After Neonatal Herpes. N Engl J Med. 2011;365(14):1284-1292. doi:10.1056/NEJMoa1003509</w:t>
      </w:r>
    </w:p>
    <w:p>
      <w:pPr>
        <w:pStyle w:val="ListParagraph"/>
        <w:numPr>
          <w:ilvl w:val="0"/>
          <w:numId w:val="2"/>
        </w:numPr>
        <w:spacing w:after="80"/>
      </w:pPr>
      <w:r>
        <w:rPr>
          <w:rFonts w:ascii="Arial" w:cs="Arial" w:eastAsia="Arial" w:hAnsi="Arial"/>
          <w:sz w:val="24"/>
          <w:szCs w:val="24"/>
        </w:rPr>
        <w:t xml:space="preserve">Stark AR, Pursley DM, Papile LA, et al. Standards for Levels of Neonatal Care: II, III, and IV. Pediatrics. 2023;151(6):e2023061957. doi:10.1542/peds.2023-061957</w:t>
      </w:r>
    </w:p>
    <w:p>
      <w:pPr>
        <w:spacing w:after="200"/>
      </w:pPr>
    </w:p>
    <w:p>
      <w:pPr>
        <w:spacing w:after="120" w:line="276"/>
      </w:pPr>
      <w:r>
        <w:rPr>
          <w:rFonts w:ascii="Arial" w:cs="Arial" w:eastAsia="Arial" w:hAnsi="Arial"/>
          <w:i/>
          <w:iCs/>
          <w:sz w:val="20"/>
          <w:szCs w:val="20"/>
        </w:rPr>
        <w:t xml:space="preserve">This guide was prepared for the Pediatric Emergency Medicine CDS Project, Level I and Level II/II+ Nursery Education Series. All drug doses and clinical recommendations should be verified against current institutional protocols and pharmacy references before clinical application. This document is for educational purposes and does not replace individual clinical judgment.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Pediatric Emergency CDS Project — March 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i/>
        <w:iCs/>
        <w:color w:val="888888"/>
        <w:sz w:val="18"/>
        <w:szCs w:val="18"/>
      </w:rPr>
      <w:t xml:space="preserve">Maternal Infectious Diseases — Newborn Decision Trees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6FA5"/>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B7B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2026-03-18T18:20:31.012Z</dcterms:created>
  <dcterms:modified xsi:type="dcterms:W3CDTF">2026-03-18T18:20:31.013Z</dcterms:modified>
</cp:coreProperties>
</file>

<file path=docProps/custom.xml><?xml version="1.0" encoding="utf-8"?>
<Properties xmlns="http://schemas.openxmlformats.org/officeDocument/2006/custom-properties" xmlns:vt="http://schemas.openxmlformats.org/officeDocument/2006/docPropsVTypes"/>
</file>