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15</w:t>
      </w:r>
    </w:p>
    <w:p>
      <w:pPr>
        <w:jc w:val="center"/>
      </w:pPr>
      <w:r>
        <w:rPr>
          <w:i/>
          <w:iCs/>
          <w:sz w:val="32"/>
          <w:szCs w:val="32"/>
          <w:rFonts w:ascii="Arial" w:cs="Arial" w:eastAsia="Arial" w:hAnsi="Arial"/>
        </w:rPr>
        <w:t xml:space="preserve">Bayesian Methods in Health Economics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Bayesian statistical methods offer a fundamentally different paradigm from the frequentist approaches covered in Chapters 9-14. Where frequentist methods treat parameters as fixed unknown quantities and make probability statements about data conditional on parameters, Bayesian methods treat parameters as random variables with probability distributions, updated from prior beliefs to posterior beliefs through the application of Bayes' theorem. In health economics, Bayesian methods have become indispensable for health technology assessment (cost-effectiveness analysis with probabilistic sensitivity analysis), network meta-analysis (comparing treatments across a network of clinical trials), provider profiling (shrinkage estimation of hospital quality), spatial health economics (disease mapping and small area estimation), and any setting where prior clinical or economic knowledge should formally inform the analysis.</w:t>
      </w:r>
    </w:p>
    <w:p>
      <w:pPr>
        <w:spacing w:after="120"/>
      </w:pPr>
      <w:r>
        <w:rPr>
          <w:sz w:val="24"/>
          <w:szCs w:val="24"/>
          <w:rFonts w:ascii="Arial" w:cs="Arial" w:eastAsia="Arial" w:hAnsi="Arial"/>
        </w:rPr>
        <w:t xml:space="preserve">The Bayesian approach is not merely a technical alternative to frequentist methods — it represents a different philosophical stance on what probability means and how uncertainty should be quantified. Frequentist confidence intervals answer the question "in repeated sampling, what fraction of intervals constructed this way would contain the true parameter?" — a statement about the procedure, not the parameter. Bayesian credible intervals answer the more intuitive question "given the observed data and my prior beliefs, what is the probability that the parameter lies in this range?" — a direct probability statement about the parameter. For health economics decision-makers who must choose a course of action under uncertainty, the Bayesian framework provides a natural language for expressing what is known, what is uncertain, and how that uncertainty affects the decision.</w:t>
      </w:r>
    </w:p>
    <w:p>
      <w:pPr>
        <w:spacing w:after="120"/>
      </w:pPr>
      <w:r>
        <w:rPr>
          <w:sz w:val="24"/>
          <w:szCs w:val="24"/>
          <w:rFonts w:ascii="Arial" w:cs="Arial" w:eastAsia="Arial" w:hAnsi="Arial"/>
        </w:rPr>
        <w:t xml:space="preserve">This chapter provides a comprehensive treatment of Bayesian methods for graduate health economics researchers. We cover the mathematical foundations, computational methods (MCMC), Bayesian regression and hierarchical models, Bayesian cost-effectiveness analysis, network meta-analysis, spatial models, and empirical Bayes methods for provider profiling. The Julia implementation using Turing.jl is covered in Chapter 22.</w:t>
      </w:r>
    </w:p>
    <w:p>
      <w:pPr>
        <w:pStyle w:val="Heading2"/>
        <w:spacing w:before="300" w:after="150"/>
      </w:pPr>
      <w:r>
        <w:rPr>
          <w:b/>
          <w:bCs/>
          <w:sz w:val="30"/>
          <w:szCs w:val="30"/>
          <w:rFonts w:ascii="Arial" w:cs="Arial" w:eastAsia="Arial" w:hAnsi="Arial"/>
        </w:rPr>
        <w:t xml:space="preserve">Bayesian Foundations</w:t>
      </w:r>
    </w:p>
    <w:p>
      <w:pPr>
        <w:pStyle w:val="Heading3"/>
        <w:spacing w:before="200" w:after="100"/>
      </w:pPr>
      <w:r>
        <w:rPr>
          <w:b/>
          <w:bCs/>
          <w:sz w:val="26"/>
          <w:szCs w:val="26"/>
          <w:rFonts w:ascii="Arial" w:cs="Arial" w:eastAsia="Arial" w:hAnsi="Arial"/>
        </w:rPr>
        <w:t xml:space="preserve">Bayes' Theorem as Update Rule</w:t>
      </w:r>
    </w:p>
    <w:p>
      <w:pPr>
        <w:spacing w:after="120"/>
      </w:pPr>
      <w:r>
        <w:rPr>
          <w:sz w:val="24"/>
          <w:szCs w:val="24"/>
          <w:rFonts w:ascii="Arial" w:cs="Arial" w:eastAsia="Arial" w:hAnsi="Arial"/>
        </w:rPr>
        <w:t xml:space="preserve">The posterior distribution of parameter θ given observed data y is obtained by applying Bayes' theorem:</w:t>
      </w:r>
    </w:p>
    <w:p>
      <w:pPr>
        <w:spacing w:after="120"/>
      </w:pPr>
      <w:r>
        <w:rPr>
          <w:sz w:val="24"/>
          <w:szCs w:val="24"/>
          <w:rFonts w:ascii="Arial" w:cs="Arial" w:eastAsia="Arial" w:hAnsi="Arial"/>
        </w:rPr>
        <w:t xml:space="preserve">p(θ | y) = p(y | θ) × p(θ) / p(y) ∝ L(θ; y) × p(θ)</w:t>
      </w:r>
    </w:p>
    <w:p>
      <w:pPr>
        <w:spacing w:after="120"/>
      </w:pPr>
      <w:r>
        <w:rPr>
          <w:sz w:val="24"/>
          <w:szCs w:val="24"/>
          <w:rFonts w:ascii="Arial" w:cs="Arial" w:eastAsia="Arial" w:hAnsi="Arial"/>
        </w:rPr>
        <w:t xml:space="preserve">where p(y | θ) = L(θ; y) is the likelihood function (the probability of observing the data given the parameter values — identical to the likelihood function used in frequentist MLE), p(θ) is the prior distribution (encoding the analyst's beliefs about the parameter before observing the data), and p(y) = ∫ p(y | θ) p(θ) dθ is the marginal likelihood or evidence (a normalizing constant that ensures the posterior integrates to one).</w:t>
      </w:r>
    </w:p>
    <w:p>
      <w:pPr>
        <w:spacing w:after="120"/>
      </w:pPr>
      <w:r>
        <w:rPr>
          <w:sz w:val="24"/>
          <w:szCs w:val="24"/>
          <w:rFonts w:ascii="Arial" w:cs="Arial" w:eastAsia="Arial" w:hAnsi="Arial"/>
        </w:rPr>
        <w:t xml:space="preserve">The fundamental insight is that the posterior is proportional to the product of the likelihood and the prior: posterior ∝ likelihood × prior. The data (through the likelihood) update the prior beliefs to produce posterior beliefs. When the data are informative (large sample size, precise measurements), the likelihood dominates and the posterior is largely determined by the data regardless of the prior. When the data are sparse (small sample, noisy measurements), the prior exerts more influence on the posterior. This automatic weighting of data and prior information is one of the most attractive features of Bayesian analysis.</w:t>
      </w:r>
    </w:p>
    <w:p>
      <w:pPr>
        <w:pStyle w:val="Heading3"/>
        <w:spacing w:before="200" w:after="100"/>
      </w:pPr>
      <w:r>
        <w:rPr>
          <w:b/>
          <w:bCs/>
          <w:sz w:val="26"/>
          <w:szCs w:val="26"/>
          <w:rFonts w:ascii="Arial" w:cs="Arial" w:eastAsia="Arial" w:hAnsi="Arial"/>
        </w:rPr>
        <w:t xml:space="preserve">Prior Distributions</w:t>
      </w:r>
    </w:p>
    <w:p>
      <w:pPr>
        <w:spacing w:after="120"/>
      </w:pPr>
      <w:r>
        <w:rPr>
          <w:sz w:val="24"/>
          <w:szCs w:val="24"/>
          <w:rFonts w:ascii="Arial" w:cs="Arial" w:eastAsia="Arial" w:hAnsi="Arial"/>
        </w:rPr>
        <w:t xml:space="preserve">The choice of prior distribution is the most distinctive — and most controversial — element of Bayesian analysis. Priors range along a spectrum from informative to non-informative:</w:t>
      </w:r>
    </w:p>
    <w:p>
      <w:pPr>
        <w:spacing w:after="120"/>
      </w:pPr>
      <w:r>
        <w:rPr>
          <w:sz w:val="24"/>
          <w:szCs w:val="24"/>
          <w:rFonts w:ascii="Arial" w:cs="Arial" w:eastAsia="Arial" w:hAnsi="Arial"/>
        </w:rPr>
      </w:r>
      <w:r>
        <w:rPr>
          <w:b/>
          <w:bCs/>
          <w:sz w:val="24"/>
          <w:szCs w:val="24"/>
          <w:rFonts w:ascii="Arial" w:cs="Arial" w:eastAsia="Arial" w:hAnsi="Arial"/>
        </w:rPr>
        <w:t xml:space="preserve">Informative priors</w:t>
      </w:r>
      <w:r>
        <w:rPr>
          <w:sz w:val="24"/>
          <w:szCs w:val="24"/>
          <w:rFonts w:ascii="Arial" w:cs="Arial" w:eastAsia="Arial" w:hAnsi="Arial"/>
        </w:rPr>
        <w:t xml:space="preserve"> encode substantial prior knowledge. In health economics, informative priors might be derived from previous clinical trials (a prior for the treatment effect based on Phase II trial results when analyzing Phase III data), from expert elicitation (clinicians' beliefs about plausible ranges for disease transition probabilities), or from meta-analytic summaries (the pooled effect from a systematic review serving as a prior for a new study). Informative priors are particularly valuable when the current data are limited — for example, when estimating cost-effectiveness for a rare disease with small trial samples.</w:t>
      </w:r>
    </w:p>
    <w:p>
      <w:pPr>
        <w:spacing w:after="120"/>
      </w:pPr>
      <w:r>
        <w:rPr>
          <w:sz w:val="24"/>
          <w:szCs w:val="24"/>
          <w:rFonts w:ascii="Arial" w:cs="Arial" w:eastAsia="Arial" w:hAnsi="Arial"/>
        </w:rPr>
      </w:r>
      <w:r>
        <w:rPr>
          <w:b/>
          <w:bCs/>
          <w:sz w:val="24"/>
          <w:szCs w:val="24"/>
          <w:rFonts w:ascii="Arial" w:cs="Arial" w:eastAsia="Arial" w:hAnsi="Arial"/>
        </w:rPr>
        <w:t xml:space="preserve">Weakly informative priors</w:t>
      </w:r>
      <w:r>
        <w:rPr>
          <w:sz w:val="24"/>
          <w:szCs w:val="24"/>
          <w:rFonts w:ascii="Arial" w:cs="Arial" w:eastAsia="Arial" w:hAnsi="Arial"/>
        </w:rPr>
        <w:t xml:space="preserve"> constrain the parameter to a plausible range without providing strong information about specific values. A weakly informative prior for a treatment effect on log-odds scale might be Normal(0, 1.5), which places 95% probability on odds ratios between approximately 0.05 and 20 — a range that encompasses virtually all clinically plausible treatment effects while ruling out extreme values that might distort the posterior in small samples. Weakly informative priors are the default recommendation for most applied Bayesian analysis (Gelman et al., 2013).</w:t>
      </w:r>
    </w:p>
    <w:p>
      <w:pPr>
        <w:spacing w:after="120"/>
      </w:pPr>
      <w:r>
        <w:rPr>
          <w:sz w:val="24"/>
          <w:szCs w:val="24"/>
          <w:rFonts w:ascii="Arial" w:cs="Arial" w:eastAsia="Arial" w:hAnsi="Arial"/>
        </w:rPr>
      </w:r>
      <w:r>
        <w:rPr>
          <w:b/>
          <w:bCs/>
          <w:sz w:val="24"/>
          <w:szCs w:val="24"/>
          <w:rFonts w:ascii="Arial" w:cs="Arial" w:eastAsia="Arial" w:hAnsi="Arial"/>
        </w:rPr>
        <w:t xml:space="preserve">Non-informative (diffuse) priors</w:t>
      </w:r>
      <w:r>
        <w:rPr>
          <w:sz w:val="24"/>
          <w:szCs w:val="24"/>
          <w:rFonts w:ascii="Arial" w:cs="Arial" w:eastAsia="Arial" w:hAnsi="Arial"/>
        </w:rPr>
        <w:t xml:space="preserve"> attempt to let the data speak entirely, exerting minimal influence on the posterior. Flat priors (uniform over the parameter space) and Jeffreys priors (derived from the Fisher information matrix to achieve invariance under reparameterization) are common non-informative choices. However, truly non-informative priors can be problematic: flat priors on unbounded parameter spaces are improper (they do not integrate to a finite value), and the resulting posterior may also be improper in some models. Non-informative priors are best viewed as a limiting case rather than a practical default.</w:t>
      </w:r>
    </w:p>
    <w:p>
      <w:pPr>
        <w:spacing w:after="120"/>
      </w:pPr>
      <w:r>
        <w:rPr>
          <w:sz w:val="24"/>
          <w:szCs w:val="24"/>
          <w:rFonts w:ascii="Arial" w:cs="Arial" w:eastAsia="Arial" w:hAnsi="Arial"/>
        </w:rPr>
      </w:r>
      <w:r>
        <w:rPr>
          <w:b/>
          <w:bCs/>
          <w:sz w:val="24"/>
          <w:szCs w:val="24"/>
          <w:rFonts w:ascii="Arial" w:cs="Arial" w:eastAsia="Arial" w:hAnsi="Arial"/>
        </w:rPr>
        <w:t xml:space="preserve">Conjugate priors</w:t>
      </w:r>
      <w:r>
        <w:rPr>
          <w:sz w:val="24"/>
          <w:szCs w:val="24"/>
          <w:rFonts w:ascii="Arial" w:cs="Arial" w:eastAsia="Arial" w:hAnsi="Arial"/>
        </w:rPr>
        <w:t xml:space="preserve"> yield closed-form posteriors when paired with specific likelihood functions, eliminating the need for numerical computation. Key conjugate pairs include: Beta prior for Binomial likelihood (posterior is Beta), Normal prior for Normal likelihood (posterior is Normal), Gamma prior for Poisson likelihood (posterior is Gamma), and Dirichlet prior for Multinomial likelihood (posterior is Dirichlet). While modern MCMC methods have largely eliminated the computational motivation for conjugate priors, they remain useful for understanding Bayesian updating mechanics and for fast approximate calculations.</w:t>
      </w:r>
    </w:p>
    <w:p>
      <w:pPr>
        <w:pStyle w:val="Heading3"/>
        <w:spacing w:before="200" w:after="100"/>
      </w:pPr>
      <w:r>
        <w:rPr>
          <w:b/>
          <w:bCs/>
          <w:sz w:val="26"/>
          <w:szCs w:val="26"/>
          <w:rFonts w:ascii="Arial" w:cs="Arial" w:eastAsia="Arial" w:hAnsi="Arial"/>
        </w:rPr>
        <w:t xml:space="preserve">Prior Sensitivity Analysis</w:t>
      </w:r>
    </w:p>
    <w:p>
      <w:pPr>
        <w:spacing w:after="120"/>
      </w:pPr>
      <w:r>
        <w:rPr>
          <w:sz w:val="24"/>
          <w:szCs w:val="24"/>
          <w:rFonts w:ascii="Arial" w:cs="Arial" w:eastAsia="Arial" w:hAnsi="Arial"/>
        </w:rPr>
        <w:t xml:space="preserve">Because the prior influences the posterior, responsible Bayesian analysis requires prior sensitivity analysis — examining how the posterior changes under alternative plausible prior specifications. If the posterior is robust to a range of reasonable priors (prior-data conflict is low), the analysis is credible. If the posterior is highly sensitive to the prior choice, the data are insufficiently informative to overcome prior uncertainty, and the analysis should acknowledge this limitation explicitly.</w:t>
      </w:r>
    </w:p>
    <w:p>
      <w:pPr>
        <w:pStyle w:val="Heading2"/>
        <w:spacing w:before="300" w:after="150"/>
      </w:pPr>
      <w:r>
        <w:rPr>
          <w:b/>
          <w:bCs/>
          <w:sz w:val="30"/>
          <w:szCs w:val="30"/>
          <w:rFonts w:ascii="Arial" w:cs="Arial" w:eastAsia="Arial" w:hAnsi="Arial"/>
        </w:rPr>
        <w:t xml:space="preserve">Bayesian Computation: Markov Chain Monte Carlo</w:t>
      </w:r>
    </w:p>
    <w:p>
      <w:pPr>
        <w:pStyle w:val="Heading3"/>
        <w:spacing w:before="200" w:after="100"/>
      </w:pPr>
      <w:r>
        <w:rPr>
          <w:b/>
          <w:bCs/>
          <w:sz w:val="26"/>
          <w:szCs w:val="26"/>
          <w:rFonts w:ascii="Arial" w:cs="Arial" w:eastAsia="Arial" w:hAnsi="Arial"/>
        </w:rPr>
        <w:t xml:space="preserve">The Computational Challenge</w:t>
      </w:r>
    </w:p>
    <w:p>
      <w:pPr>
        <w:spacing w:after="120"/>
      </w:pPr>
      <w:r>
        <w:rPr>
          <w:sz w:val="24"/>
          <w:szCs w:val="24"/>
          <w:rFonts w:ascii="Arial" w:cs="Arial" w:eastAsia="Arial" w:hAnsi="Arial"/>
        </w:rPr>
        <w:t xml:space="preserve">For most realistic models, the posterior distribution p(θ | y) cannot be computed analytically because the normalizing constant p(y) = ∫ p(y | θ) p(θ) dθ involves a high-dimensional integral that has no closed-form solution. Markov chain Monte Carlo (MCMC) algorithms solve this problem by generating a sequence of parameter draws from a Markov chain whose stationary distribution is the target posterior, enabling Monte Carlo approximation of any posterior quantity (means, variances, quantiles, probabilities) from the sampled draws.</w:t>
      </w:r>
    </w:p>
    <w:p>
      <w:pPr>
        <w:pStyle w:val="Heading3"/>
        <w:spacing w:before="200" w:after="100"/>
      </w:pPr>
      <w:r>
        <w:rPr>
          <w:b/>
          <w:bCs/>
          <w:sz w:val="26"/>
          <w:szCs w:val="26"/>
          <w:rFonts w:ascii="Arial" w:cs="Arial" w:eastAsia="Arial" w:hAnsi="Arial"/>
        </w:rPr>
        <w:t xml:space="preserve">Gibbs Sampling</w:t>
      </w:r>
    </w:p>
    <w:p>
      <w:pPr>
        <w:spacing w:after="120"/>
      </w:pPr>
      <w:r>
        <w:rPr>
          <w:sz w:val="24"/>
          <w:szCs w:val="24"/>
          <w:rFonts w:ascii="Arial" w:cs="Arial" w:eastAsia="Arial" w:hAnsi="Arial"/>
        </w:rPr>
        <w:t xml:space="preserve">Gibbs sampling generates posterior draws by iteratively sampling each parameter from its full conditional distribution — the distribution of one parameter given the current values of all other parameters and the data. Starting from initial values θ⁽⁰⁾ = (θ₁⁽⁰⁾, ..., θₚ⁽⁰⁾), each iteration t draws:</w:t>
      </w:r>
    </w:p>
    <w:p>
      <w:pPr>
        <w:spacing w:after="120"/>
      </w:pPr>
      <w:r>
        <w:rPr>
          <w:sz w:val="24"/>
          <w:szCs w:val="24"/>
          <w:rFonts w:ascii="Arial" w:cs="Arial" w:eastAsia="Arial" w:hAnsi="Arial"/>
        </w:rPr>
        <w:t xml:space="preserve">θ₁⁽ᵗ⁾ ~ p(θ₁ | θ₂⁽ᵗ⁻¹⁾, ..., θₚ⁽ᵗ⁻¹⁾, y)</w:t>
      </w:r>
    </w:p>
    <w:p>
      <w:pPr>
        <w:spacing w:after="120"/>
      </w:pPr>
      <w:r>
        <w:rPr>
          <w:sz w:val="24"/>
          <w:szCs w:val="24"/>
          <w:rFonts w:ascii="Arial" w:cs="Arial" w:eastAsia="Arial" w:hAnsi="Arial"/>
        </w:rPr>
        <w:t xml:space="preserve">θ₂⁽ᵗ⁾ ~ p(θ₂ | θ₁⁽ᵗ⁾, θ₃⁽ᵗ⁻¹⁾, ..., θₚ⁽ᵗ⁻¹⁾, y)</w:t>
      </w:r>
    </w:p>
    <w:p>
      <w:pPr>
        <w:spacing w:after="120"/>
      </w:pPr>
      <w:r>
        <w:rPr>
          <w:sz w:val="24"/>
          <w:szCs w:val="24"/>
          <w:rFonts w:ascii="Arial" w:cs="Arial" w:eastAsia="Arial" w:hAnsi="Arial"/>
        </w:rPr>
        <w:t xml:space="preserve">...</w:t>
      </w:r>
    </w:p>
    <w:p>
      <w:pPr>
        <w:spacing w:after="120"/>
      </w:pPr>
      <w:r>
        <w:rPr>
          <w:sz w:val="24"/>
          <w:szCs w:val="24"/>
          <w:rFonts w:ascii="Arial" w:cs="Arial" w:eastAsia="Arial" w:hAnsi="Arial"/>
        </w:rPr>
        <w:t xml:space="preserve">θₚ⁽ᵗ⁾ ~ p(θₚ | θ₁⁽ᵗ⁾, ..., θₚ₋₁⁽ᵗ⁾, y)</w:t>
      </w:r>
    </w:p>
    <w:p>
      <w:pPr>
        <w:spacing w:after="120"/>
      </w:pPr>
      <w:r>
        <w:rPr>
          <w:sz w:val="24"/>
          <w:szCs w:val="24"/>
          <w:rFonts w:ascii="Arial" w:cs="Arial" w:eastAsia="Arial" w:hAnsi="Arial"/>
        </w:rPr>
        <w:t xml:space="preserve">When the full conditional distributions are available in closed form (as in many conjugate hierarchical models), Gibbs sampling is efficient and straightforward. When full conditionals are not available analytically, Metropolis-within-Gibbs steps can be used.</w:t>
      </w:r>
    </w:p>
    <w:p>
      <w:pPr>
        <w:pStyle w:val="Heading3"/>
        <w:spacing w:before="200" w:after="100"/>
      </w:pPr>
      <w:r>
        <w:rPr>
          <w:b/>
          <w:bCs/>
          <w:sz w:val="26"/>
          <w:szCs w:val="26"/>
          <w:rFonts w:ascii="Arial" w:cs="Arial" w:eastAsia="Arial" w:hAnsi="Arial"/>
        </w:rPr>
        <w:t xml:space="preserve">Metropolis-Hastings Algorithm</w:t>
      </w:r>
    </w:p>
    <w:p>
      <w:pPr>
        <w:spacing w:after="120"/>
      </w:pPr>
      <w:r>
        <w:rPr>
          <w:sz w:val="24"/>
          <w:szCs w:val="24"/>
          <w:rFonts w:ascii="Arial" w:cs="Arial" w:eastAsia="Arial" w:hAnsi="Arial"/>
        </w:rPr>
        <w:t xml:space="preserve">The Metropolis-Hastings algorithm is more general than Gibbs sampling, requiring only the ability to evaluate the (unnormalized) posterior density at any point. At each iteration, the algorithm proposes a candidate θ</w:t>
      </w:r>
      <w:r>
        <w:rPr>
          <w:i/>
          <w:iCs/>
          <w:sz w:val="24"/>
          <w:szCs w:val="24"/>
          <w:rFonts w:ascii="Arial" w:cs="Arial" w:eastAsia="Arial" w:hAnsi="Arial"/>
        </w:rPr>
        <w:t xml:space="preserve"> from a proposal distribution q(θ</w:t>
      </w:r>
      <w:r>
        <w:rPr>
          <w:sz w:val="24"/>
          <w:szCs w:val="24"/>
          <w:rFonts w:ascii="Arial" w:cs="Arial" w:eastAsia="Arial" w:hAnsi="Arial"/>
        </w:rPr>
        <w:t xml:space="preserve"> | θ⁽ᵗ⁻¹⁾) and accepts or rejects based on the acceptance probability:</w:t>
      </w:r>
    </w:p>
    <w:p>
      <w:pPr>
        <w:spacing w:after="120"/>
      </w:pPr>
      <w:r>
        <w:rPr>
          <w:sz w:val="24"/>
          <w:szCs w:val="24"/>
          <w:rFonts w:ascii="Arial" w:cs="Arial" w:eastAsia="Arial" w:hAnsi="Arial"/>
        </w:rPr>
        <w:t xml:space="preserve">α = min(1, [p(θ</w:t>
      </w:r>
      <w:r>
        <w:rPr>
          <w:i/>
          <w:iCs/>
          <w:sz w:val="24"/>
          <w:szCs w:val="24"/>
          <w:rFonts w:ascii="Arial" w:cs="Arial" w:eastAsia="Arial" w:hAnsi="Arial"/>
        </w:rPr>
        <w:t xml:space="preserve"> | y) × q(θ⁽ᵗ⁻¹⁾ | θ</w:t>
      </w:r>
      <w:r>
        <w:rPr>
          <w:sz w:val="24"/>
          <w:szCs w:val="24"/>
          <w:rFonts w:ascii="Arial" w:cs="Arial" w:eastAsia="Arial" w:hAnsi="Arial"/>
        </w:rPr>
        <w:t xml:space="preserve">)] / [p(θ⁽ᵗ⁻¹⁾ | y) × q(θ* | θ⁽ᵗ⁻¹⁾)])</w:t>
      </w:r>
    </w:p>
    <w:p>
      <w:pPr>
        <w:spacing w:after="120"/>
      </w:pPr>
      <w:r>
        <w:rPr>
          <w:sz w:val="24"/>
          <w:szCs w:val="24"/>
          <w:rFonts w:ascii="Arial" w:cs="Arial" w:eastAsia="Arial" w:hAnsi="Arial"/>
        </w:rPr>
        <w:t xml:space="preserve">Note that the normalizing constant p(y) cancels in the ratio, so only the unnormalized posterior is needed. The random walk Metropolis uses a symmetric proposal centered at the current value (e.g., θ* ~ N(θ⁽ᵗ⁻¹⁾, Σ)), simplifying the acceptance ratio to:</w:t>
      </w:r>
    </w:p>
    <w:p>
      <w:pPr>
        <w:spacing w:after="120"/>
      </w:pPr>
      <w:r>
        <w:rPr>
          <w:sz w:val="24"/>
          <w:szCs w:val="24"/>
          <w:rFonts w:ascii="Arial" w:cs="Arial" w:eastAsia="Arial" w:hAnsi="Arial"/>
        </w:rPr>
        <w:t xml:space="preserve">α = min(1, p(θ* | y) / p(θ⁽ᵗ⁻¹⁾ | y))</w:t>
      </w:r>
    </w:p>
    <w:p>
      <w:pPr>
        <w:spacing w:after="120"/>
      </w:pPr>
      <w:r>
        <w:rPr>
          <w:sz w:val="24"/>
          <w:szCs w:val="24"/>
          <w:rFonts w:ascii="Arial" w:cs="Arial" w:eastAsia="Arial" w:hAnsi="Arial"/>
        </w:rPr>
        <w:t xml:space="preserve">The proposal variance Σ must be tuned for efficient exploration: too small and the chain takes tiny steps, exploring the posterior slowly; too large and most proposals are rejected. Optimal acceptance rates are approximately 23% for high-dimensional targets and 44% for one-dimensional targets.</w:t>
      </w:r>
    </w:p>
    <w:p>
      <w:pPr>
        <w:pStyle w:val="Heading3"/>
        <w:spacing w:before="200" w:after="100"/>
      </w:pPr>
      <w:r>
        <w:rPr>
          <w:b/>
          <w:bCs/>
          <w:sz w:val="26"/>
          <w:szCs w:val="26"/>
          <w:rFonts w:ascii="Arial" w:cs="Arial" w:eastAsia="Arial" w:hAnsi="Arial"/>
        </w:rPr>
        <w:t xml:space="preserve">Hamiltonian Monte Carlo and NUTS</w:t>
      </w:r>
    </w:p>
    <w:p>
      <w:pPr>
        <w:spacing w:after="120"/>
      </w:pPr>
      <w:r>
        <w:rPr>
          <w:sz w:val="24"/>
          <w:szCs w:val="24"/>
          <w:rFonts w:ascii="Arial" w:cs="Arial" w:eastAsia="Arial" w:hAnsi="Arial"/>
        </w:rPr>
        <w:t xml:space="preserve">Hamiltonian Monte Carlo (HMC) uses gradient information from the posterior to propose moves that follow the contours of the posterior surface, avoiding the random walk behavior that makes Metropolis-Hastings slow in high-dimensional parameter spaces. HMC introduces auxiliary "momentum" variables and simulates Hamiltonian dynamics to generate proposals that can move far from the current point while maintaining high acceptance probability.</w:t>
      </w:r>
    </w:p>
    <w:p>
      <w:pPr>
        <w:spacing w:after="120"/>
      </w:pPr>
      <w:r>
        <w:rPr>
          <w:sz w:val="24"/>
          <w:szCs w:val="24"/>
          <w:rFonts w:ascii="Arial" w:cs="Arial" w:eastAsia="Arial" w:hAnsi="Arial"/>
        </w:rPr>
        <w:t xml:space="preserve">The No-U-Turn Sampler (NUTS), developed by Hoffman and Gelman (2014), adapts HMC's trajectory length automatically — running the Hamiltonian simulation until the trajectory begins to turn back on itself (a "U-turn"), indicating that further simulation would not explore new regions of the posterior. NUTS eliminates the need to tune the trajectory length, which is the most difficult HMC tuning parameter. NUTS is the default sampler in modern probabilistic programming frameworks including Turing.jl (Julia), Stan, and PyMC, and is the recommended choice for most applied Bayesian analyses.</w:t>
      </w:r>
    </w:p>
    <w:p>
      <w:pPr>
        <w:pStyle w:val="Heading3"/>
        <w:spacing w:before="200" w:after="100"/>
      </w:pPr>
      <w:r>
        <w:rPr>
          <w:b/>
          <w:bCs/>
          <w:sz w:val="26"/>
          <w:szCs w:val="26"/>
          <w:rFonts w:ascii="Arial" w:cs="Arial" w:eastAsia="Arial" w:hAnsi="Arial"/>
        </w:rPr>
        <w:t xml:space="preserve">Convergence Diagnostics</w:t>
      </w:r>
    </w:p>
    <w:p>
      <w:pPr>
        <w:spacing w:after="120"/>
      </w:pPr>
      <w:r>
        <w:rPr>
          <w:sz w:val="24"/>
          <w:szCs w:val="24"/>
          <w:rFonts w:ascii="Arial" w:cs="Arial" w:eastAsia="Arial" w:hAnsi="Arial"/>
        </w:rPr>
        <w:t xml:space="preserve">MCMC convergence — the point at which the chain has "forgotten" its initial values and is sampling from the stationary (posterior) distribution — must be assessed before interpreting results. Standard diagnostics include:</w:t>
      </w:r>
    </w:p>
    <w:p>
      <w:pPr>
        <w:spacing w:after="120"/>
      </w:pPr>
      <w:r>
        <w:rPr>
          <w:sz w:val="24"/>
          <w:szCs w:val="24"/>
          <w:rFonts w:ascii="Arial" w:cs="Arial" w:eastAsia="Arial" w:hAnsi="Arial"/>
        </w:rPr>
      </w:r>
      <w:r>
        <w:rPr>
          <w:b/>
          <w:bCs/>
          <w:sz w:val="24"/>
          <w:szCs w:val="24"/>
          <w:rFonts w:ascii="Arial" w:cs="Arial" w:eastAsia="Arial" w:hAnsi="Arial"/>
        </w:rPr>
        <w:t xml:space="preserve">R̂ (potential scale reduction factor).</w:t>
      </w:r>
      <w:r>
        <w:rPr>
          <w:sz w:val="24"/>
          <w:szCs w:val="24"/>
          <w:rFonts w:ascii="Arial" w:cs="Arial" w:eastAsia="Arial" w:hAnsi="Arial"/>
        </w:rPr>
        <w:t xml:space="preserve"> R̂ compares the between-chain variance to the within-chain variance across multiple chains started from dispersed initial values. Values near 1.0 indicate convergence; values above 1.05 suggest that the chains have not mixed adequately and more iterations are needed. R̂ should be computed for every parameter.</w:t>
      </w:r>
    </w:p>
    <w:p>
      <w:pPr>
        <w:spacing w:after="120"/>
      </w:pPr>
      <w:r>
        <w:rPr>
          <w:sz w:val="24"/>
          <w:szCs w:val="24"/>
          <w:rFonts w:ascii="Arial" w:cs="Arial" w:eastAsia="Arial" w:hAnsi="Arial"/>
        </w:rPr>
      </w:r>
      <w:r>
        <w:rPr>
          <w:b/>
          <w:bCs/>
          <w:sz w:val="24"/>
          <w:szCs w:val="24"/>
          <w:rFonts w:ascii="Arial" w:cs="Arial" w:eastAsia="Arial" w:hAnsi="Arial"/>
        </w:rPr>
        <w:t xml:space="preserve">Effective sample size (ESS).</w:t>
      </w:r>
      <w:r>
        <w:rPr>
          <w:sz w:val="24"/>
          <w:szCs w:val="24"/>
          <w:rFonts w:ascii="Arial" w:cs="Arial" w:eastAsia="Arial" w:hAnsi="Arial"/>
        </w:rPr>
        <w:t xml:space="preserve"> Because MCMC draws are autocorrelated (each draw is correlated with the previous draw), the effective number of independent draws is less than the total number of MCMC iterations. ESS estimates the equivalent number of independent draws: ESS = N / (1 + 2Σₖ ρₖ), where ρₖ is the autocorrelation at lag k. ESS should be at least 400 for reliable posterior summaries (Vehtari et al., 2021) and at least 1,000 for tail probabilities.</w:t>
      </w:r>
    </w:p>
    <w:p>
      <w:pPr>
        <w:spacing w:after="120"/>
      </w:pPr>
      <w:r>
        <w:rPr>
          <w:sz w:val="24"/>
          <w:szCs w:val="24"/>
          <w:rFonts w:ascii="Arial" w:cs="Arial" w:eastAsia="Arial" w:hAnsi="Arial"/>
        </w:rPr>
      </w:r>
      <w:r>
        <w:rPr>
          <w:b/>
          <w:bCs/>
          <w:sz w:val="24"/>
          <w:szCs w:val="24"/>
          <w:rFonts w:ascii="Arial" w:cs="Arial" w:eastAsia="Arial" w:hAnsi="Arial"/>
        </w:rPr>
        <w:t xml:space="preserve">Trace plots.</w:t>
      </w:r>
      <w:r>
        <w:rPr>
          <w:sz w:val="24"/>
          <w:szCs w:val="24"/>
          <w:rFonts w:ascii="Arial" w:cs="Arial" w:eastAsia="Arial" w:hAnsi="Arial"/>
        </w:rPr>
        <w:t xml:space="preserve"> Visual inspection of the parameter value at each iteration should show a "hairy caterpillar" pattern — the chain fluctuates around a stable mean without trends, jumps, or long periods of stationarity. Trace plots are the most intuitive diagnostic but are subjective.</w:t>
      </w:r>
    </w:p>
    <w:p>
      <w:pPr>
        <w:spacing w:after="120"/>
      </w:pPr>
      <w:r>
        <w:rPr>
          <w:sz w:val="24"/>
          <w:szCs w:val="24"/>
          <w:rFonts w:ascii="Arial" w:cs="Arial" w:eastAsia="Arial" w:hAnsi="Arial"/>
        </w:rPr>
      </w:r>
      <w:r>
        <w:rPr>
          <w:b/>
          <w:bCs/>
          <w:sz w:val="24"/>
          <w:szCs w:val="24"/>
          <w:rFonts w:ascii="Arial" w:cs="Arial" w:eastAsia="Arial" w:hAnsi="Arial"/>
        </w:rPr>
        <w:t xml:space="preserve">Autocorrelation plots.</w:t>
      </w:r>
      <w:r>
        <w:rPr>
          <w:sz w:val="24"/>
          <w:szCs w:val="24"/>
          <w:rFonts w:ascii="Arial" w:cs="Arial" w:eastAsia="Arial" w:hAnsi="Arial"/>
        </w:rPr>
        <w:t xml:space="preserve"> High autocorrelation at large lags indicates slow mixing. If autocorrelation remains substantial at lags of 50 or more, the sampler is inefficient and should be reparameterized or replaced with a more efficient algorithm (e.g., switching from Gibbs to NUTS).</w:t>
      </w:r>
    </w:p>
    <w:p>
      <w:pPr>
        <w:pStyle w:val="Heading2"/>
        <w:spacing w:before="300" w:after="150"/>
      </w:pPr>
      <w:r>
        <w:rPr>
          <w:b/>
          <w:bCs/>
          <w:sz w:val="30"/>
          <w:szCs w:val="30"/>
          <w:rFonts w:ascii="Arial" w:cs="Arial" w:eastAsia="Arial" w:hAnsi="Arial"/>
        </w:rPr>
        <w:t xml:space="preserve">Bayesian Hierarchical Models for Healthcare</w:t>
      </w:r>
    </w:p>
    <w:p>
      <w:pPr>
        <w:pStyle w:val="Heading3"/>
        <w:spacing w:before="200" w:after="100"/>
      </w:pPr>
      <w:r>
        <w:rPr>
          <w:b/>
          <w:bCs/>
          <w:sz w:val="26"/>
          <w:szCs w:val="26"/>
          <w:rFonts w:ascii="Arial" w:cs="Arial" w:eastAsia="Arial" w:hAnsi="Arial"/>
        </w:rPr>
        <w:t xml:space="preserve">Hospital Quality Profiling with Shrinkage</w:t>
      </w:r>
    </w:p>
    <w:p>
      <w:pPr>
        <w:spacing w:after="120"/>
      </w:pPr>
      <w:r>
        <w:rPr>
          <w:sz w:val="24"/>
          <w:szCs w:val="24"/>
          <w:rFonts w:ascii="Arial" w:cs="Arial" w:eastAsia="Arial" w:hAnsi="Arial"/>
        </w:rPr>
        <w:t xml:space="preserve">Hierarchical Bayesian models are the standard approach for provider quality measurement because they produce shrinkage estimates — estimates that are pulled ("shrunk") toward the overall mean in proportion to the uncertainty of the individual provider's estimate. This shrinkage is desirable because it prevents unreliable extreme estimates for small-volume providers, producing more stable and accurate rankings.</w:t>
      </w:r>
    </w:p>
    <w:p>
      <w:pPr>
        <w:spacing w:after="120"/>
      </w:pPr>
      <w:r>
        <w:rPr>
          <w:sz w:val="24"/>
          <w:szCs w:val="24"/>
          <w:rFonts w:ascii="Arial" w:cs="Arial" w:eastAsia="Arial" w:hAnsi="Arial"/>
        </w:rPr>
        <w:t xml:space="preserve">The hierarchical model for hospital mortality profiling specifies:</w:t>
      </w:r>
    </w:p>
    <w:p>
      <w:pPr>
        <w:spacing w:after="120"/>
      </w:pPr>
      <w:r>
        <w:rPr>
          <w:sz w:val="24"/>
          <w:szCs w:val="24"/>
          <w:rFonts w:ascii="Arial" w:cs="Arial" w:eastAsia="Arial" w:hAnsi="Arial"/>
        </w:rPr>
      </w:r>
      <w:r>
        <w:rPr>
          <w:b/>
          <w:bCs/>
          <w:sz w:val="24"/>
          <w:szCs w:val="24"/>
          <w:rFonts w:ascii="Arial" w:cs="Arial" w:eastAsia="Arial" w:hAnsi="Arial"/>
        </w:rPr>
        <w:t xml:space="preserve">Data level:</w:t>
      </w:r>
      <w:r>
        <w:rPr>
          <w:sz w:val="24"/>
          <w:szCs w:val="24"/>
          <w:rFonts w:ascii="Arial" w:cs="Arial" w:eastAsia="Arial" w:hAnsi="Arial"/>
        </w:rPr>
        <w:t xml:space="preserve"> yᵢⱼ | θⱼ ~ Bernoulli(θⱼ) for patient i in hospital j</w:t>
      </w:r>
    </w:p>
    <w:p>
      <w:pPr>
        <w:spacing w:after="120"/>
      </w:pPr>
      <w:r>
        <w:rPr>
          <w:sz w:val="24"/>
          <w:szCs w:val="24"/>
          <w:rFonts w:ascii="Arial" w:cs="Arial" w:eastAsia="Arial" w:hAnsi="Arial"/>
        </w:rPr>
      </w:r>
      <w:r>
        <w:rPr>
          <w:b/>
          <w:bCs/>
          <w:sz w:val="24"/>
          <w:szCs w:val="24"/>
          <w:rFonts w:ascii="Arial" w:cs="Arial" w:eastAsia="Arial" w:hAnsi="Arial"/>
        </w:rPr>
        <w:t xml:space="preserve">Hospital level:</w:t>
      </w:r>
      <w:r>
        <w:rPr>
          <w:sz w:val="24"/>
          <w:szCs w:val="24"/>
          <w:rFonts w:ascii="Arial" w:cs="Arial" w:eastAsia="Arial" w:hAnsi="Arial"/>
        </w:rPr>
        <w:t xml:space="preserve"> logit(θⱼ) = X'ᵢβ + αⱼ (risk-adjusted hospital effect)</w:t>
      </w:r>
    </w:p>
    <w:p>
      <w:pPr>
        <w:spacing w:after="120"/>
      </w:pPr>
      <w:r>
        <w:rPr>
          <w:sz w:val="24"/>
          <w:szCs w:val="24"/>
          <w:rFonts w:ascii="Arial" w:cs="Arial" w:eastAsia="Arial" w:hAnsi="Arial"/>
        </w:rPr>
      </w:r>
      <w:r>
        <w:rPr>
          <w:b/>
          <w:bCs/>
          <w:sz w:val="24"/>
          <w:szCs w:val="24"/>
          <w:rFonts w:ascii="Arial" w:cs="Arial" w:eastAsia="Arial" w:hAnsi="Arial"/>
        </w:rPr>
        <w:t xml:space="preserve">Population level:</w:t>
      </w:r>
      <w:r>
        <w:rPr>
          <w:sz w:val="24"/>
          <w:szCs w:val="24"/>
          <w:rFonts w:ascii="Arial" w:cs="Arial" w:eastAsia="Arial" w:hAnsi="Arial"/>
        </w:rPr>
        <w:t xml:space="preserve"> αⱼ ~ N(0, τ²) (hospital effects drawn from normal population)</w:t>
      </w:r>
    </w:p>
    <w:p>
      <w:pPr>
        <w:spacing w:after="120"/>
      </w:pPr>
      <w:r>
        <w:rPr>
          <w:sz w:val="24"/>
          <w:szCs w:val="24"/>
          <w:rFonts w:ascii="Arial" w:cs="Arial" w:eastAsia="Arial" w:hAnsi="Arial"/>
        </w:rPr>
      </w:r>
      <w:r>
        <w:rPr>
          <w:b/>
          <w:bCs/>
          <w:sz w:val="24"/>
          <w:szCs w:val="24"/>
          <w:rFonts w:ascii="Arial" w:cs="Arial" w:eastAsia="Arial" w:hAnsi="Arial"/>
        </w:rPr>
        <w:t xml:space="preserve">Hyperprior:</w:t>
      </w:r>
      <w:r>
        <w:rPr>
          <w:sz w:val="24"/>
          <w:szCs w:val="24"/>
          <w:rFonts w:ascii="Arial" w:cs="Arial" w:eastAsia="Arial" w:hAnsi="Arial"/>
        </w:rPr>
        <w:t xml:space="preserve"> τ ~ Half-Cauchy(0, 1) (prior on between-hospital SD)</w:t>
      </w:r>
    </w:p>
    <w:p>
      <w:pPr>
        <w:spacing w:after="120"/>
      </w:pPr>
      <w:r>
        <w:rPr>
          <w:sz w:val="24"/>
          <w:szCs w:val="24"/>
          <w:rFonts w:ascii="Arial" w:cs="Arial" w:eastAsia="Arial" w:hAnsi="Arial"/>
        </w:rPr>
      </w:r>
      <w:r>
        <w:rPr>
          <w:b/>
          <w:bCs/>
          <w:sz w:val="24"/>
          <w:szCs w:val="24"/>
          <w:rFonts w:ascii="Arial" w:cs="Arial" w:eastAsia="Arial" w:hAnsi="Arial"/>
        </w:rPr>
        <w:t xml:space="preserve">Coefficient priors:</w:t>
      </w:r>
      <w:r>
        <w:rPr>
          <w:sz w:val="24"/>
          <w:szCs w:val="24"/>
          <w:rFonts w:ascii="Arial" w:cs="Arial" w:eastAsia="Arial" w:hAnsi="Arial"/>
        </w:rPr>
        <w:t xml:space="preserve"> β ~ N(0, 10²I)</w:t>
      </w:r>
    </w:p>
    <w:p>
      <w:pPr>
        <w:spacing w:after="120"/>
      </w:pPr>
      <w:r>
        <w:rPr>
          <w:sz w:val="24"/>
          <w:szCs w:val="24"/>
          <w:rFonts w:ascii="Arial" w:cs="Arial" w:eastAsia="Arial" w:hAnsi="Arial"/>
        </w:rPr>
        <w:t xml:space="preserve">The hierarchical prior on αⱼ induces shrinkage. The posterior mean of αⱼ is approximately:</w:t>
      </w:r>
    </w:p>
    <w:p>
      <w:pPr>
        <w:spacing w:after="120"/>
      </w:pPr>
      <w:r>
        <w:rPr>
          <w:sz w:val="24"/>
          <w:szCs w:val="24"/>
          <w:rFonts w:ascii="Arial" w:cs="Arial" w:eastAsia="Arial" w:hAnsi="Arial"/>
        </w:rPr>
        <w:t xml:space="preserve">E[αⱼ | y] ≈ wⱼ × α̂ⱼᴹᴸᴱ + (1 - wⱼ) × 0</w:t>
      </w:r>
    </w:p>
    <w:p>
      <w:pPr>
        <w:spacing w:after="120"/>
      </w:pPr>
      <w:r>
        <w:rPr>
          <w:sz w:val="24"/>
          <w:szCs w:val="24"/>
          <w:rFonts w:ascii="Arial" w:cs="Arial" w:eastAsia="Arial" w:hAnsi="Arial"/>
        </w:rPr>
        <w:t xml:space="preserve">where wⱼ = nⱼτ̂² / (nⱼτ̂² + σ̂²) is the reliability weight, nⱼ is the hospital's patient volume, α̂ⱼᴹᴸᴱ is the maximum likelihood estimate of the hospital effect, and σ̂² is the within-hospital variance. Small hospitals (small nⱼ) receive more shrinkage (wⱼ closer to 0, posterior closer to the grand mean); large hospitals (large nⱼ) receive less shrinkage (wⱼ closer to 1, posterior closer to the MLE).</w:t>
      </w:r>
    </w:p>
    <w:p>
      <w:pPr>
        <w:spacing w:after="120"/>
      </w:pPr>
      <w:r>
        <w:rPr>
          <w:sz w:val="24"/>
          <w:szCs w:val="24"/>
          <w:rFonts w:ascii="Arial" w:cs="Arial" w:eastAsia="Arial" w:hAnsi="Arial"/>
        </w:rPr>
        <w:t xml:space="preserve">This shrinkage mechanism is the statistical foundation of CMS's hospital quality profiling and star rating methodology. It explains why small rural hospitals tend to cluster near 3 stars (the middle of the distribution) — their small volumes produce unreliable estimates that are heavily shrunk toward the mean.</w:t>
      </w:r>
    </w:p>
    <w:p>
      <w:pPr>
        <w:pStyle w:val="Heading2"/>
        <w:spacing w:before="300" w:after="150"/>
      </w:pPr>
      <w:r>
        <w:rPr>
          <w:b/>
          <w:bCs/>
          <w:sz w:val="30"/>
          <w:szCs w:val="30"/>
          <w:rFonts w:ascii="Arial" w:cs="Arial" w:eastAsia="Arial" w:hAnsi="Arial"/>
        </w:rPr>
        <w:t xml:space="preserve">Bayesian Cost-Effectiveness Analysis</w:t>
      </w:r>
    </w:p>
    <w:p>
      <w:pPr>
        <w:pStyle w:val="Heading3"/>
        <w:spacing w:before="200" w:after="100"/>
      </w:pPr>
      <w:r>
        <w:rPr>
          <w:b/>
          <w:bCs/>
          <w:sz w:val="26"/>
          <w:szCs w:val="26"/>
          <w:rFonts w:ascii="Arial" w:cs="Arial" w:eastAsia="Arial" w:hAnsi="Arial"/>
        </w:rPr>
        <w:t xml:space="preserve">Joint Posterior of Costs and Effects</w:t>
      </w:r>
    </w:p>
    <w:p>
      <w:pPr>
        <w:spacing w:after="120"/>
      </w:pPr>
      <w:r>
        <w:rPr>
          <w:sz w:val="24"/>
          <w:szCs w:val="24"/>
          <w:rFonts w:ascii="Arial" w:cs="Arial" w:eastAsia="Arial" w:hAnsi="Arial"/>
        </w:rPr>
        <w:t xml:space="preserve">Bayesian CEA models the joint posterior distribution of incremental costs ΔC and incremental effects ΔE. From each MCMC draw of the model parameters, we compute the predicted costs and effects under each treatment strategy, yielding a posterior draw of (ΔC, ΔE). The collection of posterior draws characterizes the full joint uncertainty in the cost-effectiveness estimate.</w:t>
      </w:r>
    </w:p>
    <w:p>
      <w:pPr>
        <w:spacing w:after="120"/>
      </w:pPr>
      <w:r>
        <w:rPr>
          <w:sz w:val="24"/>
          <w:szCs w:val="24"/>
          <w:rFonts w:ascii="Arial" w:cs="Arial" w:eastAsia="Arial" w:hAnsi="Arial"/>
        </w:rPr>
        <w:t xml:space="preserve">The ICER = ΔC/ΔE is not well-behaved as a summary statistic: its distribution is often bimodal (when ΔE can be positive or negative), has undefined moments (when the denominator can be zero), and does not respect the quadrant structure of the CE plane. The net benefit framework resolves these issues by reformulating the decision criterion:</w:t>
      </w:r>
    </w:p>
    <w:p>
      <w:pPr>
        <w:spacing w:after="120"/>
      </w:pPr>
      <w:r>
        <w:rPr>
          <w:sz w:val="24"/>
          <w:szCs w:val="24"/>
          <w:rFonts w:ascii="Arial" w:cs="Arial" w:eastAsia="Arial" w:hAnsi="Arial"/>
        </w:rPr>
        <w:t xml:space="preserve">NB(λ) = λ × ΔE - ΔC</w:t>
      </w:r>
    </w:p>
    <w:p>
      <w:pPr>
        <w:spacing w:after="120"/>
      </w:pPr>
      <w:r>
        <w:rPr>
          <w:sz w:val="24"/>
          <w:szCs w:val="24"/>
          <w:rFonts w:ascii="Arial" w:cs="Arial" w:eastAsia="Arial" w:hAnsi="Arial"/>
        </w:rPr>
        <w:t xml:space="preserve">where λ is the willingness-to-pay threshold. For each posterior draw k, compute NB⁽ᵏ⁾(λ) = λ × ΔE⁽ᵏ⁾ - ΔC⁽ᵏ⁾. The probability that the intervention is cost-effective at threshold λ is:</w:t>
      </w:r>
    </w:p>
    <w:p>
      <w:pPr>
        <w:spacing w:after="120"/>
      </w:pPr>
      <w:r>
        <w:rPr>
          <w:sz w:val="24"/>
          <w:szCs w:val="24"/>
          <w:rFonts w:ascii="Arial" w:cs="Arial" w:eastAsia="Arial" w:hAnsi="Arial"/>
        </w:rPr>
        <w:t xml:space="preserve">Pr(cost-effective | λ) = (1/K) Σₖ 1{NB⁽ᵏ⁾(λ) &gt; 0}</w:t>
      </w:r>
    </w:p>
    <w:p>
      <w:pPr>
        <w:spacing w:after="120"/>
      </w:pPr>
      <w:r>
        <w:rPr>
          <w:sz w:val="24"/>
          <w:szCs w:val="24"/>
          <w:rFonts w:ascii="Arial" w:cs="Arial" w:eastAsia="Arial" w:hAnsi="Arial"/>
        </w:rPr>
        <w:t xml:space="preserve">Plotting this probability as a function of λ produces the cost-effectiveness acceptability curve (CEAC), which is the standard graphical output of Bayesian CEA. The CEAC conveys how the decision depends on the willingness-to-pay threshold and how decision uncertainty varies across threshold values.</w:t>
      </w:r>
    </w:p>
    <w:p>
      <w:pPr>
        <w:pStyle w:val="Heading3"/>
        <w:spacing w:before="200" w:after="100"/>
      </w:pPr>
      <w:r>
        <w:rPr>
          <w:b/>
          <w:bCs/>
          <w:sz w:val="26"/>
          <w:szCs w:val="26"/>
          <w:rFonts w:ascii="Arial" w:cs="Arial" w:eastAsia="Arial" w:hAnsi="Arial"/>
        </w:rPr>
        <w:t xml:space="preserve">Value of Information Analysis</w:t>
      </w:r>
    </w:p>
    <w:p>
      <w:pPr>
        <w:spacing w:after="120"/>
      </w:pPr>
      <w:r>
        <w:rPr>
          <w:sz w:val="24"/>
          <w:szCs w:val="24"/>
          <w:rFonts w:ascii="Arial" w:cs="Arial" w:eastAsia="Arial" w:hAnsi="Arial"/>
        </w:rPr>
        <w:t xml:space="preserve">Value of information (VOI) analysis quantifies the expected value of reducing parameter uncertainty through additional research. VOI is inherently Bayesian — it requires a posterior distribution of parameters to compute the expected cost of making a wrong decision under current information.</w:t>
      </w:r>
    </w:p>
    <w:p>
      <w:pPr>
        <w:spacing w:after="120"/>
      </w:pPr>
      <w:r>
        <w:rPr>
          <w:sz w:val="24"/>
          <w:szCs w:val="24"/>
          <w:rFonts w:ascii="Arial" w:cs="Arial" w:eastAsia="Arial" w:hAnsi="Arial"/>
        </w:rPr>
      </w:r>
      <w:r>
        <w:rPr>
          <w:b/>
          <w:bCs/>
          <w:sz w:val="24"/>
          <w:szCs w:val="24"/>
          <w:rFonts w:ascii="Arial" w:cs="Arial" w:eastAsia="Arial" w:hAnsi="Arial"/>
        </w:rPr>
        <w:t xml:space="preserve">Expected value of perfect information (EVPI):</w:t>
      </w:r>
      <w:r>
        <w:rPr>
          <w:sz w:val="24"/>
          <w:szCs w:val="24"/>
          <w:rFonts w:ascii="Arial" w:cs="Arial" w:eastAsia="Arial" w:hAnsi="Arial"/>
        </w:rPr>
      </w:r>
    </w:p>
    <w:p>
      <w:pPr>
        <w:spacing w:after="120"/>
      </w:pPr>
      <w:r>
        <w:rPr>
          <w:sz w:val="24"/>
          <w:szCs w:val="24"/>
          <w:rFonts w:ascii="Arial" w:cs="Arial" w:eastAsia="Arial" w:hAnsi="Arial"/>
        </w:rPr>
        <w:t xml:space="preserve">EVPI(λ) = E_θ[max_d NB(d, θ, λ)] - max_d E_θ[NB(d, θ, λ)]</w:t>
      </w:r>
    </w:p>
    <w:p>
      <w:pPr>
        <w:spacing w:after="120"/>
      </w:pPr>
      <w:r>
        <w:rPr>
          <w:sz w:val="24"/>
          <w:szCs w:val="24"/>
          <w:rFonts w:ascii="Arial" w:cs="Arial" w:eastAsia="Arial" w:hAnsi="Arial"/>
        </w:rPr>
        <w:t xml:space="preserve">The first term is the expected net benefit if we could observe the true parameter values before deciding (choose the best decision for each parameter realization). The second term is the net benefit of the best decision under current uncertainty (choose the decision that maximizes expected net benefit). EVPI is the difference — the expected gain from eliminating all uncertainty.</w:t>
      </w:r>
    </w:p>
    <w:p>
      <w:pPr>
        <w:spacing w:after="120"/>
      </w:pPr>
      <w:r>
        <w:rPr>
          <w:sz w:val="24"/>
          <w:szCs w:val="24"/>
          <w:rFonts w:ascii="Arial" w:cs="Arial" w:eastAsia="Arial" w:hAnsi="Arial"/>
        </w:rPr>
        <w:t xml:space="preserve">EVPI is computed directly from the MCMC output: for each posterior draw, identify the optimal decision; the difference between the average of the optimal decision-specific net benefits and the net benefit of the overall optimal decision is the EVPI. Multiplying by the relevant population (the number of patients who would be affected by the decision) converts per-patient EVPI to population EVPI, which can be compared to the cost of proposed research studies.</w:t>
      </w:r>
    </w:p>
    <w:p>
      <w:pPr>
        <w:spacing w:after="120"/>
      </w:pPr>
      <w:r>
        <w:rPr>
          <w:sz w:val="24"/>
          <w:szCs w:val="24"/>
          <w:rFonts w:ascii="Arial" w:cs="Arial" w:eastAsia="Arial" w:hAnsi="Arial"/>
        </w:rPr>
      </w:r>
      <w:r>
        <w:rPr>
          <w:b/>
          <w:bCs/>
          <w:sz w:val="24"/>
          <w:szCs w:val="24"/>
          <w:rFonts w:ascii="Arial" w:cs="Arial" w:eastAsia="Arial" w:hAnsi="Arial"/>
        </w:rPr>
        <w:t xml:space="preserve">Expected value of partial perfect information (EVPPI)</w:t>
      </w:r>
      <w:r>
        <w:rPr>
          <w:sz w:val="24"/>
          <w:szCs w:val="24"/>
          <w:rFonts w:ascii="Arial" w:cs="Arial" w:eastAsia="Arial" w:hAnsi="Arial"/>
        </w:rPr>
        <w:t xml:space="preserve"> extends the analysis to individual parameters or groups of parameters, identifying which parameters contribute most to decision uncertainty. EVPPI for a parameter subset φ requires a computationally demanding nested simulation (outer loop over φ draws, inner loop over remaining parameters for each φ draw), though regression-based approximations (Strong, Oakley, and Brennan, 2014) provide efficient alternatives.</w:t>
      </w:r>
    </w:p>
    <w:p>
      <w:pPr>
        <w:pStyle w:val="Heading2"/>
        <w:spacing w:before="300" w:after="150"/>
      </w:pPr>
      <w:r>
        <w:rPr>
          <w:b/>
          <w:bCs/>
          <w:sz w:val="30"/>
          <w:szCs w:val="30"/>
          <w:rFonts w:ascii="Arial" w:cs="Arial" w:eastAsia="Arial" w:hAnsi="Arial"/>
        </w:rPr>
        <w:t xml:space="preserve">Bayesian Network Meta-Analysis</w:t>
      </w:r>
    </w:p>
    <w:p>
      <w:pPr>
        <w:pStyle w:val="Heading3"/>
        <w:spacing w:before="200" w:after="100"/>
      </w:pPr>
      <w:r>
        <w:rPr>
          <w:b/>
          <w:bCs/>
          <w:sz w:val="26"/>
          <w:szCs w:val="26"/>
          <w:rFonts w:ascii="Arial" w:cs="Arial" w:eastAsia="Arial" w:hAnsi="Arial"/>
        </w:rPr>
        <w:t xml:space="preserve">The NMA Framework</w:t>
      </w:r>
    </w:p>
    <w:p>
      <w:pPr>
        <w:spacing w:after="120"/>
      </w:pPr>
      <w:r>
        <w:rPr>
          <w:sz w:val="24"/>
          <w:szCs w:val="24"/>
          <w:rFonts w:ascii="Arial" w:cs="Arial" w:eastAsia="Arial" w:hAnsi="Arial"/>
        </w:rPr>
        <w:t xml:space="preserve">Network meta-analysis (NMA) synthesizes evidence from multiple randomized trials that compare different pairs of treatments, forming a network of direct and indirect evidence. If trials compare A vs. B and B vs. C, NMA enables an indirect comparison of A vs. C by combining evidence through the common comparator B, under the assumption that the trials are sufficiently similar (the consistency assumption).</w:t>
      </w:r>
    </w:p>
    <w:p>
      <w:pPr>
        <w:spacing w:after="120"/>
      </w:pPr>
      <w:r>
        <w:rPr>
          <w:sz w:val="24"/>
          <w:szCs w:val="24"/>
          <w:rFonts w:ascii="Arial" w:cs="Arial" w:eastAsia="Arial" w:hAnsi="Arial"/>
        </w:rPr>
        <w:t xml:space="preserve">The Bayesian framework is the standard approach for NMA because it naturally accommodates the hierarchical structure (studies nested within comparisons), random effects for between-study heterogeneity, multi-arm trials (which create correlations among treatment contrasts), and the ranking of treatments using posterior probabilities.</w:t>
      </w:r>
    </w:p>
    <w:p>
      <w:pPr>
        <w:spacing w:after="120"/>
      </w:pPr>
      <w:r>
        <w:rPr>
          <w:sz w:val="24"/>
          <w:szCs w:val="24"/>
          <w:rFonts w:ascii="Arial" w:cs="Arial" w:eastAsia="Arial" w:hAnsi="Arial"/>
        </w:rPr>
        <w:t xml:space="preserve">The basic random-effects NMA model for study k comparing treatments b vs. a is:</w:t>
      </w:r>
    </w:p>
    <w:p>
      <w:pPr>
        <w:spacing w:after="120"/>
      </w:pPr>
      <w:r>
        <w:rPr>
          <w:sz w:val="24"/>
          <w:szCs w:val="24"/>
          <w:rFonts w:ascii="Arial" w:cs="Arial" w:eastAsia="Arial" w:hAnsi="Arial"/>
        </w:rPr>
        <w:t xml:space="preserve">dₖ | δₐᵦ, τ² ~ N(δₐᵦ, σ²ₖ + τ²)</w:t>
      </w:r>
    </w:p>
    <w:p>
      <w:pPr>
        <w:spacing w:after="120"/>
      </w:pPr>
      <w:r>
        <w:rPr>
          <w:sz w:val="24"/>
          <w:szCs w:val="24"/>
          <w:rFonts w:ascii="Arial" w:cs="Arial" w:eastAsia="Arial" w:hAnsi="Arial"/>
        </w:rPr>
        <w:t xml:space="preserve">where dₖ is the observed treatment effect in study k, δₐᵦ is the pooled treatment effect of b vs. a, σ²ₖ is the within-study variance (known from the study), and τ² is the between-study heterogeneity variance. The pooled effects δₐᵦ are related through a set of basic parameters — typically the effects of each treatment relative to a common reference treatment — and the consistency assumption requires that δₐc = δₐᵦ + δᵦc.</w:t>
      </w:r>
    </w:p>
    <w:p>
      <w:pPr>
        <w:spacing w:after="120"/>
      </w:pPr>
      <w:r>
        <w:rPr>
          <w:sz w:val="24"/>
          <w:szCs w:val="24"/>
          <w:rFonts w:ascii="Arial" w:cs="Arial" w:eastAsia="Arial" w:hAnsi="Arial"/>
        </w:rPr>
        <w:t xml:space="preserve">Treatment rankings are computed from the posterior: for each MCMC draw, rank all treatments by their estimated effect. The probability that each treatment is best, second-best, etc., is tabulated across draws. The Surface Under the Cumulative Ranking curve (SUCRA) summarizes each treatment's overall ranking performance: SUCRA = 1 indicates the treatment is always ranked first; SUCRA = 0 indicates always ranked last.</w:t>
      </w:r>
    </w:p>
    <w:p>
      <w:pPr>
        <w:pStyle w:val="Heading3"/>
        <w:spacing w:before="200" w:after="100"/>
      </w:pPr>
      <w:r>
        <w:rPr>
          <w:b/>
          <w:bCs/>
          <w:sz w:val="26"/>
          <w:szCs w:val="26"/>
          <w:rFonts w:ascii="Arial" w:cs="Arial" w:eastAsia="Arial" w:hAnsi="Arial"/>
        </w:rPr>
        <w:t xml:space="preserve">Inconsistency Assessment</w:t>
      </w:r>
    </w:p>
    <w:p>
      <w:pPr>
        <w:spacing w:after="120"/>
      </w:pPr>
      <w:r>
        <w:rPr>
          <w:sz w:val="24"/>
          <w:szCs w:val="24"/>
          <w:rFonts w:ascii="Arial" w:cs="Arial" w:eastAsia="Arial" w:hAnsi="Arial"/>
        </w:rPr>
        <w:t xml:space="preserve">The consistency assumption — that direct and indirect evidence agree — is the fundamental identifying assumption of NMA. Inconsistency (disagreement between direct and indirect evidence) can be assessed through node-splitting models (comparing the direct estimate for each comparison with the indirect estimate obtained from the rest of the network), the unrelated mean effects (UME) model (fitting a model without the consistency assumption and comparing to the consistency model via DIC or WAIC), and design-by-treatment interaction models (Higgins et al., 2012).</w:t>
      </w:r>
    </w:p>
    <w:p>
      <w:pPr>
        <w:pStyle w:val="Heading2"/>
        <w:spacing w:before="300" w:after="150"/>
      </w:pPr>
      <w:r>
        <w:rPr>
          <w:b/>
          <w:bCs/>
          <w:sz w:val="30"/>
          <w:szCs w:val="30"/>
          <w:rFonts w:ascii="Arial" w:cs="Arial" w:eastAsia="Arial" w:hAnsi="Arial"/>
        </w:rPr>
        <w:t xml:space="preserve">Bayesian Spatial Models for Health Economics</w:t>
      </w:r>
    </w:p>
    <w:p>
      <w:pPr>
        <w:pStyle w:val="Heading3"/>
        <w:spacing w:before="200" w:after="100"/>
      </w:pPr>
      <w:r>
        <w:rPr>
          <w:b/>
          <w:bCs/>
          <w:sz w:val="26"/>
          <w:szCs w:val="26"/>
          <w:rFonts w:ascii="Arial" w:cs="Arial" w:eastAsia="Arial" w:hAnsi="Arial"/>
        </w:rPr>
        <w:t xml:space="preserve">The Besag-York-Mollié (BYM) Model</w:t>
      </w:r>
    </w:p>
    <w:p>
      <w:pPr>
        <w:spacing w:after="120"/>
      </w:pPr>
      <w:r>
        <w:rPr>
          <w:sz w:val="24"/>
          <w:szCs w:val="24"/>
          <w:rFonts w:ascii="Arial" w:cs="Arial" w:eastAsia="Arial" w:hAnsi="Arial"/>
        </w:rPr>
        <w:t xml:space="preserve">Small area estimation for health outcomes — county-level mortality rates, hospital service area spending, ZIP code-level disease prevalence — benefits from Bayesian spatial models that smooth noisy small-sample estimates by borrowing information from geographically proximate areas.</w:t>
      </w:r>
    </w:p>
    <w:p>
      <w:pPr>
        <w:spacing w:after="120"/>
      </w:pPr>
      <w:r>
        <w:rPr>
          <w:sz w:val="24"/>
          <w:szCs w:val="24"/>
          <w:rFonts w:ascii="Arial" w:cs="Arial" w:eastAsia="Arial" w:hAnsi="Arial"/>
        </w:rPr>
        <w:t xml:space="preserve">The BYM model specifies:</w:t>
      </w:r>
    </w:p>
    <w:p>
      <w:pPr>
        <w:spacing w:after="120"/>
      </w:pPr>
      <w:r>
        <w:rPr>
          <w:sz w:val="24"/>
          <w:szCs w:val="24"/>
          <w:rFonts w:ascii="Arial" w:cs="Arial" w:eastAsia="Arial" w:hAnsi="Arial"/>
        </w:rPr>
        <w:t xml:space="preserve">yᵢ ~ Poisson(Eᵢ × θᵢ) for area i</w:t>
      </w:r>
    </w:p>
    <w:p>
      <w:pPr>
        <w:spacing w:after="120"/>
      </w:pPr>
      <w:r>
        <w:rPr>
          <w:sz w:val="24"/>
          <w:szCs w:val="24"/>
          <w:rFonts w:ascii="Arial" w:cs="Arial" w:eastAsia="Arial" w:hAnsi="Arial"/>
        </w:rPr>
        <w:t xml:space="preserve">log(θᵢ) = X'ᵢβ + uᵢ + vᵢ</w:t>
      </w:r>
    </w:p>
    <w:p>
      <w:pPr>
        <w:spacing w:after="120"/>
      </w:pPr>
      <w:r>
        <w:rPr>
          <w:sz w:val="24"/>
          <w:szCs w:val="24"/>
          <w:rFonts w:ascii="Arial" w:cs="Arial" w:eastAsia="Arial" w:hAnsi="Arial"/>
        </w:rPr>
        <w:t xml:space="preserve">where yᵢ is the observed count of events (deaths, hospitalizations), Eᵢ is the expected count (based on age-sex standardization), θᵢ is the relative risk in area i, uᵢ is a spatially structured random effect, and vᵢ is an unstructured random effect.</w:t>
      </w:r>
    </w:p>
    <w:p>
      <w:pPr>
        <w:spacing w:after="120"/>
      </w:pPr>
      <w:r>
        <w:rPr>
          <w:sz w:val="24"/>
          <w:szCs w:val="24"/>
          <w:rFonts w:ascii="Arial" w:cs="Arial" w:eastAsia="Arial" w:hAnsi="Arial"/>
        </w:rPr>
        <w:t xml:space="preserve">The spatially structured component uᵢ uses an intrinsic conditional autoregressive (ICAR) prior:</w:t>
      </w:r>
    </w:p>
    <w:p>
      <w:pPr>
        <w:spacing w:after="120"/>
      </w:pPr>
      <w:r>
        <w:rPr>
          <w:sz w:val="24"/>
          <w:szCs w:val="24"/>
          <w:rFonts w:ascii="Arial" w:cs="Arial" w:eastAsia="Arial" w:hAnsi="Arial"/>
        </w:rPr>
        <w:t xml:space="preserve">uᵢ | u₋ᵢ ~ N(ūᵢ, τ²ᵤ / nᵢ)</w:t>
      </w:r>
    </w:p>
    <w:p>
      <w:pPr>
        <w:spacing w:after="120"/>
      </w:pPr>
      <w:r>
        <w:rPr>
          <w:sz w:val="24"/>
          <w:szCs w:val="24"/>
          <w:rFonts w:ascii="Arial" w:cs="Arial" w:eastAsia="Arial" w:hAnsi="Arial"/>
        </w:rPr>
        <w:t xml:space="preserve">where ūᵢ = (1/nᵢ) Σⱼ~ᵢ uⱼ is the average of neighboring areas' effects and nᵢ is the number of neighbors. This prior induces spatial smoothing: areas with similar neighbors are pulled toward similar values, reducing noise while preserving genuine spatial patterns.</w:t>
      </w:r>
    </w:p>
    <w:p>
      <w:pPr>
        <w:spacing w:after="120"/>
      </w:pPr>
      <w:r>
        <w:rPr>
          <w:sz w:val="24"/>
          <w:szCs w:val="24"/>
          <w:rFonts w:ascii="Arial" w:cs="Arial" w:eastAsia="Arial" w:hAnsi="Arial"/>
        </w:rPr>
        <w:t xml:space="preserve">The unstructured component vᵢ ~ N(0, τ²ᵥ) captures non-spatial heterogeneity — area-level variation that is not geographically structured. The relative magnitudes of τ²ᵤ and τ²ᵥ determine the balance between spatial and non-spatial variation: when τ²ᵤ &gt;&gt; τ²ᵥ, the map is smooth (dominated by spatial structure); when τ²ᵥ &gt;&gt; τ²ᵤ, the map is noisy (dominated by area-specific variation).</w:t>
      </w:r>
    </w:p>
    <w:p>
      <w:pPr>
        <w:spacing w:after="120"/>
      </w:pPr>
      <w:r>
        <w:rPr>
          <w:sz w:val="24"/>
          <w:szCs w:val="24"/>
          <w:rFonts w:ascii="Arial" w:cs="Arial" w:eastAsia="Arial" w:hAnsi="Arial"/>
        </w:rPr>
        <w:t xml:space="preserve">The BYM model has been used extensively to map geographic variation in healthcare spending, disease prevalence, mortality, and quality indicators across US counties and hospital referral regions. Implementation in Julia using Turing.jl requires constructing the adjacency matrix from shapefiles and parameterizing the ICAR prior using sparse precision matrices for computational efficiency.</w:t>
      </w:r>
    </w:p>
    <w:p>
      <w:pPr>
        <w:pStyle w:val="Heading2"/>
        <w:spacing w:before="300" w:after="150"/>
      </w:pPr>
      <w:r>
        <w:rPr>
          <w:b/>
          <w:bCs/>
          <w:sz w:val="30"/>
          <w:szCs w:val="30"/>
          <w:rFonts w:ascii="Arial" w:cs="Arial" w:eastAsia="Arial" w:hAnsi="Arial"/>
        </w:rPr>
        <w:t xml:space="preserve">Empirical Bayes Methods</w:t>
      </w:r>
    </w:p>
    <w:p>
      <w:pPr>
        <w:pStyle w:val="Heading3"/>
        <w:spacing w:before="200" w:after="100"/>
      </w:pPr>
      <w:r>
        <w:rPr>
          <w:b/>
          <w:bCs/>
          <w:sz w:val="26"/>
          <w:szCs w:val="26"/>
          <w:rFonts w:ascii="Arial" w:cs="Arial" w:eastAsia="Arial" w:hAnsi="Arial"/>
        </w:rPr>
        <w:t xml:space="preserve">Shrinkage Estimation for Provider Profiling</w:t>
      </w:r>
    </w:p>
    <w:p>
      <w:pPr>
        <w:spacing w:after="120"/>
      </w:pPr>
      <w:r>
        <w:rPr>
          <w:sz w:val="24"/>
          <w:szCs w:val="24"/>
          <w:rFonts w:ascii="Arial" w:cs="Arial" w:eastAsia="Arial" w:hAnsi="Arial"/>
        </w:rPr>
        <w:t xml:space="preserve">Empirical Bayes (EB) methods estimate the prior distribution from the data (rather than specifying it a priori) and then compute posterior estimates for each unit. For hospital profiling, the EB approach estimates the population distribution of hospital quality from the observed data across all hospitals, then computes the posterior mean for each hospital.</w:t>
      </w:r>
    </w:p>
    <w:p>
      <w:pPr>
        <w:spacing w:after="120"/>
      </w:pPr>
      <w:r>
        <w:rPr>
          <w:sz w:val="24"/>
          <w:szCs w:val="24"/>
          <w:rFonts w:ascii="Arial" w:cs="Arial" w:eastAsia="Arial" w:hAnsi="Arial"/>
        </w:rPr>
        <w:t xml:space="preserve">The empirical Bayes shrinkage estimator for hospital j's quality rate is:</w:t>
      </w:r>
    </w:p>
    <w:p>
      <w:pPr>
        <w:spacing w:after="120"/>
      </w:pPr>
      <w:r>
        <w:rPr>
          <w:sz w:val="24"/>
          <w:szCs w:val="24"/>
          <w:rFonts w:ascii="Arial" w:cs="Arial" w:eastAsia="Arial" w:hAnsi="Arial"/>
        </w:rPr>
        <w:t xml:space="preserve">θ̂ⱼᴱᴮ = wⱼ × ȳⱼ + (1 - wⱼ) × ȳ</w:t>
      </w:r>
    </w:p>
    <w:p>
      <w:pPr>
        <w:spacing w:after="120"/>
      </w:pPr>
      <w:r>
        <w:rPr>
          <w:sz w:val="24"/>
          <w:szCs w:val="24"/>
          <w:rFonts w:ascii="Arial" w:cs="Arial" w:eastAsia="Arial" w:hAnsi="Arial"/>
        </w:rPr>
        <w:t xml:space="preserve">where wⱼ = nⱼσ²ₐ / (nⱼσ²ₐ + σ²) is the reliability weight, ȳⱼ is the hospital's observed rate, ȳ is the overall mean, nⱼ is the hospital's patient volume, σ²ₐ is the estimated between-hospital variance, and σ² is the within-hospital variance. The shrinkage direction is always toward the overall mean, and the amount of shrinkage depends inversely on sample size.</w:t>
      </w:r>
    </w:p>
    <w:p>
      <w:pPr>
        <w:spacing w:after="120"/>
      </w:pPr>
      <w:r>
        <w:rPr>
          <w:sz w:val="24"/>
          <w:szCs w:val="24"/>
          <w:rFonts w:ascii="Arial" w:cs="Arial" w:eastAsia="Arial" w:hAnsi="Arial"/>
        </w:rPr>
        <w:t xml:space="preserve">EB methods are computationally faster than full Bayesian analysis (no MCMC required) and produce point estimates that are numerically similar to the posterior means from a hierarchical Bayesian model. However, EB does not fully propagate uncertainty about the hyperparameters (σ²ₐ, σ²) to the individual-level estimates, potentially understating the uncertainty in hospital-level estimates. For this reason, full Bayesian analysis with MCMC is preferred when accurate uncertainty quantification is important — such as in public reporting or pay-for-performance programs where the classification of hospitals as "above average" or "below average" has financial and reputational consequences.</w:t>
      </w:r>
    </w:p>
    <w:p>
      <w:pPr>
        <w:spacing w:after="120"/>
      </w:pPr>
      <w:r>
        <w:rPr>
          <w:sz w:val="24"/>
          <w:szCs w:val="24"/>
          <w:rFonts w:ascii="Arial" w:cs="Arial" w:eastAsia="Arial" w:hAnsi="Arial"/>
        </w:rPr>
      </w:r>
      <w:r>
        <w:rPr>
          <w:b/>
          <w:bCs/>
          <w:sz w:val="24"/>
          <w:szCs w:val="24"/>
          <w:rFonts w:ascii="Arial" w:cs="Arial" w:eastAsia="Arial" w:hAnsi="Arial"/>
        </w:rPr>
        <w:t xml:space="preserve">Table 15.1: Bayesian Methods in Health Economics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Application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Model</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Feature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Software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CEA with uncertainty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Joint cost-effect posterior</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CEAC, EVPI from posterior draws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Turing.jl, Stan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Network meta-analysis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Hierarchical random-effects NMA</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Treatment ranking via SUCRA</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Turing.jl, OpenBUGS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Hospital profiling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Hierarchical logistic regression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Shrinkage estimation for small hospitals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Turing.jl, Stan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Disease mapping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BYM spatial model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ICAR prior for spatial smoothing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Turing.jl, INLA</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Survival analysis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Parametric Bayesian survival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Flexible hazard with informative priors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Turing.jl</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Model comparison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WAIC, LOO-CV</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Posterior predictive fit assessment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ParetoSmooth.jl</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Bayesian methods provide a coherent framework for quantifying uncertainty, incorporating prior knowledge, and making decisions under uncertainty in health economics. The hierarchical modeling capability is particularly valuable for provider profiling and spatial analysis, where borrowing strength across units is essential for reliable estimation from small samples. The natural connection between Bayesian posterior simulation and decision analysis (CEA, VOI) makes Bayesian methods the standard approach for health technology assessment. And the modern MCMC algorithms (NUTS in particular) have made Bayesian computation accessible for complex models that would have been intractable a decade ago.</w:t>
      </w:r>
    </w:p>
    <w:p>
      <w:pPr>
        <w:spacing w:after="120"/>
      </w:pPr>
      <w:r>
        <w:rPr>
          <w:sz w:val="24"/>
          <w:szCs w:val="24"/>
          <w:rFonts w:ascii="Arial" w:cs="Arial" w:eastAsia="Arial" w:hAnsi="Arial"/>
        </w:rPr>
        <w:t xml:space="preserve">The Julia implementation using Turing.jl — with its expressive @model macro, efficient NUTS sampler, and integration with Julia's optimization and distribution ecosystems — is covered in Chapter 22, providing production-ready code for every Bayesian model discussed in this chapter.</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Besag, J., York, J., &amp; Mollié, A. (1991). Bayesian image restoration, with two applications in spatial statistics. </w:t>
      </w:r>
      <w:r>
        <w:rPr>
          <w:i/>
          <w:iCs/>
          <w:sz w:val="24"/>
          <w:szCs w:val="24"/>
          <w:rFonts w:ascii="Arial" w:cs="Arial" w:eastAsia="Arial" w:hAnsi="Arial"/>
        </w:rPr>
        <w:t xml:space="preserve">Annals of the Institute of Statistical Mathematics</w:t>
      </w:r>
      <w:r>
        <w:rPr>
          <w:sz w:val="24"/>
          <w:szCs w:val="24"/>
          <w:rFonts w:ascii="Arial" w:cs="Arial" w:eastAsia="Arial" w:hAnsi="Arial"/>
        </w:rPr>
        <w:t xml:space="preserve">, 43(1), 1-20.</w:t>
      </w:r>
    </w:p>
    <w:p>
      <w:pPr>
        <w:spacing w:after="120"/>
      </w:pPr>
      <w:r>
        <w:rPr>
          <w:sz w:val="24"/>
          <w:szCs w:val="24"/>
          <w:rFonts w:ascii="Arial" w:cs="Arial" w:eastAsia="Arial" w:hAnsi="Arial"/>
        </w:rPr>
        <w:t xml:space="preserve">2. Briggs, A. H., Claxton, K., &amp; Sculpher, M. J. (2006). </w:t>
      </w:r>
      <w:r>
        <w:rPr>
          <w:i/>
          <w:iCs/>
          <w:sz w:val="24"/>
          <w:szCs w:val="24"/>
          <w:rFonts w:ascii="Arial" w:cs="Arial" w:eastAsia="Arial" w:hAnsi="Arial"/>
        </w:rPr>
        <w:t xml:space="preserve">Decision Modelling for Health Economic Evaluation</w:t>
      </w:r>
      <w:r>
        <w:rPr>
          <w:sz w:val="24"/>
          <w:szCs w:val="24"/>
          <w:rFonts w:ascii="Arial" w:cs="Arial" w:eastAsia="Arial" w:hAnsi="Arial"/>
        </w:rPr>
        <w:t xml:space="preserve">. Oxford University Press.</w:t>
      </w:r>
    </w:p>
    <w:p>
      <w:pPr>
        <w:spacing w:after="120"/>
      </w:pPr>
      <w:r>
        <w:rPr>
          <w:sz w:val="24"/>
          <w:szCs w:val="24"/>
          <w:rFonts w:ascii="Arial" w:cs="Arial" w:eastAsia="Arial" w:hAnsi="Arial"/>
        </w:rPr>
        <w:t xml:space="preserve">3. Dias, S., Welton, N. J., Sutton, A. J., &amp; Ades, A. E. (2013). </w:t>
      </w:r>
      <w:r>
        <w:rPr>
          <w:i/>
          <w:iCs/>
          <w:sz w:val="24"/>
          <w:szCs w:val="24"/>
          <w:rFonts w:ascii="Arial" w:cs="Arial" w:eastAsia="Arial" w:hAnsi="Arial"/>
        </w:rPr>
        <w:t xml:space="preserve">Evidence Synthesis for Decision Making in Healthcare</w:t>
      </w:r>
      <w:r>
        <w:rPr>
          <w:sz w:val="24"/>
          <w:szCs w:val="24"/>
          <w:rFonts w:ascii="Arial" w:cs="Arial" w:eastAsia="Arial" w:hAnsi="Arial"/>
        </w:rPr>
        <w:t xml:space="preserve">. Wiley.</w:t>
      </w:r>
    </w:p>
    <w:p>
      <w:pPr>
        <w:spacing w:after="120"/>
      </w:pPr>
      <w:r>
        <w:rPr>
          <w:sz w:val="24"/>
          <w:szCs w:val="24"/>
          <w:rFonts w:ascii="Arial" w:cs="Arial" w:eastAsia="Arial" w:hAnsi="Arial"/>
        </w:rPr>
        <w:t xml:space="preserve">4. Gelman, A., Carlin, J. B., Stern, H. S., Dunson, D. B., Vehtari, A., &amp; Rubin, D. B. (2013). </w:t>
      </w:r>
      <w:r>
        <w:rPr>
          <w:i/>
          <w:iCs/>
          <w:sz w:val="24"/>
          <w:szCs w:val="24"/>
          <w:rFonts w:ascii="Arial" w:cs="Arial" w:eastAsia="Arial" w:hAnsi="Arial"/>
        </w:rPr>
        <w:t xml:space="preserve">Bayesian Data Analysis</w:t>
      </w:r>
      <w:r>
        <w:rPr>
          <w:sz w:val="24"/>
          <w:szCs w:val="24"/>
          <w:rFonts w:ascii="Arial" w:cs="Arial" w:eastAsia="Arial" w:hAnsi="Arial"/>
        </w:rPr>
        <w:t xml:space="preserve"> (3rd ed.). CRC Press.</w:t>
      </w:r>
    </w:p>
    <w:p>
      <w:pPr>
        <w:spacing w:after="120"/>
      </w:pPr>
      <w:r>
        <w:rPr>
          <w:sz w:val="24"/>
          <w:szCs w:val="24"/>
          <w:rFonts w:ascii="Arial" w:cs="Arial" w:eastAsia="Arial" w:hAnsi="Arial"/>
        </w:rPr>
        <w:t xml:space="preserve">5. Hoffman, M. D., &amp; Gelman, A. (2014). The No-U-Turn Sampler. </w:t>
      </w:r>
      <w:r>
        <w:rPr>
          <w:i/>
          <w:iCs/>
          <w:sz w:val="24"/>
          <w:szCs w:val="24"/>
          <w:rFonts w:ascii="Arial" w:cs="Arial" w:eastAsia="Arial" w:hAnsi="Arial"/>
        </w:rPr>
        <w:t xml:space="preserve">JMLR</w:t>
      </w:r>
      <w:r>
        <w:rPr>
          <w:sz w:val="24"/>
          <w:szCs w:val="24"/>
          <w:rFonts w:ascii="Arial" w:cs="Arial" w:eastAsia="Arial" w:hAnsi="Arial"/>
        </w:rPr>
        <w:t xml:space="preserve">, 15(1), 1593-1623.</w:t>
      </w:r>
    </w:p>
    <w:p>
      <w:pPr>
        <w:spacing w:after="120"/>
      </w:pPr>
      <w:r>
        <w:rPr>
          <w:sz w:val="24"/>
          <w:szCs w:val="24"/>
          <w:rFonts w:ascii="Arial" w:cs="Arial" w:eastAsia="Arial" w:hAnsi="Arial"/>
        </w:rPr>
        <w:t xml:space="preserve">6. Spiegelhalter, D. J., Abrams, K. R., &amp; Myles, J. P. (2004). </w:t>
      </w:r>
      <w:r>
        <w:rPr>
          <w:i/>
          <w:iCs/>
          <w:sz w:val="24"/>
          <w:szCs w:val="24"/>
          <w:rFonts w:ascii="Arial" w:cs="Arial" w:eastAsia="Arial" w:hAnsi="Arial"/>
        </w:rPr>
        <w:t xml:space="preserve">Bayesian Approaches to Clinical Trials and Health-Care Evaluation</w:t>
      </w:r>
      <w:r>
        <w:rPr>
          <w:sz w:val="24"/>
          <w:szCs w:val="24"/>
          <w:rFonts w:ascii="Arial" w:cs="Arial" w:eastAsia="Arial" w:hAnsi="Arial"/>
        </w:rPr>
        <w:t xml:space="preserve">. Wiley.</w:t>
      </w:r>
    </w:p>
    <w:p>
      <w:pPr>
        <w:spacing w:after="120"/>
      </w:pPr>
      <w:r>
        <w:rPr>
          <w:sz w:val="24"/>
          <w:szCs w:val="24"/>
          <w:rFonts w:ascii="Arial" w:cs="Arial" w:eastAsia="Arial" w:hAnsi="Arial"/>
        </w:rPr>
        <w:t xml:space="preserve">7. Strong, M., Oakley, J. E., &amp; Brennan, A. (2014). Estimating multiparameter partial expected value of perfect information from a probabilistic sensitivity analysis sample. </w:t>
      </w:r>
      <w:r>
        <w:rPr>
          <w:i/>
          <w:iCs/>
          <w:sz w:val="24"/>
          <w:szCs w:val="24"/>
          <w:rFonts w:ascii="Arial" w:cs="Arial" w:eastAsia="Arial" w:hAnsi="Arial"/>
        </w:rPr>
        <w:t xml:space="preserve">Medical Decision Making</w:t>
      </w:r>
      <w:r>
        <w:rPr>
          <w:sz w:val="24"/>
          <w:szCs w:val="24"/>
          <w:rFonts w:ascii="Arial" w:cs="Arial" w:eastAsia="Arial" w:hAnsi="Arial"/>
        </w:rPr>
        <w:t xml:space="preserve">, 34(3), 311-326.</w:t>
      </w:r>
    </w:p>
    <w:p>
      <w:pPr>
        <w:spacing w:after="120"/>
      </w:pPr>
      <w:r>
        <w:rPr>
          <w:sz w:val="24"/>
          <w:szCs w:val="24"/>
          <w:rFonts w:ascii="Arial" w:cs="Arial" w:eastAsia="Arial" w:hAnsi="Arial"/>
        </w:rPr>
        <w:t xml:space="preserve">8. Vehtari, A., Gelman, A., Simpson, D., Carpenter, B., &amp; Bürkner, P. C. (2021). Rank-normalization, folding, and localization: An improved R̂ for assessing convergence of MCMC. </w:t>
      </w:r>
      <w:r>
        <w:rPr>
          <w:i/>
          <w:iCs/>
          <w:sz w:val="24"/>
          <w:szCs w:val="24"/>
          <w:rFonts w:ascii="Arial" w:cs="Arial" w:eastAsia="Arial" w:hAnsi="Arial"/>
        </w:rPr>
        <w:t xml:space="preserve">Bayesian Analysis</w:t>
      </w:r>
      <w:r>
        <w:rPr>
          <w:sz w:val="24"/>
          <w:szCs w:val="24"/>
          <w:rFonts w:ascii="Arial" w:cs="Arial" w:eastAsia="Arial" w:hAnsi="Arial"/>
        </w:rPr>
        <w:t xml:space="preserve">, 16(2), 667-718.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15: Bayesian Methods in Health Economics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2026-04-16T00:40:10.017Z</dcterms:created>
  <dcterms:modified xsi:type="dcterms:W3CDTF">2026-04-16T00:40:10.017Z</dcterms:modified>
</cp:coreProperties>
</file>

<file path=docProps/custom.xml><?xml version="1.0" encoding="utf-8"?>
<Properties xmlns="http://schemas.openxmlformats.org/officeDocument/2006/custom-properties" xmlns:vt="http://schemas.openxmlformats.org/officeDocument/2006/docPropsVTypes"/>
</file>