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b/>
          <w:bCs/>
          <w:sz w:val="48"/>
          <w:szCs w:val="48"/>
          <w:rFonts w:ascii="Arial" w:cs="Arial" w:eastAsia="Arial" w:hAnsi="Arial"/>
        </w:rPr>
        <w:t xml:space="preserve">Healthcare Economics Research:</w:t>
      </w:r>
    </w:p>
    <w:p>
      <w:pPr>
        <w:spacing w:after="400"/>
        <w:jc w:val="center"/>
      </w:pPr>
      <w:r>
        <w:rPr>
          <w:b/>
          <w:bCs/>
          <w:sz w:val="44"/>
          <w:szCs w:val="44"/>
          <w:rFonts w:ascii="Arial" w:cs="Arial" w:eastAsia="Arial" w:hAnsi="Arial"/>
        </w:rPr>
        <w:t xml:space="preserve">Methodology and Computational Methods in Julia</w:t>
      </w:r>
    </w:p>
    <w:p>
      <w:pPr>
        <w:spacing w:after="200"/>
        <w:jc w:val="center"/>
      </w:pPr>
      <w:r>
        <w:rPr>
          <w:sz w:val="36"/>
          <w:szCs w:val="36"/>
          <w:rFonts w:ascii="Arial" w:cs="Arial" w:eastAsia="Arial" w:hAnsi="Arial"/>
        </w:rPr>
        <w:t xml:space="preserve">Chapter 17</w:t>
      </w:r>
    </w:p>
    <w:p>
      <w:pPr>
        <w:jc w:val="center"/>
      </w:pPr>
      <w:r>
        <w:rPr>
          <w:i/>
          <w:iCs/>
          <w:sz w:val="32"/>
          <w:szCs w:val="32"/>
          <w:rFonts w:ascii="Arial" w:cs="Arial" w:eastAsia="Arial" w:hAnsi="Arial"/>
        </w:rPr>
        <w:t xml:space="preserve">Structural Estimation in Health Economics</w:t>
      </w:r>
    </w:p>
    <w:p>
      <w:r>
        <w:br w:type="page"/>
      </w:r>
    </w:p>
    <w:p>
      <w:pPr>
        <w:pStyle w:val="Heading2"/>
        <w:spacing w:before="300" w:after="150"/>
      </w:pPr>
      <w:r>
        <w:rPr>
          <w:b/>
          <w:bCs/>
          <w:sz w:val="30"/>
          <w:szCs w:val="30"/>
          <w:rFonts w:ascii="Arial" w:cs="Arial" w:eastAsia="Arial" w:hAnsi="Arial"/>
        </w:rPr>
        <w:t xml:space="preserve">Introduction</w:t>
      </w:r>
    </w:p>
    <w:p>
      <w:pPr>
        <w:spacing w:after="120"/>
      </w:pPr>
      <w:r>
        <w:rPr>
          <w:sz w:val="24"/>
          <w:szCs w:val="24"/>
          <w:rFonts w:ascii="Arial" w:cs="Arial" w:eastAsia="Arial" w:hAnsi="Arial"/>
        </w:rPr>
        <w:t xml:space="preserve">Structural econometric models specify the economic primitives — utility functions, production functions, equilibrium conditions, constraints — that generate observed behavior, then estimate the parameters of these primitives from data. Unlike reduced-form methods that estimate the net effect of a policy without specifying the mechanism, structural models make the mechanism explicit, enabling counterfactual policy simulations that go beyond the variation observed in the data. In health economics, structural estimation has been applied to insurance market design, hospital-insurer bargaining, physician behavior under alternative payment contracts, dynamic treatment decisions, and technology adoption.</w:t>
      </w:r>
    </w:p>
    <w:p>
      <w:pPr>
        <w:spacing w:after="120"/>
      </w:pPr>
      <w:r>
        <w:rPr>
          <w:sz w:val="24"/>
          <w:szCs w:val="24"/>
          <w:rFonts w:ascii="Arial" w:cs="Arial" w:eastAsia="Arial" w:hAnsi="Arial"/>
        </w:rPr>
        <w:t xml:space="preserve">The distinction between reduced-form and structural approaches is not a matter of quality but of purpose. A reduced-form difference-in-differences study of Medicaid expansion estimates the average effect of expansion on hospital finances — a credible and policy-relevant finding. But it cannot predict the effect of a different expansion design (partial expansion to 100% FPL instead of 138%, a different benefit package, a different federal matching rate). A structural model of insurance demand, adverse selection, and hospital financial response can simulate any alternative design by modifying the model's parameters and re-solving the equilibrium. The cost of this additional capability is the additional assumptions required — functional forms, distributional assumptions, equilibrium concepts — that reduce-form methods avoid.</w:t>
      </w:r>
    </w:p>
    <w:p>
      <w:pPr>
        <w:spacing w:after="120"/>
      </w:pPr>
      <w:r>
        <w:rPr>
          <w:sz w:val="24"/>
          <w:szCs w:val="24"/>
          <w:rFonts w:ascii="Arial" w:cs="Arial" w:eastAsia="Arial" w:hAnsi="Arial"/>
        </w:rPr>
        <w:t xml:space="preserve">This chapter provides a comprehensive treatment of structural estimation for graduate health economics researchers. We cover the conceptual distinction between reduced-form and structural approaches, static structural models of demand and bargaining in healthcare markets, dynamic structural models of individual and firm behavior, computational methods for solving and estimating structural models, and the practical tradeoffs in choosing between structural and reduced-form approaches. Mathematical derivations are provided for the key models, and health economics applications illustrate each method.</w:t>
      </w:r>
    </w:p>
    <w:p>
      <w:pPr>
        <w:pStyle w:val="Heading2"/>
        <w:spacing w:before="300" w:after="150"/>
      </w:pPr>
      <w:r>
        <w:rPr>
          <w:b/>
          <w:bCs/>
          <w:sz w:val="30"/>
          <w:szCs w:val="30"/>
          <w:rFonts w:ascii="Arial" w:cs="Arial" w:eastAsia="Arial" w:hAnsi="Arial"/>
        </w:rPr>
        <w:t xml:space="preserve">When Structure Is Worth the Assumptions</w:t>
      </w:r>
    </w:p>
    <w:p>
      <w:pPr>
        <w:pStyle w:val="Heading3"/>
        <w:spacing w:before="200" w:after="100"/>
      </w:pPr>
      <w:r>
        <w:rPr>
          <w:b/>
          <w:bCs/>
          <w:sz w:val="26"/>
          <w:szCs w:val="26"/>
          <w:rFonts w:ascii="Arial" w:cs="Arial" w:eastAsia="Arial" w:hAnsi="Arial"/>
        </w:rPr>
        <w:t xml:space="preserve">The Reduced-Form vs. Structural Division of Labor</w:t>
      </w:r>
    </w:p>
    <w:p>
      <w:pPr>
        <w:spacing w:after="120"/>
      </w:pPr>
      <w:r>
        <w:rPr>
          <w:sz w:val="24"/>
          <w:szCs w:val="24"/>
          <w:rFonts w:ascii="Arial" w:cs="Arial" w:eastAsia="Arial" w:hAnsi="Arial"/>
        </w:rPr>
        <w:t xml:space="preserve">The field has developed a productive division of labor between reduced-form and structural approaches, summarized by the complementary strengths of each:</w:t>
      </w:r>
    </w:p>
    <w:p>
      <w:pPr>
        <w:spacing w:after="120"/>
      </w:pPr>
      <w:r>
        <w:rPr>
          <w:sz w:val="24"/>
          <w:szCs w:val="24"/>
          <w:rFonts w:ascii="Arial" w:cs="Arial" w:eastAsia="Arial" w:hAnsi="Arial"/>
        </w:rPr>
      </w:r>
      <w:r>
        <w:rPr>
          <w:b/>
          <w:bCs/>
          <w:sz w:val="24"/>
          <w:szCs w:val="24"/>
          <w:rFonts w:ascii="Arial" w:cs="Arial" w:eastAsia="Arial" w:hAnsi="Arial"/>
        </w:rPr>
        <w:t xml:space="preserve">Reduced-form strengths.</w:t>
      </w:r>
      <w:r>
        <w:rPr>
          <w:sz w:val="24"/>
          <w:szCs w:val="24"/>
          <w:rFonts w:ascii="Arial" w:cs="Arial" w:eastAsia="Arial" w:hAnsi="Arial"/>
        </w:rPr>
        <w:t xml:space="preserve"> Credible causal identification with minimal assumptions. Transparent — the identifying variation is visible in the data (a policy change, a threshold, a lottery). Results are robust to misspecification of functional form because the estimation does not impose a structural model. Best for answering the question "what was the effect of this specific intervention?"</w:t>
      </w:r>
    </w:p>
    <w:p>
      <w:pPr>
        <w:spacing w:after="120"/>
      </w:pPr>
      <w:r>
        <w:rPr>
          <w:sz w:val="24"/>
          <w:szCs w:val="24"/>
          <w:rFonts w:ascii="Arial" w:cs="Arial" w:eastAsia="Arial" w:hAnsi="Arial"/>
        </w:rPr>
      </w:r>
      <w:r>
        <w:rPr>
          <w:b/>
          <w:bCs/>
          <w:sz w:val="24"/>
          <w:szCs w:val="24"/>
          <w:rFonts w:ascii="Arial" w:cs="Arial" w:eastAsia="Arial" w:hAnsi="Arial"/>
        </w:rPr>
        <w:t xml:space="preserve">Structural strengths.</w:t>
      </w:r>
      <w:r>
        <w:rPr>
          <w:sz w:val="24"/>
          <w:szCs w:val="24"/>
          <w:rFonts w:ascii="Arial" w:cs="Arial" w:eastAsia="Arial" w:hAnsi="Arial"/>
        </w:rPr>
        <w:t xml:space="preserve"> Ability to simulate counterfactual policies that were not observed in the data. Decomposition of observed effects into underlying economic mechanisms (demand responses, supply responses, equilibrium adjustments). Welfare analysis that accounts for the full general equilibrium effects of policy changes. Best for answering the question "what would be the effect of a different policy design?"</w:t>
      </w:r>
    </w:p>
    <w:p>
      <w:pPr>
        <w:spacing w:after="120"/>
      </w:pPr>
      <w:r>
        <w:rPr>
          <w:sz w:val="24"/>
          <w:szCs w:val="24"/>
          <w:rFonts w:ascii="Arial" w:cs="Arial" w:eastAsia="Arial" w:hAnsi="Arial"/>
        </w:rPr>
        <w:t xml:space="preserve">The most impactful research often combines both approaches: using reduced-form evidence to validate structural model predictions (if the structural model cannot replicate the effects of observed policy changes, its counterfactual predictions are not credible), and using structural models to extend reduced-form findings to policy-relevant counterfactuals.</w:t>
      </w:r>
    </w:p>
    <w:p>
      <w:pPr>
        <w:pStyle w:val="Heading3"/>
        <w:spacing w:before="200" w:after="100"/>
      </w:pPr>
      <w:r>
        <w:rPr>
          <w:b/>
          <w:bCs/>
          <w:sz w:val="26"/>
          <w:szCs w:val="26"/>
          <w:rFonts w:ascii="Arial" w:cs="Arial" w:eastAsia="Arial" w:hAnsi="Arial"/>
        </w:rPr>
        <w:t xml:space="preserve">What Makes a Model "Structural"</w:t>
      </w:r>
    </w:p>
    <w:p>
      <w:pPr>
        <w:spacing w:after="120"/>
      </w:pPr>
      <w:r>
        <w:rPr>
          <w:sz w:val="24"/>
          <w:szCs w:val="24"/>
          <w:rFonts w:ascii="Arial" w:cs="Arial" w:eastAsia="Arial" w:hAnsi="Arial"/>
        </w:rPr>
        <w:t xml:space="preserve">A model is structural if it specifies the economic decision problem that agents solve — their objective function, constraints, information, and the equilibrium concept that determines how agents' decisions interact. The key elements include:</w:t>
      </w:r>
    </w:p>
    <w:p>
      <w:pPr>
        <w:spacing w:after="120"/>
      </w:pPr>
      <w:r>
        <w:rPr>
          <w:sz w:val="24"/>
          <w:szCs w:val="24"/>
          <w:rFonts w:ascii="Arial" w:cs="Arial" w:eastAsia="Arial" w:hAnsi="Arial"/>
        </w:rPr>
      </w:r>
      <w:r>
        <w:rPr>
          <w:b/>
          <w:bCs/>
          <w:sz w:val="24"/>
          <w:szCs w:val="24"/>
          <w:rFonts w:ascii="Arial" w:cs="Arial" w:eastAsia="Arial" w:hAnsi="Arial"/>
        </w:rPr>
        <w:t xml:space="preserve">Preferences.</w:t>
      </w:r>
      <w:r>
        <w:rPr>
          <w:sz w:val="24"/>
          <w:szCs w:val="24"/>
          <w:rFonts w:ascii="Arial" w:cs="Arial" w:eastAsia="Arial" w:hAnsi="Arial"/>
        </w:rPr>
        <w:t xml:space="preserve"> A utility function (for consumers/patients) or objective function (for firms/providers) that specifies how agents value outcomes. In hospital demand, this might be a random utility model specifying how patients value hospital quality, distance, and out-of-pocket cost. In insurance market models, this might specify how consumers with heterogeneous risk aversion choose among plans with different premium and cost-sharing structures.</w:t>
      </w:r>
    </w:p>
    <w:p>
      <w:pPr>
        <w:spacing w:after="120"/>
      </w:pPr>
      <w:r>
        <w:rPr>
          <w:sz w:val="24"/>
          <w:szCs w:val="24"/>
          <w:rFonts w:ascii="Arial" w:cs="Arial" w:eastAsia="Arial" w:hAnsi="Arial"/>
        </w:rPr>
      </w:r>
      <w:r>
        <w:rPr>
          <w:b/>
          <w:bCs/>
          <w:sz w:val="24"/>
          <w:szCs w:val="24"/>
          <w:rFonts w:ascii="Arial" w:cs="Arial" w:eastAsia="Arial" w:hAnsi="Arial"/>
        </w:rPr>
        <w:t xml:space="preserve">Constraints.</w:t>
      </w:r>
      <w:r>
        <w:rPr>
          <w:sz w:val="24"/>
          <w:szCs w:val="24"/>
          <w:rFonts w:ascii="Arial" w:cs="Arial" w:eastAsia="Arial" w:hAnsi="Arial"/>
        </w:rPr>
        <w:t xml:space="preserve"> Budget constraints for consumers, capacity constraints for providers, regulatory constraints (scope of practice, certificate of need), and informational constraints (what agents know when making decisions).</w:t>
      </w:r>
    </w:p>
    <w:p>
      <w:pPr>
        <w:spacing w:after="120"/>
      </w:pPr>
      <w:r>
        <w:rPr>
          <w:sz w:val="24"/>
          <w:szCs w:val="24"/>
          <w:rFonts w:ascii="Arial" w:cs="Arial" w:eastAsia="Arial" w:hAnsi="Arial"/>
        </w:rPr>
      </w:r>
      <w:r>
        <w:rPr>
          <w:b/>
          <w:bCs/>
          <w:sz w:val="24"/>
          <w:szCs w:val="24"/>
          <w:rFonts w:ascii="Arial" w:cs="Arial" w:eastAsia="Arial" w:hAnsi="Arial"/>
        </w:rPr>
        <w:t xml:space="preserve">Technology.</w:t>
      </w:r>
      <w:r>
        <w:rPr>
          <w:sz w:val="24"/>
          <w:szCs w:val="24"/>
          <w:rFonts w:ascii="Arial" w:cs="Arial" w:eastAsia="Arial" w:hAnsi="Arial"/>
        </w:rPr>
        <w:t xml:space="preserve"> Production functions specifying how inputs (labor, capital, supplies) are transformed into outputs (health services, health outcomes). In physician supply models, this includes the human capital production function for medical training.</w:t>
      </w:r>
    </w:p>
    <w:p>
      <w:pPr>
        <w:spacing w:after="120"/>
      </w:pPr>
      <w:r>
        <w:rPr>
          <w:sz w:val="24"/>
          <w:szCs w:val="24"/>
          <w:rFonts w:ascii="Arial" w:cs="Arial" w:eastAsia="Arial" w:hAnsi="Arial"/>
        </w:rPr>
      </w:r>
      <w:r>
        <w:rPr>
          <w:b/>
          <w:bCs/>
          <w:sz w:val="24"/>
          <w:szCs w:val="24"/>
          <w:rFonts w:ascii="Arial" w:cs="Arial" w:eastAsia="Arial" w:hAnsi="Arial"/>
        </w:rPr>
        <w:t xml:space="preserve">Equilibrium.</w:t>
      </w:r>
      <w:r>
        <w:rPr>
          <w:sz w:val="24"/>
          <w:szCs w:val="24"/>
          <w:rFonts w:ascii="Arial" w:cs="Arial" w:eastAsia="Arial" w:hAnsi="Arial"/>
        </w:rPr>
        <w:t xml:space="preserve"> The concept governing how agents' decisions interact. Nash equilibrium for strategic interaction among hospitals or insurers. Competitive equilibrium for price-taking markets. Nash bargaining for hospital-insurer negotiations. Walrasian equilibrium for general equilibrium models.</w:t>
      </w:r>
    </w:p>
    <w:p>
      <w:pPr>
        <w:pStyle w:val="Heading2"/>
        <w:spacing w:before="300" w:after="150"/>
      </w:pPr>
      <w:r>
        <w:rPr>
          <w:b/>
          <w:bCs/>
          <w:sz w:val="30"/>
          <w:szCs w:val="30"/>
          <w:rFonts w:ascii="Arial" w:cs="Arial" w:eastAsia="Arial" w:hAnsi="Arial"/>
        </w:rPr>
        <w:t xml:space="preserve">Static Structural Models in Health Economics</w:t>
      </w:r>
    </w:p>
    <w:p>
      <w:pPr>
        <w:pStyle w:val="Heading3"/>
        <w:spacing w:before="200" w:after="100"/>
      </w:pPr>
      <w:r>
        <w:rPr>
          <w:b/>
          <w:bCs/>
          <w:sz w:val="26"/>
          <w:szCs w:val="26"/>
          <w:rFonts w:ascii="Arial" w:cs="Arial" w:eastAsia="Arial" w:hAnsi="Arial"/>
        </w:rPr>
        <w:t xml:space="preserve">Hospital Demand Estimation: BLP and Extensions</w:t>
      </w:r>
    </w:p>
    <w:p>
      <w:pPr>
        <w:spacing w:after="120"/>
      </w:pPr>
      <w:r>
        <w:rPr>
          <w:sz w:val="24"/>
          <w:szCs w:val="24"/>
          <w:rFonts w:ascii="Arial" w:cs="Arial" w:eastAsia="Arial" w:hAnsi="Arial"/>
        </w:rPr>
        <w:t xml:space="preserve">The BLP framework for hospital demand estimation (introduced in Chapter 14) is the foundation for structural analysis of hospital markets. The demand model is combined with a supply-side model to analyze market outcomes.</w:t>
      </w:r>
    </w:p>
    <w:p>
      <w:pPr>
        <w:spacing w:after="120"/>
      </w:pPr>
      <w:r>
        <w:rPr>
          <w:sz w:val="24"/>
          <w:szCs w:val="24"/>
          <w:rFonts w:ascii="Arial" w:cs="Arial" w:eastAsia="Arial" w:hAnsi="Arial"/>
        </w:rPr>
        <w:t xml:space="preserve">The patient's indirect utility from hospital j is:</w:t>
      </w:r>
    </w:p>
    <w:p>
      <w:pPr>
        <w:spacing w:after="120"/>
      </w:pPr>
      <w:r>
        <w:rPr>
          <w:sz w:val="24"/>
          <w:szCs w:val="24"/>
          <w:rFonts w:ascii="Arial" w:cs="Arial" w:eastAsia="Arial" w:hAnsi="Arial"/>
        </w:rPr>
        <w:t xml:space="preserve">uᵢⱼ = δⱼ + Σₖ σₖ xⱼₖ νᵢₖ - αᵢ pⱼ + εᵢⱼ</w:t>
      </w:r>
    </w:p>
    <w:p>
      <w:pPr>
        <w:spacing w:after="120"/>
      </w:pPr>
      <w:r>
        <w:rPr>
          <w:sz w:val="24"/>
          <w:szCs w:val="24"/>
          <w:rFonts w:ascii="Arial" w:cs="Arial" w:eastAsia="Arial" w:hAnsi="Arial"/>
        </w:rPr>
        <w:t xml:space="preserve">where δⱼ = x'ⱼβ - αp̄ⱼ + ξⱼ is the mean utility (including unobserved quality ξⱼ), σₖ captures random taste variation for attribute k, νᵢₖ are individual random draws, and αᵢ is individual price sensitivity. The mean utility δⱼ is recovered from observed market shares via the Berry (1994) contraction mapping:</w:t>
      </w:r>
    </w:p>
    <w:p>
      <w:pPr>
        <w:spacing w:after="120"/>
      </w:pPr>
      <w:r>
        <w:rPr>
          <w:sz w:val="24"/>
          <w:szCs w:val="24"/>
          <w:rFonts w:ascii="Arial" w:cs="Arial" w:eastAsia="Arial" w:hAnsi="Arial"/>
        </w:rPr>
        <w:t xml:space="preserve">δⱼ⁽ᵗ⁺¹⁾ = δⱼ⁽ᵗ⁾ + ln(sⱼ) - ln(ŝⱼ(δ⁽ᵗ⁾, θ))</w:t>
      </w:r>
    </w:p>
    <w:p>
      <w:pPr>
        <w:spacing w:after="120"/>
      </w:pPr>
      <w:r>
        <w:rPr>
          <w:sz w:val="24"/>
          <w:szCs w:val="24"/>
          <w:rFonts w:ascii="Arial" w:cs="Arial" w:eastAsia="Arial" w:hAnsi="Arial"/>
        </w:rPr>
        <w:t xml:space="preserve">where sⱼ is the observed market share and ŝⱼ is the predicted share given δ and the nonlinear parameters θ = (σ, α distribution parameters). This contraction mapping converges to the unique δ vector that rationalizes the observed shares.</w:t>
      </w:r>
    </w:p>
    <w:p>
      <w:pPr>
        <w:spacing w:after="120"/>
      </w:pPr>
      <w:r>
        <w:rPr>
          <w:sz w:val="24"/>
          <w:szCs w:val="24"/>
          <w:rFonts w:ascii="Arial" w:cs="Arial" w:eastAsia="Arial" w:hAnsi="Arial"/>
        </w:rPr>
        <w:t xml:space="preserve">With δ recovered, the structural parameters are estimated via GMM using the moment condition E[ξⱼ × Zⱼ] = 0, where Zⱼ are instruments uncorrelated with the unobserved quality term. Standard instruments include BLP instruments (functions of rival hospitals' observed characteristics), cost shifters (local wage indices, input prices), and Hausman instruments (the same hospital's prices in other markets).</w:t>
      </w:r>
    </w:p>
    <w:p>
      <w:pPr>
        <w:pStyle w:val="Heading3"/>
        <w:spacing w:before="200" w:after="100"/>
      </w:pPr>
      <w:r>
        <w:rPr>
          <w:b/>
          <w:bCs/>
          <w:sz w:val="26"/>
          <w:szCs w:val="26"/>
          <w:rFonts w:ascii="Arial" w:cs="Arial" w:eastAsia="Arial" w:hAnsi="Arial"/>
        </w:rPr>
        <w:t xml:space="preserve">Hospital-Insurer Bargaining</w:t>
      </w:r>
    </w:p>
    <w:p>
      <w:pPr>
        <w:spacing w:after="120"/>
      </w:pPr>
      <w:r>
        <w:rPr>
          <w:sz w:val="24"/>
          <w:szCs w:val="24"/>
          <w:rFonts w:ascii="Arial" w:cs="Arial" w:eastAsia="Arial" w:hAnsi="Arial"/>
        </w:rPr>
        <w:t xml:space="preserve">Hospital prices in the US commercial insurance market are determined through bilateral negotiation between hospitals and insurers. The Nash bargaining framework provides the structural model for analyzing these negotiations.</w:t>
      </w:r>
    </w:p>
    <w:p>
      <w:pPr>
        <w:spacing w:after="120"/>
      </w:pPr>
      <w:r>
        <w:rPr>
          <w:sz w:val="24"/>
          <w:szCs w:val="24"/>
          <w:rFonts w:ascii="Arial" w:cs="Arial" w:eastAsia="Arial" w:hAnsi="Arial"/>
        </w:rPr>
        <w:t xml:space="preserve">The Nash bargaining solution maximizes the product of the parties' gains from agreement:</w:t>
      </w:r>
    </w:p>
    <w:p>
      <w:pPr>
        <w:spacing w:after="120"/>
      </w:pPr>
      <w:r>
        <w:rPr>
          <w:sz w:val="24"/>
          <w:szCs w:val="24"/>
          <w:rFonts w:ascii="Arial" w:cs="Arial" w:eastAsia="Arial" w:hAnsi="Arial"/>
        </w:rPr>
        <w:t xml:space="preserve">max_{p} (πH(p) - dH)^α × (πI(p) - dI)^(1-α)</w:t>
      </w:r>
    </w:p>
    <w:p>
      <w:pPr>
        <w:spacing w:after="120"/>
      </w:pPr>
      <w:r>
        <w:rPr>
          <w:sz w:val="24"/>
          <w:szCs w:val="24"/>
          <w:rFonts w:ascii="Arial" w:cs="Arial" w:eastAsia="Arial" w:hAnsi="Arial"/>
        </w:rPr>
        <w:t xml:space="preserve">where πH(p) is the hospital's profit from the agreement at price p, dH is the hospital's disagreement payoff (profit without the insurer's patients), πI(p) is the insurer's profit from the agreement, dI is the insurer's disagreement payoff (profit without the hospital in its network), and α ∈ [0,1] is the hospital's bargaining power parameter.</w:t>
      </w:r>
    </w:p>
    <w:p>
      <w:pPr>
        <w:spacing w:after="120"/>
      </w:pPr>
      <w:r>
        <w:rPr>
          <w:sz w:val="24"/>
          <w:szCs w:val="24"/>
          <w:rFonts w:ascii="Arial" w:cs="Arial" w:eastAsia="Arial" w:hAnsi="Arial"/>
        </w:rPr>
        <w:t xml:space="preserve">The first-order condition yields the negotiated price:</w:t>
      </w:r>
    </w:p>
    <w:p>
      <w:pPr>
        <w:spacing w:after="120"/>
      </w:pPr>
      <w:r>
        <w:rPr>
          <w:sz w:val="24"/>
          <w:szCs w:val="24"/>
          <w:rFonts w:ascii="Arial" w:cs="Arial" w:eastAsia="Arial" w:hAnsi="Arial"/>
        </w:rPr>
        <w:t xml:space="preserve">p* = c + α × [surplus per patient] + terms reflecting outside options</w:t>
      </w:r>
    </w:p>
    <w:p>
      <w:pPr>
        <w:spacing w:after="120"/>
      </w:pPr>
      <w:r>
        <w:rPr>
          <w:sz w:val="24"/>
          <w:szCs w:val="24"/>
          <w:rFonts w:ascii="Arial" w:cs="Arial" w:eastAsia="Arial" w:hAnsi="Arial"/>
        </w:rPr>
        <w:t xml:space="preserve">where c is the hospital's marginal cost. The hospital's bargaining leverage depends on its "willingness to pay" — how much the insurer's enrollees value having the hospital in the network (determined by the demand model). Hospitals with high willingness-to-pay (located in concentrated markets, with strong brand recognition, offering unique services) command higher negotiated prices.</w:t>
      </w:r>
    </w:p>
    <w:p>
      <w:pPr>
        <w:spacing w:after="120"/>
      </w:pPr>
      <w:r>
        <w:rPr>
          <w:sz w:val="24"/>
          <w:szCs w:val="24"/>
          <w:rFonts w:ascii="Arial" w:cs="Arial" w:eastAsia="Arial" w:hAnsi="Arial"/>
        </w:rPr>
        <w:t xml:space="preserve">Gowrisankaran, Nevo, and Town (2015) estimated this bargaining model using data from hospital discharge records, insurer claims, and hospital financial data. Their approach: (1) estimate the BLP demand model to recover patient preferences; (2) use the demand estimates to compute each hospital's contribution to each insurer's network value (the willingness-to-pay); (3) estimate the bargaining model to recover hospitals' marginal costs and bargaining power parameters; (4) simulate mergers by re-solving the bargaining game with the merged hospitals' combined bargaining position.</w:t>
      </w:r>
    </w:p>
    <w:p>
      <w:pPr>
        <w:spacing w:after="120"/>
      </w:pPr>
      <w:r>
        <w:rPr>
          <w:sz w:val="24"/>
          <w:szCs w:val="24"/>
          <w:rFonts w:ascii="Arial" w:cs="Arial" w:eastAsia="Arial" w:hAnsi="Arial"/>
        </w:rPr>
        <w:t xml:space="preserve">Their merger simulations predicted price increases of 5-15% for merging hospitals, consistent with the reduced-form evidence from retrospective merger studies (Chapter 3). This consistency between structural predictions and reduced-form evidence provides validation for the structural model and confidence in its counterfactual predictions for mergers not yet observed.</w:t>
      </w:r>
    </w:p>
    <w:p>
      <w:pPr>
        <w:pStyle w:val="Heading3"/>
        <w:spacing w:before="200" w:after="100"/>
      </w:pPr>
      <w:r>
        <w:rPr>
          <w:b/>
          <w:bCs/>
          <w:sz w:val="26"/>
          <w:szCs w:val="26"/>
          <w:rFonts w:ascii="Arial" w:cs="Arial" w:eastAsia="Arial" w:hAnsi="Arial"/>
        </w:rPr>
        <w:t xml:space="preserve">Insurance Market Equilibrium Models</w:t>
      </w:r>
    </w:p>
    <w:p>
      <w:pPr>
        <w:spacing w:after="120"/>
      </w:pPr>
      <w:r>
        <w:rPr>
          <w:sz w:val="24"/>
          <w:szCs w:val="24"/>
          <w:rFonts w:ascii="Arial" w:cs="Arial" w:eastAsia="Arial" w:hAnsi="Arial"/>
        </w:rPr>
        <w:t xml:space="preserve">Einav, Finkelstein, and Cullen (2010) developed the sufficient statistics framework for welfare analysis in insurance markets (introduced in Chapter 4). Their approach identifies the demand curve D(p) and the average cost curve AC(p) as the two sufficient statistics for computing the welfare effects of alternative insurance market interventions.</w:t>
      </w:r>
    </w:p>
    <w:p>
      <w:pPr>
        <w:spacing w:after="120"/>
      </w:pPr>
      <w:r>
        <w:rPr>
          <w:sz w:val="24"/>
          <w:szCs w:val="24"/>
          <w:rFonts w:ascii="Arial" w:cs="Arial" w:eastAsia="Arial" w:hAnsi="Arial"/>
        </w:rPr>
        <w:t xml:space="preserve">The demand curve traces out how coverage varies with the premium: D(p) = fraction of individuals who purchase coverage at premium p. The average cost curve traces out how the average cost of the insured pool changes with the premium: AC(p) = average expected cost of individuals who purchase at premium p.</w:t>
      </w:r>
    </w:p>
    <w:p>
      <w:pPr>
        <w:spacing w:after="120"/>
      </w:pPr>
      <w:r>
        <w:rPr>
          <w:sz w:val="24"/>
          <w:szCs w:val="24"/>
          <w:rFonts w:ascii="Arial" w:cs="Arial" w:eastAsia="Arial" w:hAnsi="Arial"/>
        </w:rPr>
        <w:t xml:space="preserve">Under adverse selection, AC(p) is upward-sloping (as price rises, healthier individuals drop coverage, raising the average cost of the remaining pool). The competitive equilibrium occurs where AC(p) intersects D(p) — the premium equals average cost, and the market clears. The efficient allocation occurs where the marginal cost curve MC(p) intersects D(p) — coverage extends to all individuals whose willingness to pay exceeds their own expected cost.</w:t>
      </w:r>
    </w:p>
    <w:p>
      <w:pPr>
        <w:spacing w:after="120"/>
      </w:pPr>
      <w:r>
        <w:rPr>
          <w:sz w:val="24"/>
          <w:szCs w:val="24"/>
          <w:rFonts w:ascii="Arial" w:cs="Arial" w:eastAsia="Arial" w:hAnsi="Arial"/>
        </w:rPr>
        <w:t xml:space="preserve">The welfare loss from adverse selection is the area between D(p) and MC(p) for individuals who are inefficiently uninsured — those whose willingness to pay exceeds their own cost but who are priced out by the pooling premium. This sufficient statistics approach requires estimation of only two curves (demand and cost), without a full structural model of the insurance market, making it an attractive middle ground between reduced-form and fully structural approaches.</w:t>
      </w:r>
    </w:p>
    <w:p>
      <w:pPr>
        <w:pStyle w:val="Heading2"/>
        <w:spacing w:before="300" w:after="150"/>
      </w:pPr>
      <w:r>
        <w:rPr>
          <w:b/>
          <w:bCs/>
          <w:sz w:val="30"/>
          <w:szCs w:val="30"/>
          <w:rFonts w:ascii="Arial" w:cs="Arial" w:eastAsia="Arial" w:hAnsi="Arial"/>
        </w:rPr>
        <w:t xml:space="preserve">Dynamic Structural Models</w:t>
      </w:r>
    </w:p>
    <w:p>
      <w:pPr>
        <w:pStyle w:val="Heading3"/>
        <w:spacing w:before="200" w:after="100"/>
      </w:pPr>
      <w:r>
        <w:rPr>
          <w:b/>
          <w:bCs/>
          <w:sz w:val="26"/>
          <w:szCs w:val="26"/>
          <w:rFonts w:ascii="Arial" w:cs="Arial" w:eastAsia="Arial" w:hAnsi="Arial"/>
        </w:rPr>
        <w:t xml:space="preserve">Dynamic Discrete Choice Framework</w:t>
      </w:r>
    </w:p>
    <w:p>
      <w:pPr>
        <w:spacing w:after="120"/>
      </w:pPr>
      <w:r>
        <w:rPr>
          <w:sz w:val="24"/>
          <w:szCs w:val="24"/>
          <w:rFonts w:ascii="Arial" w:cs="Arial" w:eastAsia="Arial" w:hAnsi="Arial"/>
        </w:rPr>
        <w:t xml:space="preserve">Dynamic discrete choice (DDC) models extend static choice models to settings where current decisions affect future states and payoffs. The agent maximizes expected discounted lifetime utility:</w:t>
      </w:r>
    </w:p>
    <w:p>
      <w:pPr>
        <w:spacing w:after="120"/>
      </w:pPr>
      <w:r>
        <w:rPr>
          <w:sz w:val="24"/>
          <w:szCs w:val="24"/>
          <w:rFonts w:ascii="Arial" w:cs="Arial" w:eastAsia="Arial" w:hAnsi="Arial"/>
        </w:rPr>
        <w:t xml:space="preserve">V(sₜ, εₜ) = max_{d∈D} {u(d, sₜ, εₜ) + β E[V(sₜ₊₁, εₜ₊₁) | sₜ, d]}</w:t>
      </w:r>
    </w:p>
    <w:p>
      <w:pPr>
        <w:spacing w:after="120"/>
      </w:pPr>
      <w:r>
        <w:rPr>
          <w:sz w:val="24"/>
          <w:szCs w:val="24"/>
          <w:rFonts w:ascii="Arial" w:cs="Arial" w:eastAsia="Arial" w:hAnsi="Arial"/>
        </w:rPr>
        <w:t xml:space="preserve">where sₜ is the state vector (observable characteristics of the agent and environment), εₜ is the vector of choice-specific shocks (typically assumed Type I extreme value for tractability), d is the discrete choice, u(·) is the per-period utility, β is the discount factor, and the expectation is over future states and shocks.</w:t>
      </w:r>
    </w:p>
    <w:p>
      <w:pPr>
        <w:spacing w:after="120"/>
      </w:pPr>
      <w:r>
        <w:rPr>
          <w:sz w:val="24"/>
          <w:szCs w:val="24"/>
          <w:rFonts w:ascii="Arial" w:cs="Arial" w:eastAsia="Arial" w:hAnsi="Arial"/>
        </w:rPr>
        <w:t xml:space="preserve">The Bellman equation characterizes the optimal policy: the agent chooses the action that maximizes the sum of current-period utility and the discounted expected future value. The solution to this dynamic programming problem — the value function V(s, ε) and the optimal policy d*(s, ε) — depends on all model primitives (utility parameters, discount factor, state transition probabilities).</w:t>
      </w:r>
    </w:p>
    <w:p>
      <w:pPr>
        <w:pStyle w:val="Heading3"/>
        <w:spacing w:before="200" w:after="100"/>
      </w:pPr>
      <w:r>
        <w:rPr>
          <w:b/>
          <w:bCs/>
          <w:sz w:val="26"/>
          <w:szCs w:val="26"/>
          <w:rFonts w:ascii="Arial" w:cs="Arial" w:eastAsia="Arial" w:hAnsi="Arial"/>
        </w:rPr>
        <w:t xml:space="preserve">Estimation Approaches</w:t>
      </w:r>
    </w:p>
    <w:p>
      <w:pPr>
        <w:spacing w:after="120"/>
      </w:pPr>
      <w:r>
        <w:rPr>
          <w:sz w:val="24"/>
          <w:szCs w:val="24"/>
          <w:rFonts w:ascii="Arial" w:cs="Arial" w:eastAsia="Arial" w:hAnsi="Arial"/>
        </w:rPr>
      </w:r>
      <w:r>
        <w:rPr>
          <w:b/>
          <w:bCs/>
          <w:sz w:val="24"/>
          <w:szCs w:val="24"/>
          <w:rFonts w:ascii="Arial" w:cs="Arial" w:eastAsia="Arial" w:hAnsi="Arial"/>
        </w:rPr>
        <w:t xml:space="preserve">Nested Fixed Point (NFXP).</w:t>
      </w:r>
      <w:r>
        <w:rPr>
          <w:sz w:val="24"/>
          <w:szCs w:val="24"/>
          <w:rFonts w:ascii="Arial" w:cs="Arial" w:eastAsia="Arial" w:hAnsi="Arial"/>
        </w:rPr>
        <w:t xml:space="preserve"> Rust (1987) developed the NFXP algorithm: an inner loop solves the dynamic programming problem (computing V for given parameter values) and an outer loop searches over parameter values to maximize the likelihood of observed choices. NFXP is conceptually straightforward but computationally demanding because the DP must be solved at every parameter trial.</w:t>
      </w:r>
    </w:p>
    <w:p>
      <w:pPr>
        <w:spacing w:after="120"/>
      </w:pPr>
      <w:r>
        <w:rPr>
          <w:sz w:val="24"/>
          <w:szCs w:val="24"/>
          <w:rFonts w:ascii="Arial" w:cs="Arial" w:eastAsia="Arial" w:hAnsi="Arial"/>
        </w:rPr>
      </w:r>
      <w:r>
        <w:rPr>
          <w:b/>
          <w:bCs/>
          <w:sz w:val="24"/>
          <w:szCs w:val="24"/>
          <w:rFonts w:ascii="Arial" w:cs="Arial" w:eastAsia="Arial" w:hAnsi="Arial"/>
        </w:rPr>
        <w:t xml:space="preserve">Conditional Choice Probability (CCP) Estimation.</w:t>
      </w:r>
      <w:r>
        <w:rPr>
          <w:sz w:val="24"/>
          <w:szCs w:val="24"/>
          <w:rFonts w:ascii="Arial" w:cs="Arial" w:eastAsia="Arial" w:hAnsi="Arial"/>
        </w:rPr>
        <w:t xml:space="preserve"> Hotz and Miller (1993) showed that the value function can be expressed as a function of conditional choice probabilities — the observed probability of each choice conditional on the state — eliminating the need to solve the full DP. CCP estimation proceeds in two steps: (1) estimate the choice probabilities nonparametrically from the data; (2) use the estimated CCPs to construct the value function differences and estimate the structural parameters via MLE or GMM. CCP methods are computationally faster than NFXP but require consistent first-step estimation of the choice probabilities, which may require large samples.</w:t>
      </w:r>
    </w:p>
    <w:p>
      <w:pPr>
        <w:spacing w:after="120"/>
      </w:pPr>
      <w:r>
        <w:rPr>
          <w:sz w:val="24"/>
          <w:szCs w:val="24"/>
          <w:rFonts w:ascii="Arial" w:cs="Arial" w:eastAsia="Arial" w:hAnsi="Arial"/>
        </w:rPr>
      </w:r>
      <w:r>
        <w:rPr>
          <w:b/>
          <w:bCs/>
          <w:sz w:val="24"/>
          <w:szCs w:val="24"/>
          <w:rFonts w:ascii="Arial" w:cs="Arial" w:eastAsia="Arial" w:hAnsi="Arial"/>
        </w:rPr>
        <w:t xml:space="preserve">Mathematical Programming with Equilibrium Constraints (MPEC).</w:t>
      </w:r>
      <w:r>
        <w:rPr>
          <w:sz w:val="24"/>
          <w:szCs w:val="24"/>
          <w:rFonts w:ascii="Arial" w:cs="Arial" w:eastAsia="Arial" w:hAnsi="Arial"/>
        </w:rPr>
        <w:t xml:space="preserve"> Su and Judd (2012) reformulated the NFXP problem as a constrained optimization: maximize the likelihood subject to the constraint that the value function satisfies the Bellman equation. MPEC uses modern constrained optimization solvers (e.g., IPOPT) that simultaneously search over both parameters and the value function, often converging faster than the nested approach.</w:t>
      </w:r>
    </w:p>
    <w:p>
      <w:pPr>
        <w:pStyle w:val="Heading3"/>
        <w:spacing w:before="200" w:after="100"/>
      </w:pPr>
      <w:r>
        <w:rPr>
          <w:b/>
          <w:bCs/>
          <w:sz w:val="26"/>
          <w:szCs w:val="26"/>
          <w:rFonts w:ascii="Arial" w:cs="Arial" w:eastAsia="Arial" w:hAnsi="Arial"/>
        </w:rPr>
        <w:t xml:space="preserve">Health Economics Applications of DDC</w:t>
      </w:r>
    </w:p>
    <w:p>
      <w:pPr>
        <w:spacing w:after="120"/>
      </w:pPr>
      <w:r>
        <w:rPr>
          <w:sz w:val="24"/>
          <w:szCs w:val="24"/>
          <w:rFonts w:ascii="Arial" w:cs="Arial" w:eastAsia="Arial" w:hAnsi="Arial"/>
        </w:rPr>
      </w:r>
      <w:r>
        <w:rPr>
          <w:b/>
          <w:bCs/>
          <w:sz w:val="24"/>
          <w:szCs w:val="24"/>
          <w:rFonts w:ascii="Arial" w:cs="Arial" w:eastAsia="Arial" w:hAnsi="Arial"/>
        </w:rPr>
        <w:t xml:space="preserve">Patient medication adherence.</w:t>
      </w:r>
      <w:r>
        <w:rPr>
          <w:sz w:val="24"/>
          <w:szCs w:val="24"/>
          <w:rFonts w:ascii="Arial" w:cs="Arial" w:eastAsia="Arial" w:hAnsi="Arial"/>
        </w:rPr>
        <w:t xml:space="preserve"> Patients decide each period whether to refill a prescription, trading off current costs (copayment, side effects, inconvenience) against future health benefits (reduced disease progression, prevented hospitalizations). A DDC model of adherence can simulate the effects of alternative cost-sharing designs on long-term adherence and health outcomes — predictions that short-run reduced-form estimates cannot provide.</w:t>
      </w:r>
    </w:p>
    <w:p>
      <w:pPr>
        <w:spacing w:after="120"/>
      </w:pPr>
      <w:r>
        <w:rPr>
          <w:sz w:val="24"/>
          <w:szCs w:val="24"/>
          <w:rFonts w:ascii="Arial" w:cs="Arial" w:eastAsia="Arial" w:hAnsi="Arial"/>
        </w:rPr>
      </w:r>
      <w:r>
        <w:rPr>
          <w:b/>
          <w:bCs/>
          <w:sz w:val="24"/>
          <w:szCs w:val="24"/>
          <w:rFonts w:ascii="Arial" w:cs="Arial" w:eastAsia="Arial" w:hAnsi="Arial"/>
        </w:rPr>
        <w:t xml:space="preserve">Hospital technology adoption.</w:t>
      </w:r>
      <w:r>
        <w:rPr>
          <w:sz w:val="24"/>
          <w:szCs w:val="24"/>
          <w:rFonts w:ascii="Arial" w:cs="Arial" w:eastAsia="Arial" w:hAnsi="Arial"/>
        </w:rPr>
        <w:t xml:space="preserve"> Hospitals decide whether and when to adopt new technologies (robotic surgery, advanced imaging, new IT systems), considering current costs, expected future demand, competitive dynamics, and the option value of waiting for technology improvements. Schmidt-Dengler (2006) estimated a DDC model of MRI adoption by hospitals, finding that strategic considerations (preempting competitors) substantially accelerated adoption relative to the socially optimal timing.</w:t>
      </w:r>
    </w:p>
    <w:p>
      <w:pPr>
        <w:spacing w:after="120"/>
      </w:pPr>
      <w:r>
        <w:rPr>
          <w:sz w:val="24"/>
          <w:szCs w:val="24"/>
          <w:rFonts w:ascii="Arial" w:cs="Arial" w:eastAsia="Arial" w:hAnsi="Arial"/>
        </w:rPr>
      </w:r>
      <w:r>
        <w:rPr>
          <w:b/>
          <w:bCs/>
          <w:sz w:val="24"/>
          <w:szCs w:val="24"/>
          <w:rFonts w:ascii="Arial" w:cs="Arial" w:eastAsia="Arial" w:hAnsi="Arial"/>
        </w:rPr>
        <w:t xml:space="preserve">Physician practice location.</w:t>
      </w:r>
      <w:r>
        <w:rPr>
          <w:sz w:val="24"/>
          <w:szCs w:val="24"/>
          <w:rFonts w:ascii="Arial" w:cs="Arial" w:eastAsia="Arial" w:hAnsi="Arial"/>
        </w:rPr>
        <w:t xml:space="preserve"> Physicians choose where to practice, considering current income, future career prospects, amenity value of the location, and the cost of relocating. A DDC model of physician location choice can simulate the effects of alternative recruitment incentives (loan repayment amounts, service obligation lengths, practice support) on the geographic distribution of the physician workforce.</w:t>
      </w:r>
    </w:p>
    <w:p>
      <w:pPr>
        <w:pStyle w:val="Heading2"/>
        <w:spacing w:before="300" w:after="150"/>
      </w:pPr>
      <w:r>
        <w:rPr>
          <w:b/>
          <w:bCs/>
          <w:sz w:val="30"/>
          <w:szCs w:val="30"/>
          <w:rFonts w:ascii="Arial" w:cs="Arial" w:eastAsia="Arial" w:hAnsi="Arial"/>
        </w:rPr>
        <w:t xml:space="preserve">Computational Methods for Structural Estimation</w:t>
      </w:r>
    </w:p>
    <w:p>
      <w:pPr>
        <w:pStyle w:val="Heading3"/>
        <w:spacing w:before="200" w:after="100"/>
      </w:pPr>
      <w:r>
        <w:rPr>
          <w:b/>
          <w:bCs/>
          <w:sz w:val="26"/>
          <w:szCs w:val="26"/>
          <w:rFonts w:ascii="Arial" w:cs="Arial" w:eastAsia="Arial" w:hAnsi="Arial"/>
        </w:rPr>
        <w:t xml:space="preserve">Solving Dynamic Programs in Julia</w:t>
      </w:r>
    </w:p>
    <w:p>
      <w:pPr>
        <w:spacing w:after="120"/>
      </w:pPr>
      <w:r>
        <w:rPr>
          <w:sz w:val="24"/>
          <w:szCs w:val="24"/>
          <w:rFonts w:ascii="Arial" w:cs="Arial" w:eastAsia="Arial" w:hAnsi="Arial"/>
        </w:rPr>
        <w:t xml:space="preserve">Julia's computational advantages — JIT compilation, native multithreading, efficient array operations — make it well-suited for the computationally intensive inner loops of structural estimation. Value function iteration, the workhorse algorithm for solving finite-horizon and stationary infinite-horizon DPs, involves repeated application of the Bellman operator:</w:t>
      </w:r>
    </w:p>
    <w:p>
      <w:pPr>
        <w:spacing w:after="120"/>
      </w:pPr>
      <w:r>
        <w:rPr>
          <w:sz w:val="24"/>
          <w:szCs w:val="24"/>
          <w:rFonts w:ascii="Arial" w:cs="Arial" w:eastAsia="Arial" w:hAnsi="Arial"/>
        </w:rPr>
        <w:t xml:space="preserve">V⁽ᵗ⁺¹⁾(s) = max_d {u(d, s) + β Σ_{s'} P(s' | s, d) V⁽ᵗ⁾(s')}</w:t>
      </w:r>
    </w:p>
    <w:p>
      <w:pPr>
        <w:spacing w:after="120"/>
      </w:pPr>
      <w:r>
        <w:rPr>
          <w:sz w:val="24"/>
          <w:szCs w:val="24"/>
          <w:rFonts w:ascii="Arial" w:cs="Arial" w:eastAsia="Arial" w:hAnsi="Arial"/>
        </w:rPr>
        <w:t xml:space="preserve">until convergence (‖V⁽ᵗ⁺¹⁾ - V⁽ᵗ⁾‖ &lt; tolerance). The computation scales with |S| × |D| × |S| per iteration (state space × action space × state space for the transition sum), making the curse of dimensionality the binding constraint for models with rich state spaces.</w:t>
      </w:r>
    </w:p>
    <w:p>
      <w:pPr>
        <w:spacing w:after="120"/>
      </w:pPr>
      <w:r>
        <w:rPr>
          <w:sz w:val="24"/>
          <w:szCs w:val="24"/>
          <w:rFonts w:ascii="Arial" w:cs="Arial" w:eastAsia="Arial" w:hAnsi="Arial"/>
        </w:rPr>
        <w:t xml:space="preserve">Strategies for managing dimensionality in Julia include: discretizing continuous state variables on grids with interpolation between grid points (Interpolations.jl), exploiting sparsity in transition matrices (SparseArrays), parallelizing the Bellman operator across states (Threads.@threads), and using approximation methods (Chebyshev polynomial approximation of the value function, perturbation methods for models near a steady state).</w:t>
      </w:r>
    </w:p>
    <w:p>
      <w:pPr>
        <w:pStyle w:val="Heading3"/>
        <w:spacing w:before="200" w:after="100"/>
      </w:pPr>
      <w:r>
        <w:rPr>
          <w:b/>
          <w:bCs/>
          <w:sz w:val="26"/>
          <w:szCs w:val="26"/>
          <w:rFonts w:ascii="Arial" w:cs="Arial" w:eastAsia="Arial" w:hAnsi="Arial"/>
        </w:rPr>
        <w:t xml:space="preserve">GMM Estimation</w:t>
      </w:r>
    </w:p>
    <w:p>
      <w:pPr>
        <w:spacing w:after="120"/>
      </w:pPr>
      <w:r>
        <w:rPr>
          <w:sz w:val="24"/>
          <w:szCs w:val="24"/>
          <w:rFonts w:ascii="Arial" w:cs="Arial" w:eastAsia="Arial" w:hAnsi="Arial"/>
        </w:rPr>
        <w:t xml:space="preserve">Generalized Method of Moments (GMM) is the primary estimation method for structural models where the likelihood function is difficult to compute but moment conditions are available. The GMM estimator minimizes the quadratic form:</w:t>
      </w:r>
    </w:p>
    <w:p>
      <w:pPr>
        <w:spacing w:after="120"/>
      </w:pPr>
      <w:r>
        <w:rPr>
          <w:sz w:val="24"/>
          <w:szCs w:val="24"/>
          <w:rFonts w:ascii="Arial" w:cs="Arial" w:eastAsia="Arial" w:hAnsi="Arial"/>
        </w:rPr>
        <w:t xml:space="preserve">θ̂_GMM = argmin_θ [m(θ)]' W [m(θ)]</w:t>
      </w:r>
    </w:p>
    <w:p>
      <w:pPr>
        <w:spacing w:after="120"/>
      </w:pPr>
      <w:r>
        <w:rPr>
          <w:sz w:val="24"/>
          <w:szCs w:val="24"/>
          <w:rFonts w:ascii="Arial" w:cs="Arial" w:eastAsia="Arial" w:hAnsi="Arial"/>
        </w:rPr>
        <w:t xml:space="preserve">where m(θ) = (1/n) Σᵢ g(yᵢ, xᵢ, θ) is the sample moment vector, g(·) is the moment function derived from the structural model, and W is a positive definite weighting matrix. The efficient GMM uses W = [Var(m)]⁻¹, which minimizes the asymptotic variance of θ̂.</w:t>
      </w:r>
    </w:p>
    <w:p>
      <w:pPr>
        <w:spacing w:after="120"/>
      </w:pPr>
      <w:r>
        <w:rPr>
          <w:sz w:val="24"/>
          <w:szCs w:val="24"/>
          <w:rFonts w:ascii="Arial" w:cs="Arial" w:eastAsia="Arial" w:hAnsi="Arial"/>
        </w:rPr>
        <w:t xml:space="preserve">In BLP demand estimation, the moment conditions are E[ξⱼ(θ) × Zⱼ] = 0 — the unobserved quality term (recovered from the contraction mapping) is uncorrelated with the instruments. In bargaining models, the moment conditions may involve the predicted and observed negotiated prices. In DDC models, the moment conditions may involve the predicted and observed choice probabilities.</w:t>
      </w:r>
    </w:p>
    <w:p>
      <w:pPr>
        <w:pStyle w:val="Heading3"/>
        <w:spacing w:before="200" w:after="100"/>
      </w:pPr>
      <w:r>
        <w:rPr>
          <w:b/>
          <w:bCs/>
          <w:sz w:val="26"/>
          <w:szCs w:val="26"/>
          <w:rFonts w:ascii="Arial" w:cs="Arial" w:eastAsia="Arial" w:hAnsi="Arial"/>
        </w:rPr>
        <w:t xml:space="preserve">Simulation-Based Estimation</w:t>
      </w:r>
    </w:p>
    <w:p>
      <w:pPr>
        <w:spacing w:after="120"/>
      </w:pPr>
      <w:r>
        <w:rPr>
          <w:sz w:val="24"/>
          <w:szCs w:val="24"/>
          <w:rFonts w:ascii="Arial" w:cs="Arial" w:eastAsia="Arial" w:hAnsi="Arial"/>
        </w:rPr>
        <w:t xml:space="preserve">When the model's predictions involve integrals that cannot be computed analytically (as in mixed logit or models with continuous unobserved heterogeneity), simulation-based methods approximate the integrals:</w:t>
      </w:r>
    </w:p>
    <w:p>
      <w:pPr>
        <w:spacing w:after="120"/>
      </w:pPr>
      <w:r>
        <w:rPr>
          <w:sz w:val="24"/>
          <w:szCs w:val="24"/>
          <w:rFonts w:ascii="Arial" w:cs="Arial" w:eastAsia="Arial" w:hAnsi="Arial"/>
        </w:rPr>
      </w:r>
      <w:r>
        <w:rPr>
          <w:b/>
          <w:bCs/>
          <w:sz w:val="24"/>
          <w:szCs w:val="24"/>
          <w:rFonts w:ascii="Arial" w:cs="Arial" w:eastAsia="Arial" w:hAnsi="Arial"/>
        </w:rPr>
        <w:t xml:space="preserve">Simulated Maximum Likelihood (SML)</w:t>
      </w:r>
      <w:r>
        <w:rPr>
          <w:sz w:val="24"/>
          <w:szCs w:val="24"/>
          <w:rFonts w:ascii="Arial" w:cs="Arial" w:eastAsia="Arial" w:hAnsi="Arial"/>
        </w:rPr>
        <w:t xml:space="preserve"> replaces the intractable likelihood with a simulated approximation, averaging over R draws from the mixing distribution. Consistency requires R → ∞ as n → ∞, with R/√n → ∞ for efficiency.</w:t>
      </w:r>
    </w:p>
    <w:p>
      <w:pPr>
        <w:spacing w:after="120"/>
      </w:pPr>
      <w:r>
        <w:rPr>
          <w:sz w:val="24"/>
          <w:szCs w:val="24"/>
          <w:rFonts w:ascii="Arial" w:cs="Arial" w:eastAsia="Arial" w:hAnsi="Arial"/>
        </w:rPr>
      </w:r>
      <w:r>
        <w:rPr>
          <w:b/>
          <w:bCs/>
          <w:sz w:val="24"/>
          <w:szCs w:val="24"/>
          <w:rFonts w:ascii="Arial" w:cs="Arial" w:eastAsia="Arial" w:hAnsi="Arial"/>
        </w:rPr>
        <w:t xml:space="preserve">Method of Simulated Moments (MSM)</w:t>
      </w:r>
      <w:r>
        <w:rPr>
          <w:sz w:val="24"/>
          <w:szCs w:val="24"/>
          <w:rFonts w:ascii="Arial" w:cs="Arial" w:eastAsia="Arial" w:hAnsi="Arial"/>
        </w:rPr>
        <w:t xml:space="preserve"> replaces analytical moment predictions with simulated moments, computed by drawing synthetic data from the model and comparing simulated moments to data moments. MSM is useful when the likelihood is intractable but the model can be simulated.</w:t>
      </w:r>
    </w:p>
    <w:p>
      <w:pPr>
        <w:spacing w:after="120"/>
      </w:pPr>
      <w:r>
        <w:rPr>
          <w:sz w:val="24"/>
          <w:szCs w:val="24"/>
          <w:rFonts w:ascii="Arial" w:cs="Arial" w:eastAsia="Arial" w:hAnsi="Arial"/>
        </w:rPr>
      </w:r>
      <w:r>
        <w:rPr>
          <w:b/>
          <w:bCs/>
          <w:sz w:val="24"/>
          <w:szCs w:val="24"/>
          <w:rFonts w:ascii="Arial" w:cs="Arial" w:eastAsia="Arial" w:hAnsi="Arial"/>
        </w:rPr>
        <w:t xml:space="preserve">Table 17.1: Structural Models in Health Economics</w:t>
      </w:r>
      <w:r>
        <w:rPr>
          <w:sz w:val="24"/>
          <w:szCs w:val="24"/>
          <w:rFonts w:ascii="Arial" w:cs="Arial" w:eastAsia="Arial" w:hAnsi="Arial"/>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Model Class</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Key Papers</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Application</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Computational Method</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BLP demand + bargaining</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Gowrisankaran-Nevo-Town (2015)</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Hospital merger simulation</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Contraction mapping + Nash bargaining</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Insurance market equilibrium</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Einav-Finkelstein-Cullen (2010)</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Adverse selection welfare</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Sufficient statistics / demand + cost curves</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Network formation + bargaining</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Ho-Lee (2017)</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Hospital-insurer networks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Two-stage: network then prices</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Dynamic discrete choice</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Rust (1987); Crawford-Shum (2005)</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Technology adoption; drug choice</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NFXP, CCP, MPEC</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Dynamic physician supply</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Bolduc-Fortin-Fournier (1996)</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Physician location choice</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DDC with spatial states</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Optimal contract design</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Einav et al. (2013)</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Insurance contract design</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Selection + moral hazard decomposition</w:t>
            </w:r>
          </w:p>
        </w:tc>
      </w:tr>
    </w:tbl>
    <w:p>
      <w:pPr>
        <w:spacing w:after="200"/>
      </w:pPr>
    </w:p>
    <w:p>
      <w:pPr>
        <w:pStyle w:val="Heading2"/>
        <w:spacing w:before="300" w:after="150"/>
      </w:pPr>
      <w:r>
        <w:rPr>
          <w:b/>
          <w:bCs/>
          <w:sz w:val="30"/>
          <w:szCs w:val="30"/>
          <w:rFonts w:ascii="Arial" w:cs="Arial" w:eastAsia="Arial" w:hAnsi="Arial"/>
        </w:rPr>
        <w:t xml:space="preserve">Conclusion</w:t>
      </w:r>
    </w:p>
    <w:p>
      <w:pPr>
        <w:spacing w:after="120"/>
      </w:pPr>
      <w:r>
        <w:rPr>
          <w:sz w:val="24"/>
          <w:szCs w:val="24"/>
          <w:rFonts w:ascii="Arial" w:cs="Arial" w:eastAsia="Arial" w:hAnsi="Arial"/>
        </w:rPr>
        <w:t xml:space="preserve">Structural estimation provides the tools for understanding economic mechanisms and simulating counterfactual policies that reduced-form methods cannot address. The cost is additional modeling assumptions — functional forms, distributional assumptions, equilibrium concepts — that may be wrong and that are difficult to test. The field has developed a productive division of labor: reduced-form methods for credible causal estimation of specific treatment effects, structural methods for mechanism analysis and policy simulation.</w:t>
      </w:r>
    </w:p>
    <w:p>
      <w:pPr>
        <w:spacing w:after="120"/>
      </w:pPr>
      <w:r>
        <w:rPr>
          <w:sz w:val="24"/>
          <w:szCs w:val="24"/>
          <w:rFonts w:ascii="Arial" w:cs="Arial" w:eastAsia="Arial" w:hAnsi="Arial"/>
        </w:rPr>
        <w:t xml:space="preserve">The most compelling structural work in health economics validates its model against reduced-form evidence before using it for counterfactual prediction: if the structural model replicates the effects of observed policy changes (estimated via DiD, IV, or RD), its predictions for unobserved counterfactuals are more credible. This validation principle should guide applied structural work.</w:t>
      </w:r>
    </w:p>
    <w:p>
      <w:pPr>
        <w:spacing w:after="120"/>
      </w:pPr>
      <w:r>
        <w:rPr>
          <w:sz w:val="24"/>
          <w:szCs w:val="24"/>
          <w:rFonts w:ascii="Arial" w:cs="Arial" w:eastAsia="Arial" w:hAnsi="Arial"/>
        </w:rPr>
        <w:t xml:space="preserve">Julia's computational strengths — fast optimization (Optim.jl, JuMP.jl), efficient linear algebra, easy parallelism, multiple dispatch for model composition — make it well-suited for structural estimation, as demonstrated in Chapter 21.</w:t>
      </w:r>
    </w:p>
    <w:p>
      <w:pPr>
        <w:pStyle w:val="Heading2"/>
        <w:spacing w:before="300" w:after="150"/>
      </w:pPr>
      <w:r>
        <w:rPr>
          <w:b/>
          <w:bCs/>
          <w:sz w:val="30"/>
          <w:szCs w:val="30"/>
          <w:rFonts w:ascii="Arial" w:cs="Arial" w:eastAsia="Arial" w:hAnsi="Arial"/>
        </w:rPr>
        <w:t xml:space="preserve">References</w:t>
      </w:r>
    </w:p>
    <w:p>
      <w:pPr>
        <w:spacing w:after="120"/>
      </w:pPr>
      <w:r>
        <w:rPr>
          <w:sz w:val="24"/>
          <w:szCs w:val="24"/>
          <w:rFonts w:ascii="Arial" w:cs="Arial" w:eastAsia="Arial" w:hAnsi="Arial"/>
        </w:rPr>
        <w:t xml:space="preserve">1. Berry, S. T. (1994). Estimating discrete-choice models of product differentiation. </w:t>
      </w:r>
      <w:r>
        <w:rPr>
          <w:i/>
          <w:iCs/>
          <w:sz w:val="24"/>
          <w:szCs w:val="24"/>
          <w:rFonts w:ascii="Arial" w:cs="Arial" w:eastAsia="Arial" w:hAnsi="Arial"/>
        </w:rPr>
        <w:t xml:space="preserve">RAND Journal of Economics</w:t>
      </w:r>
      <w:r>
        <w:rPr>
          <w:sz w:val="24"/>
          <w:szCs w:val="24"/>
          <w:rFonts w:ascii="Arial" w:cs="Arial" w:eastAsia="Arial" w:hAnsi="Arial"/>
        </w:rPr>
        <w:t xml:space="preserve">, 25(2), 242-262.</w:t>
      </w:r>
    </w:p>
    <w:p>
      <w:pPr>
        <w:spacing w:after="120"/>
      </w:pPr>
      <w:r>
        <w:rPr>
          <w:sz w:val="24"/>
          <w:szCs w:val="24"/>
          <w:rFonts w:ascii="Arial" w:cs="Arial" w:eastAsia="Arial" w:hAnsi="Arial"/>
        </w:rPr>
        <w:t xml:space="preserve">2. Einav, L., Finkelstein, A., &amp; Cullen, M. R. (2010). Estimating welfare in insurance markets using variation in prices. </w:t>
      </w:r>
      <w:r>
        <w:rPr>
          <w:i/>
          <w:iCs/>
          <w:sz w:val="24"/>
          <w:szCs w:val="24"/>
          <w:rFonts w:ascii="Arial" w:cs="Arial" w:eastAsia="Arial" w:hAnsi="Arial"/>
        </w:rPr>
        <w:t xml:space="preserve">QJE</w:t>
      </w:r>
      <w:r>
        <w:rPr>
          <w:sz w:val="24"/>
          <w:szCs w:val="24"/>
          <w:rFonts w:ascii="Arial" w:cs="Arial" w:eastAsia="Arial" w:hAnsi="Arial"/>
        </w:rPr>
        <w:t xml:space="preserve">, 125(3), 877-921.</w:t>
      </w:r>
    </w:p>
    <w:p>
      <w:pPr>
        <w:spacing w:after="120"/>
      </w:pPr>
      <w:r>
        <w:rPr>
          <w:sz w:val="24"/>
          <w:szCs w:val="24"/>
          <w:rFonts w:ascii="Arial" w:cs="Arial" w:eastAsia="Arial" w:hAnsi="Arial"/>
        </w:rPr>
        <w:t xml:space="preserve">3. Einav, L., Finkelstein, A., Ryan, S. P., Schrimpf, P., &amp; Cullen, M. R. (2013). Selection on moral hazard in health insurance. </w:t>
      </w:r>
      <w:r>
        <w:rPr>
          <w:i/>
          <w:iCs/>
          <w:sz w:val="24"/>
          <w:szCs w:val="24"/>
          <w:rFonts w:ascii="Arial" w:cs="Arial" w:eastAsia="Arial" w:hAnsi="Arial"/>
        </w:rPr>
        <w:t xml:space="preserve">AER</w:t>
      </w:r>
      <w:r>
        <w:rPr>
          <w:sz w:val="24"/>
          <w:szCs w:val="24"/>
          <w:rFonts w:ascii="Arial" w:cs="Arial" w:eastAsia="Arial" w:hAnsi="Arial"/>
        </w:rPr>
        <w:t xml:space="preserve">, 103(1), 178-219.</w:t>
      </w:r>
    </w:p>
    <w:p>
      <w:pPr>
        <w:spacing w:after="120"/>
      </w:pPr>
      <w:r>
        <w:rPr>
          <w:sz w:val="24"/>
          <w:szCs w:val="24"/>
          <w:rFonts w:ascii="Arial" w:cs="Arial" w:eastAsia="Arial" w:hAnsi="Arial"/>
        </w:rPr>
        <w:t xml:space="preserve">4. Gowrisankaran, G., Nevo, A., &amp; Town, R. (2015). Mergers when prices are negotiated. </w:t>
      </w:r>
      <w:r>
        <w:rPr>
          <w:i/>
          <w:iCs/>
          <w:sz w:val="24"/>
          <w:szCs w:val="24"/>
          <w:rFonts w:ascii="Arial" w:cs="Arial" w:eastAsia="Arial" w:hAnsi="Arial"/>
        </w:rPr>
        <w:t xml:space="preserve">AER</w:t>
      </w:r>
      <w:r>
        <w:rPr>
          <w:sz w:val="24"/>
          <w:szCs w:val="24"/>
          <w:rFonts w:ascii="Arial" w:cs="Arial" w:eastAsia="Arial" w:hAnsi="Arial"/>
        </w:rPr>
        <w:t xml:space="preserve">, 105(1), 172-203.</w:t>
      </w:r>
    </w:p>
    <w:p>
      <w:pPr>
        <w:spacing w:after="120"/>
      </w:pPr>
      <w:r>
        <w:rPr>
          <w:sz w:val="24"/>
          <w:szCs w:val="24"/>
          <w:rFonts w:ascii="Arial" w:cs="Arial" w:eastAsia="Arial" w:hAnsi="Arial"/>
        </w:rPr>
        <w:t xml:space="preserve">5. Ho, K., &amp; Lee, R. S. (2017). Insurer competition in health care markets. </w:t>
      </w:r>
      <w:r>
        <w:rPr>
          <w:i/>
          <w:iCs/>
          <w:sz w:val="24"/>
          <w:szCs w:val="24"/>
          <w:rFonts w:ascii="Arial" w:cs="Arial" w:eastAsia="Arial" w:hAnsi="Arial"/>
        </w:rPr>
        <w:t xml:space="preserve">Econometrica</w:t>
      </w:r>
      <w:r>
        <w:rPr>
          <w:sz w:val="24"/>
          <w:szCs w:val="24"/>
          <w:rFonts w:ascii="Arial" w:cs="Arial" w:eastAsia="Arial" w:hAnsi="Arial"/>
        </w:rPr>
        <w:t xml:space="preserve">, 85(2), 379-417.</w:t>
      </w:r>
    </w:p>
    <w:p>
      <w:pPr>
        <w:spacing w:after="120"/>
      </w:pPr>
      <w:r>
        <w:rPr>
          <w:sz w:val="24"/>
          <w:szCs w:val="24"/>
          <w:rFonts w:ascii="Arial" w:cs="Arial" w:eastAsia="Arial" w:hAnsi="Arial"/>
        </w:rPr>
        <w:t xml:space="preserve">6. Hotz, V. J., &amp; Miller, R. A. (1993). Conditional choice probabilities and the estimation of dynamic models. </w:t>
      </w:r>
      <w:r>
        <w:rPr>
          <w:i/>
          <w:iCs/>
          <w:sz w:val="24"/>
          <w:szCs w:val="24"/>
          <w:rFonts w:ascii="Arial" w:cs="Arial" w:eastAsia="Arial" w:hAnsi="Arial"/>
        </w:rPr>
        <w:t xml:space="preserve">RES</w:t>
      </w:r>
      <w:r>
        <w:rPr>
          <w:sz w:val="24"/>
          <w:szCs w:val="24"/>
          <w:rFonts w:ascii="Arial" w:cs="Arial" w:eastAsia="Arial" w:hAnsi="Arial"/>
        </w:rPr>
        <w:t xml:space="preserve">, 60(3), 497-529.</w:t>
      </w:r>
    </w:p>
    <w:p>
      <w:pPr>
        <w:spacing w:after="120"/>
      </w:pPr>
      <w:r>
        <w:rPr>
          <w:sz w:val="24"/>
          <w:szCs w:val="24"/>
          <w:rFonts w:ascii="Arial" w:cs="Arial" w:eastAsia="Arial" w:hAnsi="Arial"/>
        </w:rPr>
        <w:t xml:space="preserve">7. Rust, J. (1987). Optimal replacement of GMC bus engines. </w:t>
      </w:r>
      <w:r>
        <w:rPr>
          <w:i/>
          <w:iCs/>
          <w:sz w:val="24"/>
          <w:szCs w:val="24"/>
          <w:rFonts w:ascii="Arial" w:cs="Arial" w:eastAsia="Arial" w:hAnsi="Arial"/>
        </w:rPr>
        <w:t xml:space="preserve">Econometrica</w:t>
      </w:r>
      <w:r>
        <w:rPr>
          <w:sz w:val="24"/>
          <w:szCs w:val="24"/>
          <w:rFonts w:ascii="Arial" w:cs="Arial" w:eastAsia="Arial" w:hAnsi="Arial"/>
        </w:rPr>
        <w:t xml:space="preserve">, 55(5), 999-1033.</w:t>
      </w:r>
    </w:p>
    <w:p>
      <w:pPr>
        <w:spacing w:after="120"/>
      </w:pPr>
      <w:r>
        <w:rPr>
          <w:sz w:val="24"/>
          <w:szCs w:val="24"/>
          <w:rFonts w:ascii="Arial" w:cs="Arial" w:eastAsia="Arial" w:hAnsi="Arial"/>
        </w:rPr>
        <w:t xml:space="preserve">8. Su, C.-L., &amp; Judd, K. L. (2012). Constrained optimization approaches to estimation of structural models. </w:t>
      </w:r>
      <w:r>
        <w:rPr>
          <w:i/>
          <w:iCs/>
          <w:sz w:val="24"/>
          <w:szCs w:val="24"/>
          <w:rFonts w:ascii="Arial" w:cs="Arial" w:eastAsia="Arial" w:hAnsi="Arial"/>
        </w:rPr>
        <w:t xml:space="preserve">Econometrica</w:t>
      </w:r>
      <w:r>
        <w:rPr>
          <w:sz w:val="24"/>
          <w:szCs w:val="24"/>
          <w:rFonts w:ascii="Arial" w:cs="Arial" w:eastAsia="Arial" w:hAnsi="Arial"/>
        </w:rPr>
        <w:t xml:space="preserve">, 80(5), 2213-2230.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Fonts w:ascii="Arial" w:cs="Arial" w:eastAsia="Arial" w:hAnsi="Arial"/>
      </w:rPr>
      <w:t xml:space="preserve">Chapter 17: Structural Estimation in Health Economic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00" w:after="150"/>
      <w:outlineLvl w:val="1"/>
    </w:pPr>
    <w:rPr>
      <w:b/>
      <w:bCs/>
      <w:sz w:val="30"/>
      <w:szCs w:val="30"/>
      <w:rFonts w:ascii="Arial" w:cs="Arial" w:eastAsia="Arial" w:hAnsi="Arial"/>
    </w:rPr>
  </w:style>
  <w:style w:type="paragraph" w:styleId="Heading3">
    <w:name w:val="Heading 3"/>
    <w:basedOn w:val="Normal"/>
    <w:next w:val="Normal"/>
    <w:qFormat/>
    <w:pPr>
      <w:spacing w:before="200" w:after="100"/>
      <w:outlineLvl w:val="2"/>
    </w:pPr>
    <w:rPr>
      <w:b/>
      <w:bCs/>
      <w:sz w:val="26"/>
      <w:szCs w:val="26"/>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2026-04-16T00:40:10.066Z</dcterms:created>
  <dcterms:modified xsi:type="dcterms:W3CDTF">2026-04-16T00:40:10.067Z</dcterms:modified>
</cp:coreProperties>
</file>

<file path=docProps/custom.xml><?xml version="1.0" encoding="utf-8"?>
<Properties xmlns="http://schemas.openxmlformats.org/officeDocument/2006/custom-properties" xmlns:vt="http://schemas.openxmlformats.org/officeDocument/2006/docPropsVTypes"/>
</file>