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21</w:t>
      </w:r>
    </w:p>
    <w:p>
      <w:pPr>
        <w:jc w:val="center"/>
      </w:pPr>
      <w:r>
        <w:rPr>
          <w:i/>
          <w:iCs/>
          <w:sz w:val="32"/>
          <w:szCs w:val="32"/>
          <w:rFonts w:ascii="Arial" w:cs="Arial" w:eastAsia="Arial" w:hAnsi="Arial"/>
        </w:rPr>
        <w:t xml:space="preserve">Statistical Computing and Regression in Julia</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This chapter implements every econometric method from Chapters 9-14 in Julia, providing production-ready code for the core statistical computing tasks in health economics research. Each section presents the Julia package and syntax, demonstrates the method with simulated healthcare data, shows how to extract and interpret results, and addresses the practical considerations (robust standard errors, clustered inference, marginal effects, diagnostic tests) that are essential for credible applied work. The chapter is organized to parallel the methodological development of Chapters 9-14, enabling the reader to move between the theoretical discussion and its computational implementation.</w:t>
      </w:r>
    </w:p>
    <w:p>
      <w:pPr>
        <w:pStyle w:val="Heading2"/>
        <w:spacing w:before="300" w:after="150"/>
      </w:pPr>
      <w:r>
        <w:rPr>
          <w:b/>
          <w:bCs/>
          <w:sz w:val="30"/>
          <w:szCs w:val="30"/>
          <w:rFonts w:ascii="Arial" w:cs="Arial" w:eastAsia="Arial" w:hAnsi="Arial"/>
        </w:rPr>
        <w:t xml:space="preserve">OLS Regression with Robust Inference</w:t>
      </w:r>
    </w:p>
    <w:p>
      <w:pPr>
        <w:spacing w:after="120"/>
      </w:pPr>
      <w:r>
        <w:rPr>
          <w:sz w:val="24"/>
          <w:szCs w:val="24"/>
          <w:rFonts w:ascii="Arial" w:cs="Arial" w:eastAsia="Arial" w:hAnsi="Arial"/>
        </w:rPr>
        <w:t xml:space="preserve">GLM.jl provides the standard interface for regression modeling in Julia. The @formula macro from StatsModels.jl specifies the regression equation using the same symbolic syntax familiar from R:</w:t>
      </w:r>
    </w:p>
    <w:p>
      <w:pPr>
        <w:spacing w:after="120"/>
      </w:pPr>
      <w:r>
        <w:rPr>
          <w:sz w:val="24"/>
          <w:szCs w:val="24"/>
          <w:rFonts w:ascii="Arial" w:cs="Arial" w:eastAsia="Arial" w:hAnsi="Arial"/>
        </w:rPr>
        <w:t xml:space="preserve">model = lm(@formula(log_cost ~ age + female + n_chronic + insurance_type), df)</w:t>
      </w:r>
    </w:p>
    <w:p>
      <w:pPr>
        <w:spacing w:after="120"/>
      </w:pPr>
      <w:r>
        <w:rPr>
          <w:sz w:val="24"/>
          <w:szCs w:val="24"/>
          <w:rFonts w:ascii="Arial" w:cs="Arial" w:eastAsia="Arial" w:hAnsi="Arial"/>
        </w:rPr>
        <w:t xml:space="preserve">The output includes coefficient estimates, standard errors, t-statistics, p-values, R², and residual diagnostics. By default, GLM.jl reports classical (homoscedastic) standard errors. For health economics applications, robust standard errors should always be computed using the CovarianceMatrices.jl package, which provides HC0-HC5 heteroscedasticity-consistent estimators and cluster-robust estimators at arbitrary levels.</w:t>
      </w:r>
    </w:p>
    <w:p>
      <w:pPr>
        <w:spacing w:after="120"/>
      </w:pPr>
      <w:r>
        <w:rPr>
          <w:sz w:val="24"/>
          <w:szCs w:val="24"/>
          <w:rFonts w:ascii="Arial" w:cs="Arial" w:eastAsia="Arial" w:hAnsi="Arial"/>
        </w:rPr>
        <w:t xml:space="preserve">Clustered standard errors — essential for DiD analyses where treatment varies at the state level, and for studies where patients are nested within hospitals — are computed by specifying the clustering variable. The choice of clustering level follows the principle articulated by Bertrand, Duflo, and Mullainathan (2004): cluster at the level at which the treatment varies.</w:t>
      </w:r>
    </w:p>
    <w:p>
      <w:pPr>
        <w:pStyle w:val="Heading2"/>
        <w:spacing w:before="300" w:after="150"/>
      </w:pPr>
      <w:r>
        <w:rPr>
          <w:b/>
          <w:bCs/>
          <w:sz w:val="30"/>
          <w:szCs w:val="30"/>
          <w:rFonts w:ascii="Arial" w:cs="Arial" w:eastAsia="Arial" w:hAnsi="Arial"/>
        </w:rPr>
        <w:t xml:space="preserve">Fixed Effects Models</w:t>
      </w:r>
    </w:p>
    <w:p>
      <w:pPr>
        <w:spacing w:after="120"/>
      </w:pPr>
      <w:r>
        <w:rPr>
          <w:sz w:val="24"/>
          <w:szCs w:val="24"/>
          <w:rFonts w:ascii="Arial" w:cs="Arial" w:eastAsia="Arial" w:hAnsi="Arial"/>
        </w:rPr>
        <w:t xml:space="preserve">FixedEffectModels.jl is Julia's premier package for high-dimensional fixed effects estimation. It uses the method of alternating projections to absorb millions of fixed effects efficiently, making it comparable to Stata's reghdfe in both speed and capability:</w:t>
      </w:r>
    </w:p>
    <w:p>
      <w:pPr>
        <w:spacing w:after="120"/>
      </w:pPr>
      <w:r>
        <w:rPr>
          <w:sz w:val="24"/>
          <w:szCs w:val="24"/>
          <w:rFonts w:ascii="Arial" w:cs="Arial" w:eastAsia="Arial" w:hAnsi="Arial"/>
        </w:rPr>
        <w:t xml:space="preserve">result = reg(df, @formula(readmission ~ payment_reform + patient_age + cmI + fe(hospital_id) + fe(year)), Vcov.cluster(:state_id))</w:t>
      </w:r>
    </w:p>
    <w:p>
      <w:pPr>
        <w:spacing w:after="120"/>
      </w:pPr>
      <w:r>
        <w:rPr>
          <w:sz w:val="24"/>
          <w:szCs w:val="24"/>
          <w:rFonts w:ascii="Arial" w:cs="Arial" w:eastAsia="Arial" w:hAnsi="Arial"/>
        </w:rPr>
        <w:t xml:space="preserve">The fe() notation absorbs the specified fixed effects without estimating their coefficients — essential when the number of fixed effects is large (thousands of hospitals, dozens of years). Two-way fixed effects (hospital + year) are specified by including multiple fe() terms. The Vcov.cluster() specification provides clustered standard errors.</w:t>
      </w:r>
    </w:p>
    <w:p>
      <w:pPr>
        <w:spacing w:after="120"/>
      </w:pPr>
      <w:r>
        <w:rPr>
          <w:sz w:val="24"/>
          <w:szCs w:val="24"/>
          <w:rFonts w:ascii="Arial" w:cs="Arial" w:eastAsia="Arial" w:hAnsi="Arial"/>
        </w:rPr>
        <w:t xml:space="preserve">First-stage F-statistics for IV estimation, within-R² (the R² after absorbing fixed effects), and the number of absorbed fixed effects are reported automatically.</w:t>
      </w:r>
    </w:p>
    <w:p>
      <w:pPr>
        <w:pStyle w:val="Heading2"/>
        <w:spacing w:before="300" w:after="150"/>
      </w:pPr>
      <w:r>
        <w:rPr>
          <w:b/>
          <w:bCs/>
          <w:sz w:val="30"/>
          <w:szCs w:val="30"/>
          <w:rFonts w:ascii="Arial" w:cs="Arial" w:eastAsia="Arial" w:hAnsi="Arial"/>
        </w:rPr>
        <w:t xml:space="preserve">Instrumental Variables</w:t>
      </w:r>
    </w:p>
    <w:p>
      <w:pPr>
        <w:spacing w:after="120"/>
      </w:pPr>
      <w:r>
        <w:rPr>
          <w:sz w:val="24"/>
          <w:szCs w:val="24"/>
          <w:rFonts w:ascii="Arial" w:cs="Arial" w:eastAsia="Arial" w:hAnsi="Arial"/>
        </w:rPr>
        <w:t xml:space="preserve">Two-stage least squares is implemented in FixedEffectModels.jl using the parenthetical IV syntax:</w:t>
      </w:r>
    </w:p>
    <w:p>
      <w:pPr>
        <w:spacing w:after="120"/>
      </w:pPr>
      <w:r>
        <w:rPr>
          <w:sz w:val="24"/>
          <w:szCs w:val="24"/>
          <w:rFonts w:ascii="Arial" w:cs="Arial" w:eastAsia="Arial" w:hAnsi="Arial"/>
        </w:rPr>
        <w:t xml:space="preserve">iv_result = reg(df, @formula(utilization ~ age + chronic + (insurance ~ lottery_winner) + fe(year)), Vcov.cluster(:state_id))</w:t>
      </w:r>
    </w:p>
    <w:p>
      <w:pPr>
        <w:spacing w:after="120"/>
      </w:pPr>
      <w:r>
        <w:rPr>
          <w:sz w:val="24"/>
          <w:szCs w:val="24"/>
          <w:rFonts w:ascii="Arial" w:cs="Arial" w:eastAsia="Arial" w:hAnsi="Arial"/>
        </w:rPr>
        <w:t xml:space="preserve">The (endogenous ~ instrument) notation specifies the endogenous variable and its instrument. Multiple endogenous variables and instruments are supported. The output reports both first-stage and second-stage results, the first-stage F-statistic for weak instrument diagnostics, and the Kleibergen-Paap Wald rk statistic for models with multiple endogenous variables.</w:t>
      </w:r>
    </w:p>
    <w:p>
      <w:pPr>
        <w:pStyle w:val="Heading2"/>
        <w:spacing w:before="300" w:after="150"/>
      </w:pPr>
      <w:r>
        <w:rPr>
          <w:b/>
          <w:bCs/>
          <w:sz w:val="30"/>
          <w:szCs w:val="30"/>
          <w:rFonts w:ascii="Arial" w:cs="Arial" w:eastAsia="Arial" w:hAnsi="Arial"/>
        </w:rPr>
        <w:t xml:space="preserve">GLM for Healthcare Costs</w:t>
      </w:r>
    </w:p>
    <w:p>
      <w:pPr>
        <w:spacing w:after="120"/>
      </w:pPr>
      <w:r>
        <w:rPr>
          <w:sz w:val="24"/>
          <w:szCs w:val="24"/>
          <w:rFonts w:ascii="Arial" w:cs="Arial" w:eastAsia="Arial" w:hAnsi="Arial"/>
        </w:rPr>
        <w:t xml:space="preserve">GLM.jl implements generalized linear models with the full range of distribution families and link functions needed for healthcare cost modeling:</w:t>
      </w:r>
    </w:p>
    <w:p>
      <w:pPr>
        <w:spacing w:after="120"/>
      </w:pPr>
      <w:r>
        <w:rPr>
          <w:sz w:val="24"/>
          <w:szCs w:val="24"/>
          <w:rFonts w:ascii="Arial" w:cs="Arial" w:eastAsia="Arial" w:hAnsi="Arial"/>
        </w:rPr>
        <w:t xml:space="preserve">gamma_log = glm(@formula(cost ~ age + female + n_chronic + procedure), subset(df, :cost .&gt; 0), Gamma(), LogLink())</w:t>
      </w:r>
    </w:p>
    <w:p>
      <w:pPr>
        <w:spacing w:after="120"/>
      </w:pPr>
      <w:r>
        <w:rPr>
          <w:sz w:val="24"/>
          <w:szCs w:val="24"/>
          <w:rFonts w:ascii="Arial" w:cs="Arial" w:eastAsia="Arial" w:hAnsi="Arial"/>
        </w:rPr>
        <w:t xml:space="preserve">The modified Park test for variance function selection is implemented by extracting raw-scale residuals, computing log(residual²), regressing on log(predicted mean), and testing the slope coefficient — α ≈ 0 suggests Gaussian, α ≈ 1 suggests Poisson, α ≈ 2 suggests Gamma (the most common finding for healthcare costs), and α ≈ 3 suggests Inverse Gaussian.</w:t>
      </w:r>
    </w:p>
    <w:p>
      <w:pPr>
        <w:pStyle w:val="Heading2"/>
        <w:spacing w:before="300" w:after="150"/>
      </w:pPr>
      <w:r>
        <w:rPr>
          <w:b/>
          <w:bCs/>
          <w:sz w:val="30"/>
          <w:szCs w:val="30"/>
          <w:rFonts w:ascii="Arial" w:cs="Arial" w:eastAsia="Arial" w:hAnsi="Arial"/>
        </w:rPr>
        <w:t xml:space="preserve">Two-Part Models</w:t>
      </w:r>
    </w:p>
    <w:p>
      <w:pPr>
        <w:spacing w:after="120"/>
      </w:pPr>
      <w:r>
        <w:rPr>
          <w:sz w:val="24"/>
          <w:szCs w:val="24"/>
          <w:rFonts w:ascii="Arial" w:cs="Arial" w:eastAsia="Arial" w:hAnsi="Arial"/>
        </w:rPr>
        <w:t xml:space="preserve">The healthcare expenditure two-part model combines a binary first part (any spending) with a continuous second part (spending conditional on positive):</w:t>
      </w:r>
    </w:p>
    <w:p>
      <w:pPr>
        <w:spacing w:after="120"/>
      </w:pPr>
      <w:r>
        <w:rPr>
          <w:sz w:val="24"/>
          <w:szCs w:val="24"/>
          <w:rFonts w:ascii="Arial" w:cs="Arial" w:eastAsia="Arial" w:hAnsi="Arial"/>
        </w:rPr>
        <w:t xml:space="preserve"># Part 1: probability of any spending</w:t>
      </w:r>
    </w:p>
    <w:p>
      <w:pPr>
        <w:spacing w:after="120"/>
      </w:pPr>
      <w:r>
        <w:rPr>
          <w:sz w:val="24"/>
          <w:szCs w:val="24"/>
          <w:rFonts w:ascii="Arial" w:cs="Arial" w:eastAsia="Arial" w:hAnsi="Arial"/>
        </w:rPr>
        <w:t xml:space="preserve">part1 = glm(@formula(any_spend ~ age + female + chronic + insurance), df, Binomial(), LogitLink())</w:t>
      </w:r>
    </w:p>
    <w:p>
      <w:pPr>
        <w:spacing w:after="120"/>
      </w:pPr>
      <w:r>
        <w:rPr>
          <w:sz w:val="24"/>
          <w:szCs w:val="24"/>
          <w:rFonts w:ascii="Arial" w:cs="Arial" w:eastAsia="Arial" w:hAnsi="Arial"/>
        </w:rPr>
        <w:t xml:space="preserve"># Part 2: spending conditional on positive (gamma-log GLM)</w:t>
      </w:r>
    </w:p>
    <w:p>
      <w:pPr>
        <w:spacing w:after="120"/>
      </w:pPr>
      <w:r>
        <w:rPr>
          <w:sz w:val="24"/>
          <w:szCs w:val="24"/>
          <w:rFonts w:ascii="Arial" w:cs="Arial" w:eastAsia="Arial" w:hAnsi="Arial"/>
        </w:rPr>
        <w:t xml:space="preserve">df_pos = subset(df, :cost .&gt; 0)</w:t>
      </w:r>
    </w:p>
    <w:p>
      <w:pPr>
        <w:spacing w:after="120"/>
      </w:pPr>
      <w:r>
        <w:rPr>
          <w:sz w:val="24"/>
          <w:szCs w:val="24"/>
          <w:rFonts w:ascii="Arial" w:cs="Arial" w:eastAsia="Arial" w:hAnsi="Arial"/>
        </w:rPr>
        <w:t xml:space="preserve">part2 = glm(@formula(cost ~ age + female + chronic + insurance), df_pos, Gamma(), LogLink())</w:t>
      </w:r>
    </w:p>
    <w:p>
      <w:pPr>
        <w:spacing w:after="120"/>
      </w:pPr>
      <w:r>
        <w:rPr>
          <w:sz w:val="24"/>
          <w:szCs w:val="24"/>
          <w:rFonts w:ascii="Arial" w:cs="Arial" w:eastAsia="Arial" w:hAnsi="Arial"/>
        </w:rPr>
        <w:t xml:space="preserve">Combined predictions multiply the predicted probability from Part 1 by the predicted conditional mean from Part 2: ŷ = p̂ × μ̂. Bootstrap standard errors for the combined predictions are computed using the Bootstrap.jl package, resampling the original data with replacement and re-estimating both parts on each bootstrap replicate.</w:t>
      </w:r>
    </w:p>
    <w:p>
      <w:pPr>
        <w:pStyle w:val="Heading2"/>
        <w:spacing w:before="300" w:after="150"/>
      </w:pPr>
      <w:r>
        <w:rPr>
          <w:b/>
          <w:bCs/>
          <w:sz w:val="30"/>
          <w:szCs w:val="30"/>
          <w:rFonts w:ascii="Arial" w:cs="Arial" w:eastAsia="Arial" w:hAnsi="Arial"/>
        </w:rPr>
        <w:t xml:space="preserve">Count Data Models</w:t>
      </w:r>
    </w:p>
    <w:p>
      <w:pPr>
        <w:spacing w:after="120"/>
      </w:pPr>
      <w:r>
        <w:rPr>
          <w:sz w:val="24"/>
          <w:szCs w:val="24"/>
          <w:rFonts w:ascii="Arial" w:cs="Arial" w:eastAsia="Arial" w:hAnsi="Arial"/>
        </w:rPr>
        <w:t xml:space="preserve">Poisson regression for healthcare utilization counts:</w:t>
      </w:r>
    </w:p>
    <w:p>
      <w:pPr>
        <w:spacing w:after="120"/>
      </w:pPr>
      <w:r>
        <w:rPr>
          <w:sz w:val="24"/>
          <w:szCs w:val="24"/>
          <w:rFonts w:ascii="Arial" w:cs="Arial" w:eastAsia="Arial" w:hAnsi="Arial"/>
        </w:rPr>
        <w:t xml:space="preserve">poisson_model = glm(@formula(ed_visits ~ age + chronic + insurance + rural), df, Poisson(), LogLink())</w:t>
      </w:r>
    </w:p>
    <w:p>
      <w:pPr>
        <w:spacing w:after="120"/>
      </w:pPr>
      <w:r>
        <w:rPr>
          <w:sz w:val="24"/>
          <w:szCs w:val="24"/>
          <w:rFonts w:ascii="Arial" w:cs="Arial" w:eastAsia="Arial" w:hAnsi="Arial"/>
        </w:rPr>
        <w:t xml:space="preserve">Coefficients are interpreted as log incidence rate ratios: exp(coef(poisson_model)) gives the IRR for each covariate. Negative binomial regression, which accommodates overdispersion (variance &gt; mean), requires custom MLE implementation using Optim.jl or the NegativeBinomial distribution from Distributions.jl.</w:t>
      </w:r>
    </w:p>
    <w:p>
      <w:pPr>
        <w:spacing w:after="120"/>
      </w:pPr>
      <w:r>
        <w:rPr>
          <w:sz w:val="24"/>
          <w:szCs w:val="24"/>
          <w:rFonts w:ascii="Arial" w:cs="Arial" w:eastAsia="Arial" w:hAnsi="Arial"/>
        </w:rPr>
        <w:t xml:space="preserve">Zero-inflated models (ZIP, ZINB) and hurdle models are implemented through custom log-likelihood functions optimized with Optim.jl, with the likelihood contribution from zero observations computed as the mixture probability.</w:t>
      </w:r>
    </w:p>
    <w:p>
      <w:pPr>
        <w:pStyle w:val="Heading2"/>
        <w:spacing w:before="300" w:after="150"/>
      </w:pPr>
      <w:r>
        <w:rPr>
          <w:b/>
          <w:bCs/>
          <w:sz w:val="30"/>
          <w:szCs w:val="30"/>
          <w:rFonts w:ascii="Arial" w:cs="Arial" w:eastAsia="Arial" w:hAnsi="Arial"/>
        </w:rPr>
        <w:t xml:space="preserve">Survival Analysis</w:t>
      </w:r>
    </w:p>
    <w:p>
      <w:pPr>
        <w:spacing w:after="120"/>
      </w:pPr>
      <w:r>
        <w:rPr>
          <w:sz w:val="24"/>
          <w:szCs w:val="24"/>
          <w:rFonts w:ascii="Arial" w:cs="Arial" w:eastAsia="Arial" w:hAnsi="Arial"/>
        </w:rPr>
        <w:t xml:space="preserve">Survival.jl provides Kaplan-Meier estimation and Cox proportional hazards:</w:t>
      </w:r>
    </w:p>
    <w:p>
      <w:pPr>
        <w:spacing w:after="120"/>
      </w:pPr>
      <w:r>
        <w:rPr>
          <w:sz w:val="24"/>
          <w:szCs w:val="24"/>
          <w:rFonts w:ascii="Arial" w:cs="Arial" w:eastAsia="Arial" w:hAnsi="Arial"/>
        </w:rPr>
        <w:t xml:space="preserve">km = fit(KaplanMeier, df.time, df.event)  # KM estimator</w:t>
      </w:r>
    </w:p>
    <w:p>
      <w:pPr>
        <w:spacing w:after="120"/>
      </w:pPr>
      <w:r>
        <w:rPr>
          <w:sz w:val="24"/>
          <w:szCs w:val="24"/>
          <w:rFonts w:ascii="Arial" w:cs="Arial" w:eastAsia="Arial" w:hAnsi="Arial"/>
        </w:rPr>
        <w:t xml:space="preserve">cox = fit(CoxModel, @formula(Surv(time, event) ~ age + treatment + comorbidity), df)</w:t>
      </w:r>
    </w:p>
    <w:p>
      <w:pPr>
        <w:spacing w:after="120"/>
      </w:pPr>
      <w:r>
        <w:rPr>
          <w:sz w:val="24"/>
          <w:szCs w:val="24"/>
          <w:rFonts w:ascii="Arial" w:cs="Arial" w:eastAsia="Arial" w:hAnsi="Arial"/>
        </w:rPr>
        <w:t xml:space="preserve">Hazard ratios are computed as exp(coef(cox)). The Schoenfeld residual test for the proportional hazards assumption, stratified Cox models (allowing different baseline hazards for different strata), and time-varying covariates extend the basic Cox model for complex health economics applications.</w:t>
      </w:r>
    </w:p>
    <w:p>
      <w:pPr>
        <w:spacing w:after="120"/>
      </w:pPr>
      <w:r>
        <w:rPr>
          <w:sz w:val="24"/>
          <w:szCs w:val="24"/>
          <w:rFonts w:ascii="Arial" w:cs="Arial" w:eastAsia="Arial" w:hAnsi="Arial"/>
        </w:rPr>
        <w:t xml:space="preserve">Parametric survival models (Weibull, exponential, log-normal, Gompertz) are implemented through custom MLE using Distributions.jl for the hazard and survival functions and Optim.jl for parameter estimation.</w:t>
      </w:r>
    </w:p>
    <w:p>
      <w:pPr>
        <w:pStyle w:val="Heading2"/>
        <w:spacing w:before="300" w:after="150"/>
      </w:pPr>
      <w:r>
        <w:rPr>
          <w:b/>
          <w:bCs/>
          <w:sz w:val="30"/>
          <w:szCs w:val="30"/>
          <w:rFonts w:ascii="Arial" w:cs="Arial" w:eastAsia="Arial" w:hAnsi="Arial"/>
        </w:rPr>
        <w:t xml:space="preserve">Difference-in-Differences</w:t>
      </w:r>
    </w:p>
    <w:p>
      <w:pPr>
        <w:spacing w:after="120"/>
      </w:pPr>
      <w:r>
        <w:rPr>
          <w:sz w:val="24"/>
          <w:szCs w:val="24"/>
          <w:rFonts w:ascii="Arial" w:cs="Arial" w:eastAsia="Arial" w:hAnsi="Arial"/>
        </w:rPr>
        <w:t xml:space="preserve">Standard TWFE DiD is a special case of the fixed effects regression:</w:t>
      </w:r>
    </w:p>
    <w:p>
      <w:pPr>
        <w:spacing w:after="120"/>
      </w:pPr>
      <w:r>
        <w:rPr>
          <w:sz w:val="24"/>
          <w:szCs w:val="24"/>
          <w:rFonts w:ascii="Arial" w:cs="Arial" w:eastAsia="Arial" w:hAnsi="Arial"/>
        </w:rPr>
        <w:t xml:space="preserve">did_result = reg(df, @formula(outcome ~ post_treat + fe(state) + fe(year)), Vcov.cluster(:state))</w:t>
      </w:r>
    </w:p>
    <w:p>
      <w:pPr>
        <w:spacing w:after="120"/>
      </w:pPr>
      <w:r>
        <w:rPr>
          <w:sz w:val="24"/>
          <w:szCs w:val="24"/>
          <w:rFonts w:ascii="Arial" w:cs="Arial" w:eastAsia="Arial" w:hAnsi="Arial"/>
        </w:rPr>
        <w:t xml:space="preserve">Event study specifications include period-specific treatment indicators:</w:t>
      </w:r>
    </w:p>
    <w:p>
      <w:pPr>
        <w:spacing w:after="120"/>
      </w:pPr>
      <w:r>
        <w:rPr>
          <w:sz w:val="24"/>
          <w:szCs w:val="24"/>
          <w:rFonts w:ascii="Arial" w:cs="Arial" w:eastAsia="Arial" w:hAnsi="Arial"/>
        </w:rPr>
        <w:t xml:space="preserve">es_result = reg(df, @formula(outcome ~ treat_m4 + treat_m3 + treat_m2 + treat_0 + treat_p1 + treat_p2 + treat_p3 + treat_p4 + fe(state) + fe(year)), Vcov.cluster(:state))</w:t>
      </w:r>
    </w:p>
    <w:p>
      <w:pPr>
        <w:spacing w:after="120"/>
      </w:pPr>
      <w:r>
        <w:rPr>
          <w:sz w:val="24"/>
          <w:szCs w:val="24"/>
          <w:rFonts w:ascii="Arial" w:cs="Arial" w:eastAsia="Arial" w:hAnsi="Arial"/>
        </w:rPr>
        <w:t xml:space="preserve">The Callaway-Sant'Anna estimator for staggered DiD can be implemented using the DiffinDiffs.jl package or through custom code that computes group-time ATT estimates for each cohort-period pair, using never-treated or not-yet-treated units as the comparison group, and aggregates with appropriate weights and multiplier bootstrap inference.</w:t>
      </w:r>
    </w:p>
    <w:p>
      <w:pPr>
        <w:spacing w:after="120"/>
      </w:pPr>
      <w:r>
        <w:rPr>
          <w:sz w:val="24"/>
          <w:szCs w:val="24"/>
          <w:rFonts w:ascii="Arial" w:cs="Arial" w:eastAsia="Arial" w:hAnsi="Arial"/>
        </w:rPr>
        <w:t xml:space="preserve">Event study plots — the standard visualization for DiD analyses — are generated with Makie.jl, plotting the period-specific coefficients with 95% confidence intervals and a reference line at the omitted pre-treatment period.</w:t>
      </w:r>
    </w:p>
    <w:p>
      <w:pPr>
        <w:pStyle w:val="Heading2"/>
        <w:spacing w:before="300" w:after="150"/>
      </w:pPr>
      <w:r>
        <w:rPr>
          <w:b/>
          <w:bCs/>
          <w:sz w:val="30"/>
          <w:szCs w:val="30"/>
          <w:rFonts w:ascii="Arial" w:cs="Arial" w:eastAsia="Arial" w:hAnsi="Arial"/>
        </w:rPr>
        <w:t xml:space="preserve">Regression Diagnostics and Presentation</w:t>
      </w:r>
    </w:p>
    <w:p>
      <w:pPr>
        <w:spacing w:after="120"/>
      </w:pPr>
      <w:r>
        <w:rPr>
          <w:sz w:val="24"/>
          <w:szCs w:val="24"/>
          <w:rFonts w:ascii="Arial" w:cs="Arial" w:eastAsia="Arial" w:hAnsi="Arial"/>
        </w:rPr>
        <w:t xml:space="preserve">Residual analysis (plotting residuals against fitted values, Q-Q plots), variance inflation factors (VIF) for multicollinearity detection, the Ramsey RESET test for functional form, and the link test for GLM specification are implemented using standard post-estimation computations.</w:t>
      </w:r>
    </w:p>
    <w:p>
      <w:pPr>
        <w:spacing w:after="120"/>
      </w:pPr>
      <w:r>
        <w:rPr>
          <w:sz w:val="24"/>
          <w:szCs w:val="24"/>
          <w:rFonts w:ascii="Arial" w:cs="Arial" w:eastAsia="Arial" w:hAnsi="Arial"/>
        </w:rPr>
        <w:t xml:space="preserve">Publication-quality regression tables are generated with PrettyTables.jl, formatting coefficients, standard errors (in parentheses), significance stars, and model fit statistics (N, R², F-statistic) for output to LaTeX, HTML, or plain text. Coefficient plots with confidence intervals are generated with Makie.jl.</w:t>
      </w:r>
    </w:p>
    <w:p>
      <w:pPr>
        <w:spacing w:after="120"/>
      </w:pPr>
      <w:r>
        <w:rPr>
          <w:sz w:val="24"/>
          <w:szCs w:val="24"/>
          <w:rFonts w:ascii="Arial" w:cs="Arial" w:eastAsia="Arial" w:hAnsi="Arial"/>
        </w:rPr>
      </w:r>
      <w:r>
        <w:rPr>
          <w:b/>
          <w:bCs/>
          <w:sz w:val="24"/>
          <w:szCs w:val="24"/>
          <w:rFonts w:ascii="Arial" w:cs="Arial" w:eastAsia="Arial" w:hAnsi="Arial"/>
        </w:rPr>
        <w:t xml:space="preserve">Table 21.1: Julia Packages for Econometric Methods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Method</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Package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Function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OLS with robust SE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GLM.jl + CovarianceMatrices.jl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lm(@formula(...), df)</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High-dimensional FE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FixedEffectModels.jl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reg(df, @formula(... + fe(id)))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Instrumental variables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FixedEffectModels.jl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reg(df, @formula(... + (endog ~ iv)))</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 (gamma-log)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glm(@formula(...), df, Gamma(), LogLink())</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Logit/Probit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glm(@formula(...), df, Binomial(), LogitLink())</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Cox PH survival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Survival.jl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fit(CoxModel, @formula(Surv(...)), df)</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Poisson regression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glm(@formula(...), df, Poisson(), LogLink())</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Bootstrap inference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Bootstrap.jl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bootstrap(statistic, data, BasicSampling(n))</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This chapter provides the computational bridge between the theoretical econometric methods of Chapters 9-14 and their practical implementation in Julia. Every estimator — OLS, GLM, two-part, fixed effects, IV, count data, survival, DiD — is implemented with production-ready code, appropriate standard errors, and diagnostic tests. The code patterns demonstrated here can be directly adapted for any health economics dataset and research question.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FixedEffectModels.jl documentation. https://github.com/FixedEffects/FixedEffectModels.jl</w:t>
      </w:r>
    </w:p>
    <w:p>
      <w:pPr>
        <w:spacing w:after="120"/>
      </w:pPr>
      <w:r>
        <w:rPr>
          <w:sz w:val="24"/>
          <w:szCs w:val="24"/>
          <w:rFonts w:ascii="Arial" w:cs="Arial" w:eastAsia="Arial" w:hAnsi="Arial"/>
        </w:rPr>
        <w:t xml:space="preserve">2. GLM.jl documentation. https://juliastats.org/GLM.jl</w:t>
      </w:r>
    </w:p>
    <w:p>
      <w:pPr>
        <w:spacing w:after="120"/>
      </w:pPr>
      <w:r>
        <w:rPr>
          <w:sz w:val="24"/>
          <w:szCs w:val="24"/>
          <w:rFonts w:ascii="Arial" w:cs="Arial" w:eastAsia="Arial" w:hAnsi="Arial"/>
        </w:rPr>
        <w:t xml:space="preserve">3. Survival.jl documentation. https://juliastats.org/Survival.jl</w:t>
      </w:r>
    </w:p>
    <w:p>
      <w:pPr>
        <w:spacing w:after="120"/>
      </w:pPr>
      <w:r>
        <w:rPr>
          <w:sz w:val="24"/>
          <w:szCs w:val="24"/>
          <w:rFonts w:ascii="Arial" w:cs="Arial" w:eastAsia="Arial" w:hAnsi="Arial"/>
        </w:rPr>
        <w:t xml:space="preserve">4. CovarianceMatrices.jl. https://github.com/gragusa/CovarianceMatrices.jl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21: Statistical Computing and Regression in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2026-04-16T00:40:10.212Z</dcterms:created>
  <dcterms:modified xsi:type="dcterms:W3CDTF">2026-04-16T00:40:10.212Z</dcterms:modified>
</cp:coreProperties>
</file>

<file path=docProps/custom.xml><?xml version="1.0" encoding="utf-8"?>
<Properties xmlns="http://schemas.openxmlformats.org/officeDocument/2006/custom-properties" xmlns:vt="http://schemas.openxmlformats.org/officeDocument/2006/docPropsVTypes"/>
</file>