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28</w:t>
      </w:r>
    </w:p>
    <w:p>
      <w:pPr>
        <w:jc w:val="center"/>
      </w:pPr>
      <w:r>
        <w:rPr>
          <w:i/>
          <w:iCs/>
          <w:sz w:val="32"/>
          <w:szCs w:val="32"/>
          <w:rFonts w:ascii="Arial" w:cs="Arial" w:eastAsia="Arial" w:hAnsi="Arial"/>
        </w:rPr>
        <w:t xml:space="preserve">Advanced Topics: Spatial Health Economics and Geographic Variation</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Geographic variation in healthcare spending, utilization, and outcomes is one of the most extensively documented phenomena in US health economics. The Dartmouth Atlas research program, initiated by John Wennberg, demonstrated that Medicare spending per beneficiary varies by more than twofold across hospital referral regions, with much of the variation unexplained by differences in patient health status, preferences, or outcomes. This geographic variation raises fundamental questions about efficiency — if higher-spending regions do not achieve better outcomes, the excess spending may represent waste — and about equity — if access and quality vary by geography, the health system fails to provide equal care regardless of location.</w:t>
      </w:r>
    </w:p>
    <w:p>
      <w:pPr>
        <w:pStyle w:val="Heading2"/>
        <w:spacing w:before="300" w:after="150"/>
      </w:pPr>
      <w:r>
        <w:rPr>
          <w:b/>
          <w:bCs/>
          <w:sz w:val="30"/>
          <w:szCs w:val="30"/>
          <w:rFonts w:ascii="Arial" w:cs="Arial" w:eastAsia="Arial" w:hAnsi="Arial"/>
        </w:rPr>
        <w:t xml:space="preserve">The Dartmouth Atlas and Geographic Variation</w:t>
      </w:r>
    </w:p>
    <w:p>
      <w:pPr>
        <w:spacing w:after="120"/>
      </w:pPr>
      <w:r>
        <w:rPr>
          <w:sz w:val="24"/>
          <w:szCs w:val="24"/>
          <w:rFonts w:ascii="Arial" w:cs="Arial" w:eastAsia="Arial" w:hAnsi="Arial"/>
        </w:rPr>
        <w:t xml:space="preserve">Wennberg's foundational research classified medical care into three categories: effective care (evidence-based interventions with clear benefits — aspirin for MI, beta-blockers after MI), preference-sensitive care (decisions depending on patient values — prostatectomy vs. watchful waiting), and supply-sensitive care (utilization driven by local supply — frequency of follow-up visits, intensity of ICU use, hospice referral patterns). Geographic variation is smallest for effective care (providers generally deliver evidence-based interventions), moderate for preference-sensitive care, and largest for supply-sensitive care — suggesting that supply-side factors (physician density, bed supply, practice norms) are the primary drivers of variation.</w:t>
      </w:r>
    </w:p>
    <w:p>
      <w:pPr>
        <w:pStyle w:val="Heading2"/>
        <w:spacing w:before="300" w:after="150"/>
      </w:pPr>
      <w:r>
        <w:rPr>
          <w:b/>
          <w:bCs/>
          <w:sz w:val="30"/>
          <w:szCs w:val="30"/>
          <w:rFonts w:ascii="Arial" w:cs="Arial" w:eastAsia="Arial" w:hAnsi="Arial"/>
        </w:rPr>
        <w:t xml:space="preserve">Spatial Econometrics</w:t>
      </w:r>
    </w:p>
    <w:p>
      <w:pPr>
        <w:pStyle w:val="Heading3"/>
        <w:spacing w:before="200" w:after="100"/>
      </w:pPr>
      <w:r>
        <w:rPr>
          <w:b/>
          <w:bCs/>
          <w:sz w:val="26"/>
          <w:szCs w:val="26"/>
          <w:rFonts w:ascii="Arial" w:cs="Arial" w:eastAsia="Arial" w:hAnsi="Arial"/>
        </w:rPr>
        <w:t xml:space="preserve">Spatial Weight Matrices</w:t>
      </w:r>
    </w:p>
    <w:p>
      <w:pPr>
        <w:spacing w:after="120"/>
      </w:pPr>
      <w:r>
        <w:rPr>
          <w:sz w:val="24"/>
          <w:szCs w:val="24"/>
          <w:rFonts w:ascii="Arial" w:cs="Arial" w:eastAsia="Arial" w:hAnsi="Arial"/>
        </w:rPr>
        <w:t xml:space="preserve">Spatial econometric models require a spatial weight matrix W that defines the neighborhood structure — which areas are "neighbors" and how strongly they interact. Common specifications include contiguity weights (Wᵢⱼ = 1 if areas i and j share a border), distance-based weights (Wᵢⱼ = f(dᵢⱼ) for declining function f), and k-nearest-neighbor weights. The matrix is typically row-standardized so that each row sums to 1.</w:t>
      </w:r>
    </w:p>
    <w:p>
      <w:pPr>
        <w:pStyle w:val="Heading3"/>
        <w:spacing w:before="200" w:after="100"/>
      </w:pPr>
      <w:r>
        <w:rPr>
          <w:b/>
          <w:bCs/>
          <w:sz w:val="26"/>
          <w:szCs w:val="26"/>
          <w:rFonts w:ascii="Arial" w:cs="Arial" w:eastAsia="Arial" w:hAnsi="Arial"/>
        </w:rPr>
        <w:t xml:space="preserve">Spatial Regression Models</w:t>
      </w:r>
    </w:p>
    <w:p>
      <w:pPr>
        <w:spacing w:after="120"/>
      </w:pPr>
      <w:r>
        <w:rPr>
          <w:sz w:val="24"/>
          <w:szCs w:val="24"/>
          <w:rFonts w:ascii="Arial" w:cs="Arial" w:eastAsia="Arial" w:hAnsi="Arial"/>
        </w:rPr>
        <w:t xml:space="preserve">The spatial lag model (SAR): Y = ρWY + Xβ + ε. The coefficient ρ captures spatial dependence in the outcome — an area's healthcare spending is influenced by its neighbors' spending, potentially through physician practice pattern diffusion, patient cross-boundary utilization, or market competition spillovers.</w:t>
      </w:r>
    </w:p>
    <w:p>
      <w:pPr>
        <w:spacing w:after="120"/>
      </w:pPr>
      <w:r>
        <w:rPr>
          <w:sz w:val="24"/>
          <w:szCs w:val="24"/>
          <w:rFonts w:ascii="Arial" w:cs="Arial" w:eastAsia="Arial" w:hAnsi="Arial"/>
        </w:rPr>
        <w:t xml:space="preserve">The spatial error model (SEM): Y = Xβ + u, where u = λWu + ε. Spatial correlation in the errors reflects unmeasured spatially correlated confounders — area-level health status, socioeconomic factors, or environmental exposures not captured by the covariates.</w:t>
      </w:r>
    </w:p>
    <w:p>
      <w:pPr>
        <w:spacing w:after="120"/>
      </w:pPr>
      <w:r>
        <w:rPr>
          <w:sz w:val="24"/>
          <w:szCs w:val="24"/>
          <w:rFonts w:ascii="Arial" w:cs="Arial" w:eastAsia="Arial" w:hAnsi="Arial"/>
        </w:rPr>
        <w:t xml:space="preserve">The spatial Durbin model (SDM) includes both spatial lags of the dependent variable and spatial lags of the independent variables, nesting SAR and SEM as special cases and allowing both direct effects (an area's own covariates on its outcomes) and indirect (spillover) effects (neighbors' covariates on the area's outcomes).</w:t>
      </w:r>
    </w:p>
    <w:p>
      <w:pPr>
        <w:pStyle w:val="Heading2"/>
        <w:spacing w:before="300" w:after="150"/>
      </w:pPr>
      <w:r>
        <w:rPr>
          <w:b/>
          <w:bCs/>
          <w:sz w:val="30"/>
          <w:szCs w:val="30"/>
          <w:rFonts w:ascii="Arial" w:cs="Arial" w:eastAsia="Arial" w:hAnsi="Arial"/>
        </w:rPr>
        <w:t xml:space="preserve">Geographic Access to Care</w:t>
      </w:r>
    </w:p>
    <w:p>
      <w:pPr>
        <w:spacing w:after="120"/>
      </w:pPr>
      <w:r>
        <w:rPr>
          <w:sz w:val="24"/>
          <w:szCs w:val="24"/>
          <w:rFonts w:ascii="Arial" w:cs="Arial" w:eastAsia="Arial" w:hAnsi="Arial"/>
        </w:rPr>
        <w:t xml:space="preserve">The two-step floating catchment area (2SFCA) method measures geographic access by computing a provider-to-population ratio within a defined travel time catchment for each provider, then summing the ratios of all providers within the travel time catchment of each population point. The result is a spatially smoothed access index that accounts for both provider supply and population demand.</w:t>
      </w:r>
    </w:p>
    <w:p>
      <w:pPr>
        <w:spacing w:after="120"/>
      </w:pPr>
      <w:r>
        <w:rPr>
          <w:sz w:val="24"/>
          <w:szCs w:val="24"/>
          <w:rFonts w:ascii="Arial" w:cs="Arial" w:eastAsia="Arial" w:hAnsi="Arial"/>
        </w:rPr>
        <w:t xml:space="preserve">Implementation in Julia: compute travel time matrices between population centroids and provider locations using road network distances, define catchment thresholds (30 minutes for primary care, 60 minutes for specialty care), compute provider-to-population ratios within each catchment, and aggregate to the population point level. GeoDataFrames.jl and Shapefile.jl handle the spatial data infrastructure.</w:t>
      </w:r>
    </w:p>
    <w:p>
      <w:pPr>
        <w:pStyle w:val="Heading2"/>
        <w:spacing w:before="300" w:after="150"/>
      </w:pPr>
      <w:r>
        <w:rPr>
          <w:b/>
          <w:bCs/>
          <w:sz w:val="30"/>
          <w:szCs w:val="30"/>
          <w:rFonts w:ascii="Arial" w:cs="Arial" w:eastAsia="Arial" w:hAnsi="Arial"/>
        </w:rPr>
        <w:t xml:space="preserve">Hospital Market Definition</w:t>
      </w:r>
    </w:p>
    <w:p>
      <w:pPr>
        <w:spacing w:after="120"/>
      </w:pPr>
      <w:r>
        <w:rPr>
          <w:sz w:val="24"/>
          <w:szCs w:val="24"/>
          <w:rFonts w:ascii="Arial" w:cs="Arial" w:eastAsia="Arial" w:hAnsi="Arial"/>
        </w:rPr>
        <w:t xml:space="preserve">Defining the relevant geographic market for hospital competition analysis is critical for antitrust evaluation and for research on the relationship between market structure and outcomes. The Elzinga-Hogarty test uses patient flow data: a geographic area is a market if most patients within the area receive care within it (the "little in from outside" and "little out to elsewhere" criteria). Variable-radius methods define markets as the smallest geographic area containing a specified share (e.g., 75%) of each hospital's patients. Fixed geographic definitions (county, HRR, HSA) are simpler but may not correspond to actual patient flow patterns.</w:t>
      </w:r>
    </w:p>
    <w:p>
      <w:pPr>
        <w:pStyle w:val="Heading2"/>
        <w:spacing w:before="300" w:after="150"/>
      </w:pPr>
      <w:r>
        <w:rPr>
          <w:b/>
          <w:bCs/>
          <w:sz w:val="30"/>
          <w:szCs w:val="30"/>
          <w:rFonts w:ascii="Arial" w:cs="Arial" w:eastAsia="Arial" w:hAnsi="Arial"/>
        </w:rPr>
        <w:t xml:space="preserve">The Finkelstein-Gentzkow-Williams Movers Design</w:t>
      </w:r>
    </w:p>
    <w:p>
      <w:pPr>
        <w:spacing w:after="120"/>
      </w:pPr>
      <w:r>
        <w:rPr>
          <w:sz w:val="24"/>
          <w:szCs w:val="24"/>
          <w:rFonts w:ascii="Arial" w:cs="Arial" w:eastAsia="Arial" w:hAnsi="Arial"/>
        </w:rPr>
        <w:t xml:space="preserve">Finkelstein, Gentzkow, and Williams (2016) developed a research design that exploits individuals who move across areas to decompose geographic variation into demand-side (patient) and supply-side (place) components. By comparing the healthcare utilization of the same individual in their origin and destination areas, the movers design identifies the place component — the portion of variation attributable to the healthcare delivery environment rather than to patient characteristics.</w:t>
      </w:r>
    </w:p>
    <w:p>
      <w:pPr>
        <w:spacing w:after="120"/>
      </w:pPr>
      <w:r>
        <w:rPr>
          <w:sz w:val="24"/>
          <w:szCs w:val="24"/>
          <w:rFonts w:ascii="Arial" w:cs="Arial" w:eastAsia="Arial" w:hAnsi="Arial"/>
        </w:rPr>
        <w:t xml:space="preserve">Their key finding: approximately 50% of geographic variation in Medicare utilization is attributable to place (supply-side) factors and 50% to patient (demand-side) factors. This result has important implications for policy: interventions targeting provider behavior and market structure (supply-side) can address roughly half of the variation, while the other half requires addressing patient health status and preferences.</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Finkelstein, A., Gentzkow, M., &amp; Williams, H. (2016). Sources of geographic variation in health care. </w:t>
      </w:r>
      <w:r>
        <w:rPr>
          <w:i/>
          <w:iCs/>
          <w:sz w:val="24"/>
          <w:szCs w:val="24"/>
          <w:rFonts w:ascii="Arial" w:cs="Arial" w:eastAsia="Arial" w:hAnsi="Arial"/>
        </w:rPr>
        <w:t xml:space="preserve">QJE</w:t>
      </w:r>
      <w:r>
        <w:rPr>
          <w:sz w:val="24"/>
          <w:szCs w:val="24"/>
          <w:rFonts w:ascii="Arial" w:cs="Arial" w:eastAsia="Arial" w:hAnsi="Arial"/>
        </w:rPr>
        <w:t xml:space="preserve">, 131(4), 1681-1726.</w:t>
      </w:r>
    </w:p>
    <w:p>
      <w:pPr>
        <w:spacing w:after="120"/>
      </w:pPr>
      <w:r>
        <w:rPr>
          <w:sz w:val="24"/>
          <w:szCs w:val="24"/>
          <w:rFonts w:ascii="Arial" w:cs="Arial" w:eastAsia="Arial" w:hAnsi="Arial"/>
        </w:rPr>
        <w:t xml:space="preserve">2. Wennberg, J. E. (2010). </w:t>
      </w:r>
      <w:r>
        <w:rPr>
          <w:i/>
          <w:iCs/>
          <w:sz w:val="24"/>
          <w:szCs w:val="24"/>
          <w:rFonts w:ascii="Arial" w:cs="Arial" w:eastAsia="Arial" w:hAnsi="Arial"/>
        </w:rPr>
        <w:t xml:space="preserve">Tracking Medicine</w:t>
      </w:r>
      <w:r>
        <w:rPr>
          <w:sz w:val="24"/>
          <w:szCs w:val="24"/>
          <w:rFonts w:ascii="Arial" w:cs="Arial" w:eastAsia="Arial" w:hAnsi="Arial"/>
        </w:rPr>
        <w:t xml:space="preserve">. Oxford University Press.</w:t>
      </w:r>
    </w:p>
    <w:p>
      <w:pPr>
        <w:spacing w:after="120"/>
      </w:pPr>
      <w:r>
        <w:rPr>
          <w:sz w:val="24"/>
          <w:szCs w:val="24"/>
          <w:rFonts w:ascii="Arial" w:cs="Arial" w:eastAsia="Arial" w:hAnsi="Arial"/>
        </w:rPr>
        <w:t xml:space="preserve">3. Anselin, L. (2003). Spatial econometrics. In B. H. Baltagi (Ed.), </w:t>
      </w:r>
      <w:r>
        <w:rPr>
          <w:i/>
          <w:iCs/>
          <w:sz w:val="24"/>
          <w:szCs w:val="24"/>
          <w:rFonts w:ascii="Arial" w:cs="Arial" w:eastAsia="Arial" w:hAnsi="Arial"/>
        </w:rPr>
        <w:t xml:space="preserve">A Companion to Theoretical Econometrics</w:t>
      </w:r>
      <w:r>
        <w:rPr>
          <w:sz w:val="24"/>
          <w:szCs w:val="24"/>
          <w:rFonts w:ascii="Arial" w:cs="Arial" w:eastAsia="Arial" w:hAnsi="Arial"/>
        </w:rPr>
        <w:t xml:space="preserve"> (pp. 310-330). Blackwell.</w:t>
      </w:r>
    </w:p>
    <w:p>
      <w:pPr>
        <w:spacing w:after="120"/>
      </w:pPr>
      <w:r>
        <w:rPr>
          <w:sz w:val="24"/>
          <w:szCs w:val="24"/>
          <w:rFonts w:ascii="Arial" w:cs="Arial" w:eastAsia="Arial" w:hAnsi="Arial"/>
        </w:rPr>
        <w:t xml:space="preserve">4. Luo, W., &amp; Wang, F. (2003). Measures of spatial accessibility to health care. </w:t>
      </w:r>
      <w:r>
        <w:rPr>
          <w:i/>
          <w:iCs/>
          <w:sz w:val="24"/>
          <w:szCs w:val="24"/>
          <w:rFonts w:ascii="Arial" w:cs="Arial" w:eastAsia="Arial" w:hAnsi="Arial"/>
        </w:rPr>
        <w:t xml:space="preserve">Annals of GIS</w:t>
      </w:r>
      <w:r>
        <w:rPr>
          <w:sz w:val="24"/>
          <w:szCs w:val="24"/>
          <w:rFonts w:ascii="Arial" w:cs="Arial" w:eastAsia="Arial" w:hAnsi="Arial"/>
        </w:rPr>
        <w:t xml:space="preserve">, 9(1), 18-28.</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28: Advanced Topics: Spatial Health Economic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2026-04-16T00:40:10.438Z</dcterms:created>
  <dcterms:modified xsi:type="dcterms:W3CDTF">2026-04-16T00:40:10.438Z</dcterms:modified>
</cp:coreProperties>
</file>

<file path=docProps/custom.xml><?xml version="1.0" encoding="utf-8"?>
<Properties xmlns="http://schemas.openxmlformats.org/officeDocument/2006/custom-properties" xmlns:vt="http://schemas.openxmlformats.org/officeDocument/2006/docPropsVTypes"/>
</file>