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30</w:t>
      </w:r>
    </w:p>
    <w:p>
      <w:pPr>
        <w:jc w:val="center"/>
      </w:pPr>
      <w:r>
        <w:rPr>
          <w:i/>
          <w:iCs/>
          <w:sz w:val="32"/>
          <w:szCs w:val="32"/>
          <w:rFonts w:ascii="Arial" w:cs="Arial" w:eastAsia="Arial" w:hAnsi="Arial"/>
        </w:rPr>
        <w:t xml:space="preserve">The Future of Health Economics: Emerging Methods and Frontiers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 economics is a field in continuous methodological evolution, driven by new data sources, new computational capabilities, new policy experiments, and new theoretical insights. This concluding chapter surveys the emerging frontiers of health economics research — the methods, questions, and applications that are likely to shape the field over the next decade. The chapter is organized around ten frontier areas, each with key references, open research questions, and connections to the methods and tools developed throughout this textbook.</w:t>
      </w:r>
    </w:p>
    <w:p>
      <w:pPr>
        <w:pStyle w:val="Heading2"/>
        <w:spacing w:before="300" w:after="150"/>
      </w:pPr>
      <w:r>
        <w:rPr>
          <w:b/>
          <w:bCs/>
          <w:sz w:val="30"/>
          <w:szCs w:val="30"/>
          <w:rFonts w:ascii="Arial" w:cs="Arial" w:eastAsia="Arial" w:hAnsi="Arial"/>
        </w:rPr>
        <w:t xml:space="preserve">Large Language Models and NLP</w:t>
      </w:r>
    </w:p>
    <w:p>
      <w:pPr>
        <w:spacing w:after="120"/>
      </w:pPr>
      <w:r>
        <w:rPr>
          <w:sz w:val="24"/>
          <w:szCs w:val="24"/>
          <w:rFonts w:ascii="Arial" w:cs="Arial" w:eastAsia="Arial" w:hAnsi="Arial"/>
        </w:rPr>
        <w:t xml:space="preserve">Natural language processing applied to clinical notes, radiology reports, pathology results, and physician documentation represents a new data frontier. LLMs can extract structured information from unstructured text — identifying adverse events, measuring disease severity, classifying treatment decisions — creating research variables that are impossible to construct from claims data alone. Health economics applications include automated coding validation, systematic review automation, and sentiment analysis of patient experience narratives.</w:t>
      </w:r>
    </w:p>
    <w:p>
      <w:pPr>
        <w:pStyle w:val="Heading2"/>
        <w:spacing w:before="300" w:after="150"/>
      </w:pPr>
      <w:r>
        <w:rPr>
          <w:b/>
          <w:bCs/>
          <w:sz w:val="30"/>
          <w:szCs w:val="30"/>
          <w:rFonts w:ascii="Arial" w:cs="Arial" w:eastAsia="Arial" w:hAnsi="Arial"/>
        </w:rPr>
        <w:t xml:space="preserve">Causal Inference Frontiers</w:t>
      </w:r>
    </w:p>
    <w:p>
      <w:pPr>
        <w:spacing w:after="120"/>
      </w:pPr>
      <w:r>
        <w:rPr>
          <w:sz w:val="24"/>
          <w:szCs w:val="24"/>
          <w:rFonts w:ascii="Arial" w:cs="Arial" w:eastAsia="Arial" w:hAnsi="Arial"/>
        </w:rPr>
        <w:t xml:space="preserve">Synthetic difference-in-differences (Arkhangelsky et al., 2021), matrix completion methods for panel data, and distributional treatment effects (going beyond average effects to understand how treatments affect the entire outcome distribution) represent the cutting edge of causal inference methodology. Mediation analysis in health economics — decomposing the total effect of a policy into direct and indirect channels — is gaining rigor through advances in causal mediation with high-dimensional mediators.</w:t>
      </w:r>
    </w:p>
    <w:p>
      <w:pPr>
        <w:pStyle w:val="Heading2"/>
        <w:spacing w:before="300" w:after="150"/>
      </w:pPr>
      <w:r>
        <w:rPr>
          <w:b/>
          <w:bCs/>
          <w:sz w:val="30"/>
          <w:szCs w:val="30"/>
          <w:rFonts w:ascii="Arial" w:cs="Arial" w:eastAsia="Arial" w:hAnsi="Arial"/>
        </w:rPr>
        <w:t xml:space="preserve">Precision Medicine Economics</w:t>
      </w:r>
    </w:p>
    <w:p>
      <w:pPr>
        <w:spacing w:after="120"/>
      </w:pPr>
      <w:r>
        <w:rPr>
          <w:sz w:val="24"/>
          <w:szCs w:val="24"/>
          <w:rFonts w:ascii="Arial" w:cs="Arial" w:eastAsia="Arial" w:hAnsi="Arial"/>
        </w:rPr>
        <w:t xml:space="preserve">Heterogeneous treatment effect estimation (causal forests, Chapter 16) connects health economics to precision medicine: if treatment effects vary across individuals, the economic question becomes who should receive which treatment — a resource allocation problem amenable to economic analysis. The value of biomarker-based treatment assignment, the economics of genetic testing, and the cost-effectiveness of pharmacogenomics all require methods that combine clinical heterogeneity estimation with economic evaluation.</w:t>
      </w:r>
    </w:p>
    <w:p>
      <w:pPr>
        <w:pStyle w:val="Heading2"/>
        <w:spacing w:before="300" w:after="150"/>
      </w:pPr>
      <w:r>
        <w:rPr>
          <w:b/>
          <w:bCs/>
          <w:sz w:val="30"/>
          <w:szCs w:val="30"/>
          <w:rFonts w:ascii="Arial" w:cs="Arial" w:eastAsia="Arial" w:hAnsi="Arial"/>
        </w:rPr>
        <w:t xml:space="preserve">Real-World Evidence</w:t>
      </w:r>
    </w:p>
    <w:p>
      <w:pPr>
        <w:spacing w:after="120"/>
      </w:pPr>
      <w:r>
        <w:rPr>
          <w:sz w:val="24"/>
          <w:szCs w:val="24"/>
          <w:rFonts w:ascii="Arial" w:cs="Arial" w:eastAsia="Arial" w:hAnsi="Arial"/>
        </w:rPr>
        <w:t xml:space="preserve">The FDA's Real-World Evidence framework — using data from clinical practice (EHR, claims, registries) rather than randomized trials to support regulatory decisions — creates new opportunities for health economics methods. Emulated target trials (Hernán and Robins) apply the principles of RCT design to observational data, providing a rigorous framework for comparative effectiveness research from real-world data.</w:t>
      </w:r>
    </w:p>
    <w:p>
      <w:pPr>
        <w:pStyle w:val="Heading2"/>
        <w:spacing w:before="300" w:after="150"/>
      </w:pPr>
      <w:r>
        <w:rPr>
          <w:b/>
          <w:bCs/>
          <w:sz w:val="30"/>
          <w:szCs w:val="30"/>
          <w:rFonts w:ascii="Arial" w:cs="Arial" w:eastAsia="Arial" w:hAnsi="Arial"/>
        </w:rPr>
        <w:t xml:space="preserve">Digital Health Economics</w:t>
      </w:r>
    </w:p>
    <w:p>
      <w:pPr>
        <w:spacing w:after="120"/>
      </w:pPr>
      <w:r>
        <w:rPr>
          <w:sz w:val="24"/>
          <w:szCs w:val="24"/>
          <w:rFonts w:ascii="Arial" w:cs="Arial" w:eastAsia="Arial" w:hAnsi="Arial"/>
        </w:rPr>
        <w:t xml:space="preserve">Wearable devices, remote patient monitoring, smartphone health applications, and digital therapeutics create new categories of health interventions that require economic evaluation. The economics of continuous physiological monitoring (value of information from additional data points), the cost-effectiveness of digital therapeutics for mental health and substance use disorders, and the market design of digital health platforms are emerging research areas.</w:t>
      </w:r>
    </w:p>
    <w:p>
      <w:pPr>
        <w:pStyle w:val="Heading2"/>
        <w:spacing w:before="300" w:after="150"/>
      </w:pPr>
      <w:r>
        <w:rPr>
          <w:b/>
          <w:bCs/>
          <w:sz w:val="30"/>
          <w:szCs w:val="30"/>
          <w:rFonts w:ascii="Arial" w:cs="Arial" w:eastAsia="Arial" w:hAnsi="Arial"/>
        </w:rPr>
        <w:t xml:space="preserve">Climate Change and Health Economics</w:t>
      </w:r>
    </w:p>
    <w:p>
      <w:pPr>
        <w:spacing w:after="120"/>
      </w:pPr>
      <w:r>
        <w:rPr>
          <w:sz w:val="24"/>
          <w:szCs w:val="24"/>
          <w:rFonts w:ascii="Arial" w:cs="Arial" w:eastAsia="Arial" w:hAnsi="Arial"/>
        </w:rPr>
        <w:t xml:space="preserve">Economic valuation of climate-health pathways — heat-related mortality, air quality effects on respiratory disease, climate-driven infectious disease range expansion, climate migration effects on health systems — represents a growing interdisciplinary frontier. The health co-benefits of climate policy (reduced air pollution from decarbonization) provide economic justification for climate action that complements environmental arguments.</w:t>
      </w:r>
    </w:p>
    <w:p>
      <w:pPr>
        <w:pStyle w:val="Heading2"/>
        <w:spacing w:before="300" w:after="150"/>
      </w:pPr>
      <w:r>
        <w:rPr>
          <w:b/>
          <w:bCs/>
          <w:sz w:val="30"/>
          <w:szCs w:val="30"/>
          <w:rFonts w:ascii="Arial" w:cs="Arial" w:eastAsia="Arial" w:hAnsi="Arial"/>
        </w:rPr>
        <w:t xml:space="preserve">Infectious Disease Economics</w:t>
      </w:r>
    </w:p>
    <w:p>
      <w:pPr>
        <w:spacing w:after="120"/>
      </w:pPr>
      <w:r>
        <w:rPr>
          <w:sz w:val="24"/>
          <w:szCs w:val="24"/>
          <w:rFonts w:ascii="Arial" w:cs="Arial" w:eastAsia="Arial" w:hAnsi="Arial"/>
        </w:rPr>
        <w:t xml:space="preserve">COVID-19 dramatically elevated the profile of infectious disease economics, including epidemic modeling with economic extensions (SIR/SEIR models augmented with behavioral responses, economic costs, and policy interventions), the value of pandemic preparedness investments, optimal vaccine allocation, and the economics of non-pharmaceutical interventions (lockdowns, masking, testing). These methods combine epidemiological modeling with economic optimization.</w:t>
      </w:r>
    </w:p>
    <w:p>
      <w:pPr>
        <w:pStyle w:val="Heading2"/>
        <w:spacing w:before="300" w:after="150"/>
      </w:pPr>
      <w:r>
        <w:rPr>
          <w:b/>
          <w:bCs/>
          <w:sz w:val="30"/>
          <w:szCs w:val="30"/>
          <w:rFonts w:ascii="Arial" w:cs="Arial" w:eastAsia="Arial" w:hAnsi="Arial"/>
        </w:rPr>
        <w:t xml:space="preserve">Behavioral Health Economics Frontiers</w:t>
      </w:r>
    </w:p>
    <w:p>
      <w:pPr>
        <w:spacing w:after="120"/>
      </w:pPr>
      <w:r>
        <w:rPr>
          <w:sz w:val="24"/>
          <w:szCs w:val="24"/>
          <w:rFonts w:ascii="Arial" w:cs="Arial" w:eastAsia="Arial" w:hAnsi="Arial"/>
        </w:rPr>
        <w:t xml:space="preserve">Commitment devices for health behavior change (binding contracts, deposit contracts, default enrollment), social network effects on health behaviors (peer effects in obesity, smoking, exercise), identity economics applied to healthcare (how health-related identity influences treatment adherence and provider interactions), and the economics of mental health parity and substance use disorder treatment.</w:t>
      </w:r>
    </w:p>
    <w:p>
      <w:pPr>
        <w:pStyle w:val="Heading2"/>
        <w:spacing w:before="300" w:after="150"/>
      </w:pPr>
      <w:r>
        <w:rPr>
          <w:b/>
          <w:bCs/>
          <w:sz w:val="30"/>
          <w:szCs w:val="30"/>
          <w:rFonts w:ascii="Arial" w:cs="Arial" w:eastAsia="Arial" w:hAnsi="Arial"/>
        </w:rPr>
        <w:t xml:space="preserve">Equity and Distributional Analysis</w:t>
      </w:r>
    </w:p>
    <w:p>
      <w:pPr>
        <w:spacing w:after="120"/>
      </w:pPr>
      <w:r>
        <w:rPr>
          <w:sz w:val="24"/>
          <w:szCs w:val="24"/>
          <w:rFonts w:ascii="Arial" w:cs="Arial" w:eastAsia="Arial" w:hAnsi="Arial"/>
        </w:rPr>
        <w:t xml:space="preserve">Extended cost-effectiveness analysis (ECEA) incorporates distributional consequences — who bears the costs and who receives the health benefits — into economic evaluation, using equity weights that reflect societal preferences for health gains among disadvantaged groups. Concentration indices and decomposition methods quantify the degree of socioeconomic inequality in health and healthcare, and identify the factors driving inequality.</w:t>
      </w:r>
    </w:p>
    <w:p>
      <w:pPr>
        <w:pStyle w:val="Heading2"/>
        <w:spacing w:before="300" w:after="150"/>
      </w:pPr>
      <w:r>
        <w:rPr>
          <w:b/>
          <w:bCs/>
          <w:sz w:val="30"/>
          <w:szCs w:val="30"/>
          <w:rFonts w:ascii="Arial" w:cs="Arial" w:eastAsia="Arial" w:hAnsi="Arial"/>
        </w:rPr>
        <w:t xml:space="preserve">The Julia Ecosystem Roadmap</w:t>
      </w:r>
    </w:p>
    <w:p>
      <w:pPr>
        <w:spacing w:after="120"/>
      </w:pPr>
      <w:r>
        <w:rPr>
          <w:sz w:val="24"/>
          <w:szCs w:val="24"/>
          <w:rFonts w:ascii="Arial" w:cs="Arial" w:eastAsia="Arial" w:hAnsi="Arial"/>
        </w:rPr>
        <w:t xml:space="preserve">Julia's growing role in scientific computing is driven by continued performance improvements, expanding package ecosystem (Turing.jl for Bayesian inference, SciML for scientific machine learning, Flux.jl for deep learning), and integration with other tools (Python interop via PyCall.jl, R interop via RCall.jl). For health economics researchers, Julia offers a unified language for data management, statistical analysis, simulation, machine learning, and visualization — eliminating the multi-language workflow that characterizes most current research pipelines.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health economics research frontier is defined by the convergence of richer data (EHR, wearables, NLP-processed text), more powerful computational methods (causal ML, Bayesian computation, structural estimation), and increasingly complex policy questions (precision medicine, pandemic preparedness, climate-health interactions, digital health). The theoretical frameworks, econometric methods, and Julia computational tools developed in this textbook provide the foundation for engaging with these frontiers — equipping the next generation of health economics researchers to produce rigorous, policy-relevant evidence that improves healthcare delivery, financing, and outcomes.</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Arkhangelsky, D., Athey, S., Hirshberg, D. A., Imbens, G. W., &amp; Wager, S. (2021). Synthetic difference-in-differences. </w:t>
      </w:r>
      <w:r>
        <w:rPr>
          <w:i/>
          <w:iCs/>
          <w:sz w:val="24"/>
          <w:szCs w:val="24"/>
          <w:rFonts w:ascii="Arial" w:cs="Arial" w:eastAsia="Arial" w:hAnsi="Arial"/>
        </w:rPr>
        <w:t xml:space="preserve">AER</w:t>
      </w:r>
      <w:r>
        <w:rPr>
          <w:sz w:val="24"/>
          <w:szCs w:val="24"/>
          <w:rFonts w:ascii="Arial" w:cs="Arial" w:eastAsia="Arial" w:hAnsi="Arial"/>
        </w:rPr>
        <w:t xml:space="preserve">, 111(12), 4088-4118.</w:t>
      </w:r>
    </w:p>
    <w:p>
      <w:pPr>
        <w:spacing w:after="120"/>
      </w:pPr>
      <w:r>
        <w:rPr>
          <w:sz w:val="24"/>
          <w:szCs w:val="24"/>
          <w:rFonts w:ascii="Arial" w:cs="Arial" w:eastAsia="Arial" w:hAnsi="Arial"/>
        </w:rPr>
        <w:t xml:space="preserve">2. Hernán, M. A., &amp; Robins, J. M. (2016). Using big data to emulate a target trial when a randomized trial is not available. </w:t>
      </w:r>
      <w:r>
        <w:rPr>
          <w:i/>
          <w:iCs/>
          <w:sz w:val="24"/>
          <w:szCs w:val="24"/>
          <w:rFonts w:ascii="Arial" w:cs="Arial" w:eastAsia="Arial" w:hAnsi="Arial"/>
        </w:rPr>
        <w:t xml:space="preserve">AJE</w:t>
      </w:r>
      <w:r>
        <w:rPr>
          <w:sz w:val="24"/>
          <w:szCs w:val="24"/>
          <w:rFonts w:ascii="Arial" w:cs="Arial" w:eastAsia="Arial" w:hAnsi="Arial"/>
        </w:rPr>
        <w:t xml:space="preserve">, 183(8), 758-764.</w:t>
      </w:r>
    </w:p>
    <w:p>
      <w:pPr>
        <w:spacing w:after="120"/>
      </w:pPr>
      <w:r>
        <w:rPr>
          <w:sz w:val="24"/>
          <w:szCs w:val="24"/>
          <w:rFonts w:ascii="Arial" w:cs="Arial" w:eastAsia="Arial" w:hAnsi="Arial"/>
        </w:rPr>
        <w:t xml:space="preserve">3. Verguet, S., Kim, J. J., &amp; Jamison, D. T. (2016). Extended cost-effectiveness analysis for health policy assessment. </w:t>
      </w:r>
      <w:r>
        <w:rPr>
          <w:i/>
          <w:iCs/>
          <w:sz w:val="24"/>
          <w:szCs w:val="24"/>
          <w:rFonts w:ascii="Arial" w:cs="Arial" w:eastAsia="Arial" w:hAnsi="Arial"/>
        </w:rPr>
        <w:t xml:space="preserve">PharmacoEconomics</w:t>
      </w:r>
      <w:r>
        <w:rPr>
          <w:sz w:val="24"/>
          <w:szCs w:val="24"/>
          <w:rFonts w:ascii="Arial" w:cs="Arial" w:eastAsia="Arial" w:hAnsi="Arial"/>
        </w:rPr>
        <w:t xml:space="preserve">, 34(9), 913-923.</w:t>
      </w:r>
    </w:p>
    <w:p>
      <w:pPr>
        <w:spacing w:after="120"/>
      </w:pPr>
      <w:r>
        <w:rPr>
          <w:sz w:val="24"/>
          <w:szCs w:val="24"/>
          <w:rFonts w:ascii="Arial" w:cs="Arial" w:eastAsia="Arial" w:hAnsi="Arial"/>
        </w:rPr>
        <w:t xml:space="preserve">4. Obermeyer, Z., &amp; Emanuel, E. J. (2016). Predicting the future — big data, machine learning, and clinical medicine. </w:t>
      </w:r>
      <w:r>
        <w:rPr>
          <w:i/>
          <w:iCs/>
          <w:sz w:val="24"/>
          <w:szCs w:val="24"/>
          <w:rFonts w:ascii="Arial" w:cs="Arial" w:eastAsia="Arial" w:hAnsi="Arial"/>
        </w:rPr>
        <w:t xml:space="preserve">NEJM</w:t>
      </w:r>
      <w:r>
        <w:rPr>
          <w:sz w:val="24"/>
          <w:szCs w:val="24"/>
          <w:rFonts w:ascii="Arial" w:cs="Arial" w:eastAsia="Arial" w:hAnsi="Arial"/>
        </w:rPr>
        <w:t xml:space="preserve">, 375(13), 1216-1219.</w:t>
      </w:r>
    </w:p>
    <w:p>
      <w:pPr>
        <w:spacing w:after="120"/>
      </w:pPr>
      <w:r>
        <w:rPr>
          <w:sz w:val="24"/>
          <w:szCs w:val="24"/>
          <w:rFonts w:ascii="Arial" w:cs="Arial" w:eastAsia="Arial" w:hAnsi="Arial"/>
        </w:rPr>
        <w:t xml:space="preserve">5. Athey, S. (2017). Beyond prediction: Using big data for policy problems. </w:t>
      </w:r>
      <w:r>
        <w:rPr>
          <w:i/>
          <w:iCs/>
          <w:sz w:val="24"/>
          <w:szCs w:val="24"/>
          <w:rFonts w:ascii="Arial" w:cs="Arial" w:eastAsia="Arial" w:hAnsi="Arial"/>
        </w:rPr>
        <w:t xml:space="preserve">Science</w:t>
      </w:r>
      <w:r>
        <w:rPr>
          <w:sz w:val="24"/>
          <w:szCs w:val="24"/>
          <w:rFonts w:ascii="Arial" w:cs="Arial" w:eastAsia="Arial" w:hAnsi="Arial"/>
        </w:rPr>
        <w:t xml:space="preserve">, 355(6324), 483-485.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30: The Future of Health Economics: Emerging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2026-04-16T00:40:10.524Z</dcterms:created>
  <dcterms:modified xsi:type="dcterms:W3CDTF">2026-04-16T00:40:10.524Z</dcterms:modified>
</cp:coreProperties>
</file>

<file path=docProps/custom.xml><?xml version="1.0" encoding="utf-8"?>
<Properties xmlns="http://schemas.openxmlformats.org/officeDocument/2006/custom-properties" xmlns:vt="http://schemas.openxmlformats.org/officeDocument/2006/docPropsVTypes"/>
</file>