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14</w:t>
      </w:r>
    </w:p>
    <w:p>
      <w:pPr>
        <w:jc w:val="center"/>
      </w:pPr>
      <w:r>
        <w:rPr>
          <w:i/>
          <w:iCs/>
          <w:sz w:val="32"/>
          <w:szCs w:val="32"/>
          <w:rFonts w:ascii="Arial" w:cs="Arial" w:eastAsia="Arial" w:hAnsi="Arial"/>
        </w:rPr>
        <w:t xml:space="preserve">Discrete Choice Models in Health Economics</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Discrete choice models provide the econometric framework for analyzing decisions among mutually exclusive alternatives — hospital choice, insurance plan selection, treatment preference, physician specialty choice, and provider location decisions. These models are grounded in random utility theory, which posits that decision-makers choose the alternative that maximizes their utility, and that the researcher observes only a portion of the factors influencing this choice. The unobserved component of utility is treated as random, generating probabilistic predictions about choice behavior that can be estimated from observed choice data.</w:t>
      </w:r>
    </w:p>
    <w:p>
      <w:pPr>
        <w:spacing w:after="120"/>
      </w:pPr>
      <w:r>
        <w:rPr>
          <w:sz w:val="24"/>
          <w:szCs w:val="24"/>
          <w:rFonts w:ascii="Arial" w:cs="Arial" w:eastAsia="Arial" w:hAnsi="Arial"/>
        </w:rPr>
        <w:t xml:space="preserve">Health economics is rich in discrete choice applications because healthcare markets are defined by choices among differentiated alternatives. Patients choose among hospitals for elective procedures, weighing quality, distance, physician recommendations, and insurance network status. Employees choose among employer-offered insurance plans, trading off premiums, deductibles, provider networks, and brand familiarity. Physicians choose specialties and practice locations, balancing income prospects, lifestyle preferences, intellectual interest, and geographic amenity. Policymakers design insurance exchanges where consumers choose among standardized plan tiers. In each setting, understanding the factors that drive choice — and the welfare consequences of alternative choice environments — requires the discrete choice toolkit.</w:t>
      </w:r>
    </w:p>
    <w:p>
      <w:pPr>
        <w:spacing w:after="120"/>
      </w:pPr>
      <w:r>
        <w:rPr>
          <w:sz w:val="24"/>
          <w:szCs w:val="24"/>
          <w:rFonts w:ascii="Arial" w:cs="Arial" w:eastAsia="Arial" w:hAnsi="Arial"/>
        </w:rPr>
        <w:t xml:space="preserve">The progression from simple multinomial logit through nested logit, mixed logit, and structural demand estimation reflects increasing sophistication in modeling substitution patterns, taste heterogeneity, and endogenous pricing. This chapter develops each model from its theoretical foundations, derives the estimating equations, discusses implementation challenges, and illustrates the methods with landmark health economics applications. The Julia implementations are provided in Chapter 21.</w:t>
      </w:r>
    </w:p>
    <w:p>
      <w:pPr>
        <w:pStyle w:val="Heading2"/>
        <w:spacing w:before="300" w:after="150"/>
      </w:pPr>
      <w:r>
        <w:rPr>
          <w:b/>
          <w:bCs/>
          <w:sz w:val="30"/>
          <w:szCs w:val="30"/>
          <w:rFonts w:ascii="Arial" w:cs="Arial" w:eastAsia="Arial" w:hAnsi="Arial"/>
        </w:rPr>
        <w:t xml:space="preserve">Random Utility Theory Foundations</w:t>
      </w:r>
    </w:p>
    <w:p>
      <w:pPr>
        <w:pStyle w:val="Heading3"/>
        <w:spacing w:before="200" w:after="100"/>
      </w:pPr>
      <w:r>
        <w:rPr>
          <w:b/>
          <w:bCs/>
          <w:sz w:val="26"/>
          <w:szCs w:val="26"/>
          <w:rFonts w:ascii="Arial" w:cs="Arial" w:eastAsia="Arial" w:hAnsi="Arial"/>
        </w:rPr>
        <w:t xml:space="preserve">The Random Utility Model</w:t>
      </w:r>
    </w:p>
    <w:p>
      <w:pPr>
        <w:spacing w:after="120"/>
      </w:pPr>
      <w:r>
        <w:rPr>
          <w:sz w:val="24"/>
          <w:szCs w:val="24"/>
          <w:rFonts w:ascii="Arial" w:cs="Arial" w:eastAsia="Arial" w:hAnsi="Arial"/>
        </w:rPr>
        <w:t xml:space="preserve">Individual i choosing among J alternatives receives utility from alternative j:</w:t>
      </w:r>
    </w:p>
    <w:p>
      <w:pPr>
        <w:spacing w:after="120"/>
      </w:pPr>
      <w:r>
        <w:rPr>
          <w:sz w:val="24"/>
          <w:szCs w:val="24"/>
          <w:rFonts w:ascii="Arial" w:cs="Arial" w:eastAsia="Arial" w:hAnsi="Arial"/>
        </w:rPr>
        <w:t xml:space="preserve">Uᵢⱼ = Vᵢⱼ + εᵢⱼ = X'ᵢⱼβ + εᵢⱼ</w:t>
      </w:r>
    </w:p>
    <w:p>
      <w:pPr>
        <w:spacing w:after="120"/>
      </w:pPr>
      <w:r>
        <w:rPr>
          <w:sz w:val="24"/>
          <w:szCs w:val="24"/>
          <w:rFonts w:ascii="Arial" w:cs="Arial" w:eastAsia="Arial" w:hAnsi="Arial"/>
        </w:rPr>
        <w:t xml:space="preserve">where Vᵢⱼ is the deterministic (observable) component and εᵢⱼ is the stochastic (unobservable) component. The individual chooses alternative j if Uᵢⱼ &gt; Uᵢₖ for all k ≠ j. The probability of choosing j is:</w:t>
      </w:r>
    </w:p>
    <w:p>
      <w:pPr>
        <w:spacing w:after="120"/>
      </w:pPr>
      <w:r>
        <w:rPr>
          <w:sz w:val="24"/>
          <w:szCs w:val="24"/>
          <w:rFonts w:ascii="Arial" w:cs="Arial" w:eastAsia="Arial" w:hAnsi="Arial"/>
        </w:rPr>
        <w:t xml:space="preserve">Pr(yᵢ = j) = Pr(Uᵢⱼ &gt; Uᵢₖ for all k ≠ j) = Pr(εᵢₖ - εᵢⱼ &lt; Vᵢⱼ - Vᵢₖ for all k ≠ j)</w:t>
      </w:r>
    </w:p>
    <w:p>
      <w:pPr>
        <w:spacing w:after="120"/>
      </w:pPr>
      <w:r>
        <w:rPr>
          <w:sz w:val="24"/>
          <w:szCs w:val="24"/>
          <w:rFonts w:ascii="Arial" w:cs="Arial" w:eastAsia="Arial" w:hAnsi="Arial"/>
        </w:rPr>
        <w:t xml:space="preserve">The distributional assumption about εᵢⱼ determines the specific model — logit, probit, nested logit, or mixed logit.</w:t>
      </w:r>
    </w:p>
    <w:p>
      <w:pPr>
        <w:pStyle w:val="Heading2"/>
        <w:spacing w:before="300" w:after="150"/>
      </w:pPr>
      <w:r>
        <w:rPr>
          <w:b/>
          <w:bCs/>
          <w:sz w:val="30"/>
          <w:szCs w:val="30"/>
          <w:rFonts w:ascii="Arial" w:cs="Arial" w:eastAsia="Arial" w:hAnsi="Arial"/>
        </w:rPr>
        <w:t xml:space="preserve">Binary Choice Models</w:t>
      </w:r>
    </w:p>
    <w:p>
      <w:pPr>
        <w:pStyle w:val="Heading3"/>
        <w:spacing w:before="200" w:after="100"/>
      </w:pPr>
      <w:r>
        <w:rPr>
          <w:b/>
          <w:bCs/>
          <w:sz w:val="26"/>
          <w:szCs w:val="26"/>
          <w:rFonts w:ascii="Arial" w:cs="Arial" w:eastAsia="Arial" w:hAnsi="Arial"/>
        </w:rPr>
        <w:t xml:space="preserve">Logit and Probit</w:t>
      </w:r>
    </w:p>
    <w:p>
      <w:pPr>
        <w:spacing w:after="120"/>
      </w:pPr>
      <w:r>
        <w:rPr>
          <w:sz w:val="24"/>
          <w:szCs w:val="24"/>
          <w:rFonts w:ascii="Arial" w:cs="Arial" w:eastAsia="Arial" w:hAnsi="Arial"/>
        </w:rPr>
        <w:t xml:space="preserve">For binary outcomes (J = 2), the logit model assumes εᵢⱼ follows a Type I extreme value distribution, yielding:</w:t>
      </w:r>
    </w:p>
    <w:p>
      <w:pPr>
        <w:spacing w:after="120"/>
      </w:pPr>
      <w:r>
        <w:rPr>
          <w:sz w:val="24"/>
          <w:szCs w:val="24"/>
          <w:rFonts w:ascii="Arial" w:cs="Arial" w:eastAsia="Arial" w:hAnsi="Arial"/>
        </w:rPr>
        <w:t xml:space="preserve">Pr(yᵢ = 1 | Xᵢ) = exp(X'ᵢβ) / (1 + exp(X'ᵢβ)) = Λ(X'ᵢβ)</w:t>
      </w:r>
    </w:p>
    <w:p>
      <w:pPr>
        <w:spacing w:after="120"/>
      </w:pPr>
      <w:r>
        <w:rPr>
          <w:sz w:val="24"/>
          <w:szCs w:val="24"/>
          <w:rFonts w:ascii="Arial" w:cs="Arial" w:eastAsia="Arial" w:hAnsi="Arial"/>
        </w:rPr>
        <w:t xml:space="preserve">The probit model assumes εᵢⱼ ~ N(0,1), yielding Pr(yᵢ = 1) = Φ(X'ᵢβ). Both are estimated by MLE and produce similar results in most applications. The logit is computationally simpler and yields odds ratios; the probit integrates more naturally with models involving multivariate normal distributions (selection models, multivariate probit).</w:t>
      </w:r>
    </w:p>
    <w:p>
      <w:pPr>
        <w:pStyle w:val="Heading3"/>
        <w:spacing w:before="200" w:after="100"/>
      </w:pPr>
      <w:r>
        <w:rPr>
          <w:b/>
          <w:bCs/>
          <w:sz w:val="26"/>
          <w:szCs w:val="26"/>
          <w:rFonts w:ascii="Arial" w:cs="Arial" w:eastAsia="Arial" w:hAnsi="Arial"/>
        </w:rPr>
        <w:t xml:space="preserve">Marginal Effects</w:t>
      </w:r>
    </w:p>
    <w:p>
      <w:pPr>
        <w:spacing w:after="120"/>
      </w:pPr>
      <w:r>
        <w:rPr>
          <w:sz w:val="24"/>
          <w:szCs w:val="24"/>
          <w:rFonts w:ascii="Arial" w:cs="Arial" w:eastAsia="Arial" w:hAnsi="Arial"/>
        </w:rPr>
        <w:t xml:space="preserve">Because the link function is nonlinear, coefficients do not directly represent marginal effects. The average marginal effect (AME) of covariate xₖ is:</w:t>
      </w:r>
    </w:p>
    <w:p>
      <w:pPr>
        <w:spacing w:after="120"/>
      </w:pPr>
      <w:r>
        <w:rPr>
          <w:sz w:val="24"/>
          <w:szCs w:val="24"/>
          <w:rFonts w:ascii="Arial" w:cs="Arial" w:eastAsia="Arial" w:hAnsi="Arial"/>
        </w:rPr>
        <w:t xml:space="preserve">AME = (1/n) Σᵢ f(X'ᵢβ̂) × β̂ₖ</w:t>
      </w:r>
    </w:p>
    <w:p>
      <w:pPr>
        <w:spacing w:after="120"/>
      </w:pPr>
      <w:r>
        <w:rPr>
          <w:sz w:val="24"/>
          <w:szCs w:val="24"/>
          <w:rFonts w:ascii="Arial" w:cs="Arial" w:eastAsia="Arial" w:hAnsi="Arial"/>
        </w:rPr>
        <w:t xml:space="preserve">where f(·) is the logistic or normal density. For binary covariates, the marginal effect is the discrete change in predicted probability when the covariate changes from 0 to 1. AME is preferred over marginal effects at the means because it averages over the actual distribution of covariates rather than evaluating at a potentially unrepresentative "average" individual.</w:t>
      </w:r>
    </w:p>
    <w:p>
      <w:pPr>
        <w:pStyle w:val="Heading2"/>
        <w:spacing w:before="300" w:after="150"/>
      </w:pPr>
      <w:r>
        <w:rPr>
          <w:b/>
          <w:bCs/>
          <w:sz w:val="30"/>
          <w:szCs w:val="30"/>
          <w:rFonts w:ascii="Arial" w:cs="Arial" w:eastAsia="Arial" w:hAnsi="Arial"/>
        </w:rPr>
        <w:t xml:space="preserve">Multinomial Choice Models</w:t>
      </w:r>
    </w:p>
    <w:p>
      <w:pPr>
        <w:pStyle w:val="Heading3"/>
        <w:spacing w:before="200" w:after="100"/>
      </w:pPr>
      <w:r>
        <w:rPr>
          <w:b/>
          <w:bCs/>
          <w:sz w:val="26"/>
          <w:szCs w:val="26"/>
          <w:rFonts w:ascii="Arial" w:cs="Arial" w:eastAsia="Arial" w:hAnsi="Arial"/>
        </w:rPr>
        <w:t xml:space="preserve">Multinomial Logit</w:t>
      </w:r>
    </w:p>
    <w:p>
      <w:pPr>
        <w:spacing w:after="120"/>
      </w:pPr>
      <w:r>
        <w:rPr>
          <w:sz w:val="24"/>
          <w:szCs w:val="24"/>
          <w:rFonts w:ascii="Arial" w:cs="Arial" w:eastAsia="Arial" w:hAnsi="Arial"/>
        </w:rPr>
        <w:t xml:space="preserve">The multinomial logit (MNL) model, developed by McFadden (1974), extends binary logit to J &gt; 2 alternatives. With the Type I extreme value distribution for each εᵢⱼ, the choice probability is:</w:t>
      </w:r>
    </w:p>
    <w:p>
      <w:pPr>
        <w:spacing w:after="120"/>
      </w:pPr>
      <w:r>
        <w:rPr>
          <w:sz w:val="24"/>
          <w:szCs w:val="24"/>
          <w:rFonts w:ascii="Arial" w:cs="Arial" w:eastAsia="Arial" w:hAnsi="Arial"/>
        </w:rPr>
        <w:t xml:space="preserve">Pr(yᵢ = j | Xᵢ) = exp(X'ᵢⱼβ) / Σₖ exp(X'ᵢₖβ)</w:t>
      </w:r>
    </w:p>
    <w:p>
      <w:pPr>
        <w:spacing w:after="120"/>
      </w:pPr>
      <w:r>
        <w:rPr>
          <w:sz w:val="24"/>
          <w:szCs w:val="24"/>
          <w:rFonts w:ascii="Arial" w:cs="Arial" w:eastAsia="Arial" w:hAnsi="Arial"/>
        </w:rPr>
        <w:t xml:space="preserve">The MNL has the closed-form choice probability (no numerical integration required), making estimation straightforward. However, it imposes the independence of irrelevant alternatives (IIA) property: the ratio of choice probabilities for any two alternatives is independent of the attributes of all other alternatives. Formally:</w:t>
      </w:r>
    </w:p>
    <w:p>
      <w:pPr>
        <w:spacing w:after="120"/>
      </w:pPr>
      <w:r>
        <w:rPr>
          <w:sz w:val="24"/>
          <w:szCs w:val="24"/>
          <w:rFonts w:ascii="Arial" w:cs="Arial" w:eastAsia="Arial" w:hAnsi="Arial"/>
        </w:rPr>
        <w:t xml:space="preserve">Pr(yᵢ = j) / Pr(yᵢ = k) = exp(X'ᵢⱼβ) / exp(X'ᵢₖβ)</w:t>
      </w:r>
    </w:p>
    <w:p>
      <w:pPr>
        <w:spacing w:after="120"/>
      </w:pPr>
      <w:r>
        <w:rPr>
          <w:sz w:val="24"/>
          <w:szCs w:val="24"/>
          <w:rFonts w:ascii="Arial" w:cs="Arial" w:eastAsia="Arial" w:hAnsi="Arial"/>
        </w:rPr>
        <w:t xml:space="preserve">IIA is a strong restriction. In hospital choice, IIA implies that removing a hospital from the choice set redistributes its market share proportionally across all remaining hospitals — a prediction that may be unrealistic if the removed hospital is more substitutable with some hospitals than others.</w:t>
      </w:r>
    </w:p>
    <w:p>
      <w:pPr>
        <w:pStyle w:val="Heading3"/>
        <w:spacing w:before="200" w:after="100"/>
      </w:pPr>
      <w:r>
        <w:rPr>
          <w:b/>
          <w:bCs/>
          <w:sz w:val="26"/>
          <w:szCs w:val="26"/>
          <w:rFonts w:ascii="Arial" w:cs="Arial" w:eastAsia="Arial" w:hAnsi="Arial"/>
        </w:rPr>
        <w:t xml:space="preserve">Conditional Logit</w:t>
      </w:r>
    </w:p>
    <w:p>
      <w:pPr>
        <w:spacing w:after="120"/>
      </w:pPr>
      <w:r>
        <w:rPr>
          <w:sz w:val="24"/>
          <w:szCs w:val="24"/>
          <w:rFonts w:ascii="Arial" w:cs="Arial" w:eastAsia="Arial" w:hAnsi="Arial"/>
        </w:rPr>
        <w:t xml:space="preserve">The conditional logit (also called McFadden's choice model) distinguishes between alternative-specific attributes (Xⱼ — features that vary across alternatives, like hospital quality, distance, price) and individual-specific attributes (Zᵢ — features that vary across individuals, like age, insurance status). The utility specification is:</w:t>
      </w:r>
    </w:p>
    <w:p>
      <w:pPr>
        <w:spacing w:after="120"/>
      </w:pPr>
      <w:r>
        <w:rPr>
          <w:sz w:val="24"/>
          <w:szCs w:val="24"/>
          <w:rFonts w:ascii="Arial" w:cs="Arial" w:eastAsia="Arial" w:hAnsi="Arial"/>
        </w:rPr>
        <w:t xml:space="preserve">Uᵢⱼ = X'ⱼβ + Z'ᵢγⱼ + εᵢⱼ</w:t>
      </w:r>
    </w:p>
    <w:p>
      <w:pPr>
        <w:spacing w:after="120"/>
      </w:pPr>
      <w:r>
        <w:rPr>
          <w:sz w:val="24"/>
          <w:szCs w:val="24"/>
          <w:rFonts w:ascii="Arial" w:cs="Arial" w:eastAsia="Arial" w:hAnsi="Arial"/>
        </w:rPr>
        <w:t xml:space="preserve">where β captures the effect of alternative attributes (constant across individuals) and γⱼ captures the effect of individual attributes on the utility of alternative j (with one alternative normalized to zero for identification).</w:t>
      </w:r>
    </w:p>
    <w:p>
      <w:pPr>
        <w:spacing w:after="120"/>
      </w:pPr>
      <w:r>
        <w:rPr>
          <w:sz w:val="24"/>
          <w:szCs w:val="24"/>
          <w:rFonts w:ascii="Arial" w:cs="Arial" w:eastAsia="Arial" w:hAnsi="Arial"/>
        </w:rPr>
        <w:t xml:space="preserve">In hospital choice models, distance from the patient's residence to each hospital enters as an alternative-specific attribute (varying across hospitals for each patient), while patient demographics enter as individual-specific attributes with alternative-varying coefficients.</w:t>
      </w:r>
    </w:p>
    <w:p>
      <w:pPr>
        <w:pStyle w:val="Heading3"/>
        <w:spacing w:before="200" w:after="100"/>
      </w:pPr>
      <w:r>
        <w:rPr>
          <w:b/>
          <w:bCs/>
          <w:sz w:val="26"/>
          <w:szCs w:val="26"/>
          <w:rFonts w:ascii="Arial" w:cs="Arial" w:eastAsia="Arial" w:hAnsi="Arial"/>
        </w:rPr>
        <w:t xml:space="preserve">The IIA Problem</w:t>
      </w:r>
    </w:p>
    <w:p>
      <w:pPr>
        <w:spacing w:after="120"/>
      </w:pPr>
      <w:r>
        <w:rPr>
          <w:sz w:val="24"/>
          <w:szCs w:val="24"/>
          <w:rFonts w:ascii="Arial" w:cs="Arial" w:eastAsia="Arial" w:hAnsi="Arial"/>
        </w:rPr>
        <w:t xml:space="preserve">The IIA property can be tested using the Hausman-McFadden test, which compares the full-sample MNL estimates with estimates obtained from a restricted choice set (dropping one alternative). Under IIA, the estimates should be similar; a significant difference indicates IIA violation.</w:t>
      </w:r>
    </w:p>
    <w:p>
      <w:pPr>
        <w:spacing w:after="120"/>
      </w:pPr>
      <w:r>
        <w:rPr>
          <w:sz w:val="24"/>
          <w:szCs w:val="24"/>
          <w:rFonts w:ascii="Arial" w:cs="Arial" w:eastAsia="Arial" w:hAnsi="Arial"/>
        </w:rPr>
        <w:t xml:space="preserve">When IIA is violated, several alternatives are available: nested logit, mixed logit, or multinomial probit. Each relaxes IIA in a different way.</w:t>
      </w:r>
    </w:p>
    <w:p>
      <w:pPr>
        <w:pStyle w:val="Heading2"/>
        <w:spacing w:before="300" w:after="150"/>
      </w:pPr>
      <w:r>
        <w:rPr>
          <w:b/>
          <w:bCs/>
          <w:sz w:val="30"/>
          <w:szCs w:val="30"/>
          <w:rFonts w:ascii="Arial" w:cs="Arial" w:eastAsia="Arial" w:hAnsi="Arial"/>
        </w:rPr>
        <w:t xml:space="preserve">Nested Logit</w:t>
      </w:r>
    </w:p>
    <w:p>
      <w:pPr>
        <w:spacing w:after="120"/>
      </w:pPr>
      <w:r>
        <w:rPr>
          <w:sz w:val="24"/>
          <w:szCs w:val="24"/>
          <w:rFonts w:ascii="Arial" w:cs="Arial" w:eastAsia="Arial" w:hAnsi="Arial"/>
        </w:rPr>
        <w:t xml:space="preserve">The nested logit model groups alternatives into nests (clusters of similar alternatives) and allows correlation among the unobserved utility components within each nest. The choice probability has a two-level structure:</w:t>
      </w:r>
    </w:p>
    <w:p>
      <w:pPr>
        <w:spacing w:after="120"/>
      </w:pPr>
      <w:r>
        <w:rPr>
          <w:sz w:val="24"/>
          <w:szCs w:val="24"/>
          <w:rFonts w:ascii="Arial" w:cs="Arial" w:eastAsia="Arial" w:hAnsi="Arial"/>
        </w:rPr>
        <w:t xml:space="preserve">Pr(yᵢ = j) = Pr(nest m) × Pr(j | nest m)</w:t>
      </w:r>
    </w:p>
    <w:p>
      <w:pPr>
        <w:spacing w:after="120"/>
      </w:pPr>
      <w:r>
        <w:rPr>
          <w:sz w:val="24"/>
          <w:szCs w:val="24"/>
          <w:rFonts w:ascii="Arial" w:cs="Arial" w:eastAsia="Arial" w:hAnsi="Arial"/>
        </w:rPr>
        <w:t xml:space="preserve">The within-nest choice follows a conditional logit, and the nest choice depends on the expected maximum utility within each nest (the "inclusive value" or "log-sum"). The dissimilarity parameter σₘ ∈ (0, 1] captures the degree of correlation within nest m; σₘ = 1 reduces to the standard MNL (no within-nest correlation).</w:t>
      </w:r>
    </w:p>
    <w:p>
      <w:pPr>
        <w:spacing w:after="120"/>
      </w:pPr>
      <w:r>
        <w:rPr>
          <w:sz w:val="24"/>
          <w:szCs w:val="24"/>
          <w:rFonts w:ascii="Arial" w:cs="Arial" w:eastAsia="Arial" w:hAnsi="Arial"/>
        </w:rPr>
        <w:t xml:space="preserve">In hospital choice, nests might group hospitals by ownership type (for-profit, nonprofit, public), by teaching status (academic medical centers vs. community hospitals), or by geographic proximity (local vs. distant). The nested structure allows the removal of a hospital to redistribute market share disproportionately toward other hospitals in the same nest — a more realistic substitution pattern than IIA permits.</w:t>
      </w:r>
    </w:p>
    <w:p>
      <w:pPr>
        <w:pStyle w:val="Heading2"/>
        <w:spacing w:before="300" w:after="150"/>
      </w:pPr>
      <w:r>
        <w:rPr>
          <w:b/>
          <w:bCs/>
          <w:sz w:val="30"/>
          <w:szCs w:val="30"/>
          <w:rFonts w:ascii="Arial" w:cs="Arial" w:eastAsia="Arial" w:hAnsi="Arial"/>
        </w:rPr>
        <w:t xml:space="preserve">Mixed Logit</w:t>
      </w:r>
    </w:p>
    <w:p>
      <w:pPr>
        <w:pStyle w:val="Heading3"/>
        <w:spacing w:before="200" w:after="100"/>
      </w:pPr>
      <w:r>
        <w:rPr>
          <w:b/>
          <w:bCs/>
          <w:sz w:val="26"/>
          <w:szCs w:val="26"/>
          <w:rFonts w:ascii="Arial" w:cs="Arial" w:eastAsia="Arial" w:hAnsi="Arial"/>
        </w:rPr>
        <w:t xml:space="preserve">Random Parameters</w:t>
      </w:r>
    </w:p>
    <w:p>
      <w:pPr>
        <w:spacing w:after="120"/>
      </w:pPr>
      <w:r>
        <w:rPr>
          <w:sz w:val="24"/>
          <w:szCs w:val="24"/>
          <w:rFonts w:ascii="Arial" w:cs="Arial" w:eastAsia="Arial" w:hAnsi="Arial"/>
        </w:rPr>
        <w:t xml:space="preserve">The mixed logit (random parameters logit) is the most flexible discrete choice model in widespread use. It allows taste heterogeneity by treating the coefficients as random variables drawn from a population distribution:</w:t>
      </w:r>
    </w:p>
    <w:p>
      <w:pPr>
        <w:spacing w:after="120"/>
      </w:pPr>
      <w:r>
        <w:rPr>
          <w:sz w:val="24"/>
          <w:szCs w:val="24"/>
          <w:rFonts w:ascii="Arial" w:cs="Arial" w:eastAsia="Arial" w:hAnsi="Arial"/>
        </w:rPr>
        <w:t xml:space="preserve">βᵢ ~ F(θ)</w:t>
      </w:r>
    </w:p>
    <w:p>
      <w:pPr>
        <w:spacing w:after="120"/>
      </w:pPr>
      <w:r>
        <w:rPr>
          <w:sz w:val="24"/>
          <w:szCs w:val="24"/>
          <w:rFonts w:ascii="Arial" w:cs="Arial" w:eastAsia="Arial" w:hAnsi="Arial"/>
        </w:rPr>
        <w:t xml:space="preserve">where F is a specified distribution (typically normal, log-normal, or triangular) with parameters θ (mean and variance). The choice probability is:</w:t>
      </w:r>
    </w:p>
    <w:p>
      <w:pPr>
        <w:spacing w:after="120"/>
      </w:pPr>
      <w:r>
        <w:rPr>
          <w:sz w:val="24"/>
          <w:szCs w:val="24"/>
          <w:rFonts w:ascii="Arial" w:cs="Arial" w:eastAsia="Arial" w:hAnsi="Arial"/>
        </w:rPr>
        <w:t xml:space="preserve">Pr(yᵢ = j) = ∫ [exp(X'ᵢⱼβ) / Σₖ exp(X'ᵢₖβ)] × f(β | θ) dβ</w:t>
      </w:r>
    </w:p>
    <w:p>
      <w:pPr>
        <w:spacing w:after="120"/>
      </w:pPr>
      <w:r>
        <w:rPr>
          <w:sz w:val="24"/>
          <w:szCs w:val="24"/>
          <w:rFonts w:ascii="Arial" w:cs="Arial" w:eastAsia="Arial" w:hAnsi="Arial"/>
        </w:rPr>
        <w:t xml:space="preserve">This integral has no closed form and must be evaluated by simulation (simulated maximum likelihood), drawing R random coefficient vectors from F(θ) and averaging the choice probabilities across draws.</w:t>
      </w:r>
    </w:p>
    <w:p>
      <w:pPr>
        <w:spacing w:after="120"/>
      </w:pPr>
      <w:r>
        <w:rPr>
          <w:sz w:val="24"/>
          <w:szCs w:val="24"/>
          <w:rFonts w:ascii="Arial" w:cs="Arial" w:eastAsia="Arial" w:hAnsi="Arial"/>
        </w:rPr>
        <w:t xml:space="preserve">Mixed logit eliminates the IIA property because the substitution patterns depend on the joint distribution of random coefficients across alternatives. It accommodates flexible correlation structures and can approximate any random utility model to arbitrary accuracy (McFadden and Train, 2000).</w:t>
      </w:r>
    </w:p>
    <w:p>
      <w:pPr>
        <w:pStyle w:val="Heading3"/>
        <w:spacing w:before="200" w:after="100"/>
      </w:pPr>
      <w:r>
        <w:rPr>
          <w:b/>
          <w:bCs/>
          <w:sz w:val="26"/>
          <w:szCs w:val="26"/>
          <w:rFonts w:ascii="Arial" w:cs="Arial" w:eastAsia="Arial" w:hAnsi="Arial"/>
        </w:rPr>
        <w:t xml:space="preserve">Applications to Health Insurance Plan Choice</w:t>
      </w:r>
    </w:p>
    <w:p>
      <w:pPr>
        <w:spacing w:after="120"/>
      </w:pPr>
      <w:r>
        <w:rPr>
          <w:sz w:val="24"/>
          <w:szCs w:val="24"/>
          <w:rFonts w:ascii="Arial" w:cs="Arial" w:eastAsia="Arial" w:hAnsi="Arial"/>
        </w:rPr>
        <w:t xml:space="preserve">Handel (2013) applied mixed logit to employer-sponsored health insurance plan choice, estimating the distribution of risk preferences and inertia in a large employer population. The model revealed that employees exhibit substantial inertia (tendency to remain in their current plan regardless of price changes), resulting in welfare losses averaging approximately $2,000 per employee per year. The random coefficient specification captured substantial heterogeneity in price sensitivity, with some employees highly responsive to premium differences and others essentially ignoring cost differences across plans.</w:t>
      </w:r>
    </w:p>
    <w:p>
      <w:pPr>
        <w:spacing w:after="120"/>
      </w:pPr>
      <w:r>
        <w:rPr>
          <w:sz w:val="24"/>
          <w:szCs w:val="24"/>
          <w:rFonts w:ascii="Arial" w:cs="Arial" w:eastAsia="Arial" w:hAnsi="Arial"/>
        </w:rPr>
        <w:t xml:space="preserve">Ericson and Starc (2015) used mixed logit to study plan choice in the Massachusetts health insurance exchange, finding that consumers are sensitive to premiums but largely insensitive to out-of-pocket cost structure (deductibles, copayments), suggesting limited understanding of plan financial characteristics.</w:t>
      </w:r>
    </w:p>
    <w:p>
      <w:pPr>
        <w:pStyle w:val="Heading2"/>
        <w:spacing w:before="300" w:after="150"/>
      </w:pPr>
      <w:r>
        <w:rPr>
          <w:b/>
          <w:bCs/>
          <w:sz w:val="30"/>
          <w:szCs w:val="30"/>
          <w:rFonts w:ascii="Arial" w:cs="Arial" w:eastAsia="Arial" w:hAnsi="Arial"/>
        </w:rPr>
        <w:t xml:space="preserve">Latent Class Models</w:t>
      </w:r>
    </w:p>
    <w:p>
      <w:pPr>
        <w:spacing w:after="120"/>
      </w:pPr>
      <w:r>
        <w:rPr>
          <w:sz w:val="24"/>
          <w:szCs w:val="24"/>
          <w:rFonts w:ascii="Arial" w:cs="Arial" w:eastAsia="Arial" w:hAnsi="Arial"/>
        </w:rPr>
        <w:t xml:space="preserve">Latent class models provide an alternative to mixed logit for capturing unobserved heterogeneity. Rather than assuming a continuous distribution of preferences, latent class models assume a finite number of discrete types (classes), each with distinct preference parameters:</w:t>
      </w:r>
    </w:p>
    <w:p>
      <w:pPr>
        <w:spacing w:after="120"/>
      </w:pPr>
      <w:r>
        <w:rPr>
          <w:sz w:val="24"/>
          <w:szCs w:val="24"/>
          <w:rFonts w:ascii="Arial" w:cs="Arial" w:eastAsia="Arial" w:hAnsi="Arial"/>
        </w:rPr>
        <w:t xml:space="preserve">Pr(yᵢ = j) = Σ_c πc × Pr(yᵢ = j | class c)</w:t>
      </w:r>
    </w:p>
    <w:p>
      <w:pPr>
        <w:spacing w:after="120"/>
      </w:pPr>
      <w:r>
        <w:rPr>
          <w:sz w:val="24"/>
          <w:szCs w:val="24"/>
          <w:rFonts w:ascii="Arial" w:cs="Arial" w:eastAsia="Arial" w:hAnsi="Arial"/>
        </w:rPr>
        <w:t xml:space="preserve">where πc is the probability of belonging to class c and Pr(yᵢ = j | class c) is the within-class choice probability (typically MNL with class-specific coefficients). The number of classes is determined by information criteria (AIC, BIC) or likelihood ratio tests.</w:t>
      </w:r>
    </w:p>
    <w:p>
      <w:pPr>
        <w:spacing w:after="120"/>
      </w:pPr>
      <w:r>
        <w:rPr>
          <w:sz w:val="24"/>
          <w:szCs w:val="24"/>
          <w:rFonts w:ascii="Arial" w:cs="Arial" w:eastAsia="Arial" w:hAnsi="Arial"/>
        </w:rPr>
        <w:t xml:space="preserve">Latent class models are interpretable — each class represents a distinct "type" of decision-maker with identifiable preference patterns — and can reveal segmentation in the population. In health insurance choice, latent classes might correspond to "price-sensitive shoppers," "quality-focused selectors," and "inertial non-switchers."</w:t>
      </w:r>
    </w:p>
    <w:p>
      <w:pPr>
        <w:pStyle w:val="Heading2"/>
        <w:spacing w:before="300" w:after="150"/>
      </w:pPr>
      <w:r>
        <w:rPr>
          <w:b/>
          <w:bCs/>
          <w:sz w:val="30"/>
          <w:szCs w:val="30"/>
          <w:rFonts w:ascii="Arial" w:cs="Arial" w:eastAsia="Arial" w:hAnsi="Arial"/>
        </w:rPr>
        <w:t xml:space="preserve">Ordered Choice Models</w:t>
      </w:r>
    </w:p>
    <w:p>
      <w:pPr>
        <w:spacing w:after="120"/>
      </w:pPr>
      <w:r>
        <w:rPr>
          <w:sz w:val="24"/>
          <w:szCs w:val="24"/>
          <w:rFonts w:ascii="Arial" w:cs="Arial" w:eastAsia="Arial" w:hAnsi="Arial"/>
        </w:rPr>
        <w:t xml:space="preserve">Ordered probit and ordered logit model ordinal outcomes — self-reported health status (poor, fair, good, very good, excellent), satisfaction scales, severity classifications. The latent variable formulation is:</w:t>
      </w:r>
    </w:p>
    <w:p>
      <w:pPr>
        <w:spacing w:after="120"/>
      </w:pPr>
      <w:r>
        <w:rPr>
          <w:sz w:val="24"/>
          <w:szCs w:val="24"/>
          <w:rFonts w:ascii="Arial" w:cs="Arial" w:eastAsia="Arial" w:hAnsi="Arial"/>
        </w:rPr>
        <w:t xml:space="preserve">yᵢ* = X'ᵢβ + εᵢ</w:t>
      </w:r>
    </w:p>
    <w:p>
      <w:pPr>
        <w:spacing w:after="120"/>
      </w:pPr>
      <w:r>
        <w:rPr>
          <w:sz w:val="24"/>
          <w:szCs w:val="24"/>
          <w:rFonts w:ascii="Arial" w:cs="Arial" w:eastAsia="Arial" w:hAnsi="Arial"/>
        </w:rPr>
        <w:t xml:space="preserve">yᵢ = j if μⱼ₋₁ &lt; yᵢ* ≤ μⱼ</w:t>
      </w:r>
    </w:p>
    <w:p>
      <w:pPr>
        <w:spacing w:after="120"/>
      </w:pPr>
      <w:r>
        <w:rPr>
          <w:sz w:val="24"/>
          <w:szCs w:val="24"/>
          <w:rFonts w:ascii="Arial" w:cs="Arial" w:eastAsia="Arial" w:hAnsi="Arial"/>
        </w:rPr>
        <w:t xml:space="preserve">where μⱼ are threshold parameters (cut points) estimated alongside β. The parallel lines assumption requires that β is constant across all thresholds — the covariates shift the entire latent distribution uniformly. When this assumption is violated, the generalized ordered logit allows threshold-specific coefficients.</w:t>
      </w:r>
    </w:p>
    <w:p>
      <w:pPr>
        <w:pStyle w:val="Heading2"/>
        <w:spacing w:before="300" w:after="150"/>
      </w:pPr>
      <w:r>
        <w:rPr>
          <w:b/>
          <w:bCs/>
          <w:sz w:val="30"/>
          <w:szCs w:val="30"/>
          <w:rFonts w:ascii="Arial" w:cs="Arial" w:eastAsia="Arial" w:hAnsi="Arial"/>
        </w:rPr>
        <w:t xml:space="preserve">Discrete Choice Experiments</w:t>
      </w:r>
    </w:p>
    <w:p>
      <w:pPr>
        <w:pStyle w:val="Heading3"/>
        <w:spacing w:before="200" w:after="100"/>
      </w:pPr>
      <w:r>
        <w:rPr>
          <w:b/>
          <w:bCs/>
          <w:sz w:val="26"/>
          <w:szCs w:val="26"/>
          <w:rFonts w:ascii="Arial" w:cs="Arial" w:eastAsia="Arial" w:hAnsi="Arial"/>
        </w:rPr>
        <w:t xml:space="preserve">Design and Estimation</w:t>
      </w:r>
    </w:p>
    <w:p>
      <w:pPr>
        <w:spacing w:after="120"/>
      </w:pPr>
      <w:r>
        <w:rPr>
          <w:sz w:val="24"/>
          <w:szCs w:val="24"/>
          <w:rFonts w:ascii="Arial" w:cs="Arial" w:eastAsia="Arial" w:hAnsi="Arial"/>
        </w:rPr>
        <w:t xml:space="preserve">Discrete choice experiments (DCEs) present respondents with hypothetical choice scenarios, each describing alternatives defined by systematically varied attribute levels. By observing choices across many scenarios, the analyst estimates the relative importance of each attribute and the willingness-to-pay (WTP) for attribute improvements.</w:t>
      </w:r>
    </w:p>
    <w:p>
      <w:pPr>
        <w:spacing w:after="120"/>
      </w:pPr>
      <w:r>
        <w:rPr>
          <w:sz w:val="24"/>
          <w:szCs w:val="24"/>
          <w:rFonts w:ascii="Arial" w:cs="Arial" w:eastAsia="Arial" w:hAnsi="Arial"/>
        </w:rPr>
        <w:t xml:space="preserve">DCE design involves selecting attributes (e.g., waiting time, provider type, out-of-pocket cost, treatment success probability), defining attribute levels, and constructing choice sets using experimental design principles (D-optimal or Bayesian efficient designs) that maximize the statistical information from each choice scenario.</w:t>
      </w:r>
    </w:p>
    <w:p>
      <w:pPr>
        <w:spacing w:after="120"/>
      </w:pPr>
      <w:r>
        <w:rPr>
          <w:sz w:val="24"/>
          <w:szCs w:val="24"/>
          <w:rFonts w:ascii="Arial" w:cs="Arial" w:eastAsia="Arial" w:hAnsi="Arial"/>
        </w:rPr>
        <w:t xml:space="preserve">WTP is estimated as the ratio of the attribute coefficient to the cost coefficient:</w:t>
      </w:r>
    </w:p>
    <w:p>
      <w:pPr>
        <w:spacing w:after="120"/>
      </w:pPr>
      <w:r>
        <w:rPr>
          <w:sz w:val="24"/>
          <w:szCs w:val="24"/>
          <w:rFonts w:ascii="Arial" w:cs="Arial" w:eastAsia="Arial" w:hAnsi="Arial"/>
        </w:rPr>
        <w:t xml:space="preserve">WTP_k = -β_k / β_cost</w:t>
      </w:r>
    </w:p>
    <w:p>
      <w:pPr>
        <w:spacing w:after="120"/>
      </w:pPr>
      <w:r>
        <w:rPr>
          <w:sz w:val="24"/>
          <w:szCs w:val="24"/>
          <w:rFonts w:ascii="Arial" w:cs="Arial" w:eastAsia="Arial" w:hAnsi="Arial"/>
        </w:rPr>
        <w:t xml:space="preserve">This marginal rate of substitution measures how much money the respondent would trade for a one-unit improvement in attribute k.</w:t>
      </w:r>
    </w:p>
    <w:p>
      <w:pPr>
        <w:pStyle w:val="Heading3"/>
        <w:spacing w:before="200" w:after="100"/>
      </w:pPr>
      <w:r>
        <w:rPr>
          <w:b/>
          <w:bCs/>
          <w:sz w:val="26"/>
          <w:szCs w:val="26"/>
          <w:rFonts w:ascii="Arial" w:cs="Arial" w:eastAsia="Arial" w:hAnsi="Arial"/>
        </w:rPr>
        <w:t xml:space="preserve">FDA Applications</w:t>
      </w:r>
    </w:p>
    <w:p>
      <w:pPr>
        <w:spacing w:after="120"/>
      </w:pPr>
      <w:r>
        <w:rPr>
          <w:sz w:val="24"/>
          <w:szCs w:val="24"/>
          <w:rFonts w:ascii="Arial" w:cs="Arial" w:eastAsia="Arial" w:hAnsi="Arial"/>
        </w:rPr>
        <w:t xml:space="preserve">The FDA has increasingly recognized patient preference information derived from DCEs as relevant to regulatory decision-making. De Bekker-Grob and colleagues (2012) reviewed the growing use of DCEs in health economics and identified best practices for design, estimation, and reporting. DCEs have been used to quantify patient willingness to accept treatment risks in exchange for efficacy benefits, informing benefit-risk assessment for medical devices and pharmaceuticals.</w:t>
      </w:r>
    </w:p>
    <w:p>
      <w:pPr>
        <w:pStyle w:val="Heading2"/>
        <w:spacing w:before="300" w:after="150"/>
      </w:pPr>
      <w:r>
        <w:rPr>
          <w:b/>
          <w:bCs/>
          <w:sz w:val="30"/>
          <w:szCs w:val="30"/>
          <w:rFonts w:ascii="Arial" w:cs="Arial" w:eastAsia="Arial" w:hAnsi="Arial"/>
        </w:rPr>
        <w:t xml:space="preserve">Structural Demand Estimation</w:t>
      </w:r>
    </w:p>
    <w:p>
      <w:pPr>
        <w:pStyle w:val="Heading3"/>
        <w:spacing w:before="200" w:after="100"/>
      </w:pPr>
      <w:r>
        <w:rPr>
          <w:b/>
          <w:bCs/>
          <w:sz w:val="26"/>
          <w:szCs w:val="26"/>
          <w:rFonts w:ascii="Arial" w:cs="Arial" w:eastAsia="Arial" w:hAnsi="Arial"/>
        </w:rPr>
        <w:t xml:space="preserve">BLP Framework</w:t>
      </w:r>
    </w:p>
    <w:p>
      <w:pPr>
        <w:spacing w:after="120"/>
      </w:pPr>
      <w:r>
        <w:rPr>
          <w:sz w:val="24"/>
          <w:szCs w:val="24"/>
          <w:rFonts w:ascii="Arial" w:cs="Arial" w:eastAsia="Arial" w:hAnsi="Arial"/>
        </w:rPr>
        <w:t xml:space="preserve">Berry, Levinsohn, and Pakes (1995) developed a structural demand estimation framework (BLP) that addresses the endogeneity of prices in differentiated product markets. In healthcare, BLP has been applied to estimate demand for hospitals and health insurance plans, where prices (hospital charges, insurance premiums) are endogenous — set by strategic firms that observe demand conditions.</w:t>
      </w:r>
    </w:p>
    <w:p>
      <w:pPr>
        <w:spacing w:after="120"/>
      </w:pPr>
      <w:r>
        <w:rPr>
          <w:sz w:val="24"/>
          <w:szCs w:val="24"/>
          <w:rFonts w:ascii="Arial" w:cs="Arial" w:eastAsia="Arial" w:hAnsi="Arial"/>
        </w:rPr>
        <w:t xml:space="preserve">The BLP model specifies indirect utility as:</w:t>
      </w:r>
    </w:p>
    <w:p>
      <w:pPr>
        <w:spacing w:after="120"/>
      </w:pPr>
      <w:r>
        <w:rPr>
          <w:sz w:val="24"/>
          <w:szCs w:val="24"/>
          <w:rFonts w:ascii="Arial" w:cs="Arial" w:eastAsia="Arial" w:hAnsi="Arial"/>
        </w:rPr>
        <w:t xml:space="preserve">uᵢⱼ = δⱼ + Σₖ σₖ xⱼₖ νᵢₖ - αᵢ pⱼ + εᵢⱼ</w:t>
      </w:r>
    </w:p>
    <w:p>
      <w:pPr>
        <w:spacing w:after="120"/>
      </w:pPr>
      <w:r>
        <w:rPr>
          <w:sz w:val="24"/>
          <w:szCs w:val="24"/>
          <w:rFonts w:ascii="Arial" w:cs="Arial" w:eastAsia="Arial" w:hAnsi="Arial"/>
        </w:rPr>
        <w:t xml:space="preserve">where δⱼ is the mean utility of alternative j (including a price coefficient that must be instrumented), σₖ captures taste heterogeneity for attribute k, νᵢₖ are individual random draws, and αᵢ is the individual price sensitivity.</w:t>
      </w:r>
    </w:p>
    <w:p>
      <w:pPr>
        <w:spacing w:after="120"/>
      </w:pPr>
      <w:r>
        <w:rPr>
          <w:sz w:val="24"/>
          <w:szCs w:val="24"/>
          <w:rFonts w:ascii="Arial" w:cs="Arial" w:eastAsia="Arial" w:hAnsi="Arial"/>
        </w:rPr>
        <w:t xml:space="preserve">The BLP estimation uses a contraction mapping to recover mean utilities δⱼ from observed market shares, then estimates the structural parameters by GMM using instruments for price. In hospital demand, instruments include rival hospitals' characteristics (BLP instruments), cost shifters, and regulatory variation.</w:t>
      </w:r>
    </w:p>
    <w:p>
      <w:pPr>
        <w:spacing w:after="120"/>
      </w:pPr>
      <w:r>
        <w:rPr>
          <w:sz w:val="24"/>
          <w:szCs w:val="24"/>
          <w:rFonts w:ascii="Arial" w:cs="Arial" w:eastAsia="Arial" w:hAnsi="Arial"/>
        </w:rPr>
        <w:t xml:space="preserve">Ho (2006) applied BLP-type methods to estimate hospital demand in the context of insurer-hospital network formation, and Gowrisankaran, Nevo, and Town (2015) used structural demand estimation to analyze hospital-insurer bargaining and the price effects of hospital mergers.</w:t>
      </w:r>
    </w:p>
    <w:p>
      <w:pPr>
        <w:spacing w:after="120"/>
      </w:pPr>
      <w:r>
        <w:rPr>
          <w:sz w:val="24"/>
          <w:szCs w:val="24"/>
          <w:rFonts w:ascii="Arial" w:cs="Arial" w:eastAsia="Arial" w:hAnsi="Arial"/>
        </w:rPr>
      </w:r>
      <w:r>
        <w:rPr>
          <w:b/>
          <w:bCs/>
          <w:sz w:val="24"/>
          <w:szCs w:val="24"/>
          <w:rFonts w:ascii="Arial" w:cs="Arial" w:eastAsia="Arial" w:hAnsi="Arial"/>
        </w:rPr>
        <w:t xml:space="preserve">Table 14.1: Discrete Choice Model Comparison</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Model</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IIA</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Taste Heterogeneity</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Estimation</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Best For</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Multinomial logit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Yes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Closed-form MLE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Simple models, baseline</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Conditional logit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Yes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Closed-form MLE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Alternative-specific attributes</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Nested logit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Relaxed within nests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Closed-form MLE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Grouped alternatives</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Mixed logit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Continuous distribution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Simulated MLE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Flexible substitution, heterogeneity</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Latent class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Discrete types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EM algorithm / MLE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Segmentation, interpretable types</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Multinomial probit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Multivariate normal</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Simulated MLE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Flexible correlation, computationally heavy</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BLP</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Random coefficients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GMM + contraction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Endogenous prices, market-level data</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Discrete choice models provide the theoretical and econometric framework for analyzing the decisions that define healthcare markets — which hospital to use, which insurance plan to enroll in, which treatment to accept, where to practice medicine. The progression from multinomial logit (simple but restrictive) through nested logit (relaxed substitution) to mixed logit (flexible heterogeneity) and BLP (endogenous prices) reflects increasing sophistication in modeling the complexity of real-world healthcare choices. The Julia implementations of all models discussed in this chapter are provided in Chapter 21.</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Berry, S., Levinsohn, J., &amp; Pakes, A. (1995). Automobile prices in market equilibrium. </w:t>
      </w:r>
      <w:r>
        <w:rPr>
          <w:i/>
          <w:iCs/>
          <w:sz w:val="24"/>
          <w:szCs w:val="24"/>
          <w:rFonts w:ascii="Arial" w:cs="Arial" w:eastAsia="Arial" w:hAnsi="Arial"/>
        </w:rPr>
        <w:t xml:space="preserve">Econometrica</w:t>
      </w:r>
      <w:r>
        <w:rPr>
          <w:sz w:val="24"/>
          <w:szCs w:val="24"/>
          <w:rFonts w:ascii="Arial" w:cs="Arial" w:eastAsia="Arial" w:hAnsi="Arial"/>
        </w:rPr>
        <w:t xml:space="preserve">, 63(4), 841-890.</w:t>
      </w:r>
    </w:p>
    <w:p>
      <w:pPr>
        <w:spacing w:after="120"/>
      </w:pPr>
      <w:r>
        <w:rPr>
          <w:sz w:val="24"/>
          <w:szCs w:val="24"/>
          <w:rFonts w:ascii="Arial" w:cs="Arial" w:eastAsia="Arial" w:hAnsi="Arial"/>
        </w:rPr>
        <w:t xml:space="preserve">2. de Bekker-Grob, E. W., Ryan, M., &amp; Gerard, K. (2012). Discrete choice experiments in health economics: A review of the literature. </w:t>
      </w:r>
      <w:r>
        <w:rPr>
          <w:i/>
          <w:iCs/>
          <w:sz w:val="24"/>
          <w:szCs w:val="24"/>
          <w:rFonts w:ascii="Arial" w:cs="Arial" w:eastAsia="Arial" w:hAnsi="Arial"/>
        </w:rPr>
        <w:t xml:space="preserve">Health Economics</w:t>
      </w:r>
      <w:r>
        <w:rPr>
          <w:sz w:val="24"/>
          <w:szCs w:val="24"/>
          <w:rFonts w:ascii="Arial" w:cs="Arial" w:eastAsia="Arial" w:hAnsi="Arial"/>
        </w:rPr>
        <w:t xml:space="preserve">, 21(2), 145-172.</w:t>
      </w:r>
    </w:p>
    <w:p>
      <w:pPr>
        <w:spacing w:after="120"/>
      </w:pPr>
      <w:r>
        <w:rPr>
          <w:sz w:val="24"/>
          <w:szCs w:val="24"/>
          <w:rFonts w:ascii="Arial" w:cs="Arial" w:eastAsia="Arial" w:hAnsi="Arial"/>
        </w:rPr>
        <w:t xml:space="preserve">3. Ericson, K. M. M., &amp; Starc, A. (2015). Pricing regulation and imperfect competition on the Massachusetts health insurance exchange. </w:t>
      </w:r>
      <w:r>
        <w:rPr>
          <w:i/>
          <w:iCs/>
          <w:sz w:val="24"/>
          <w:szCs w:val="24"/>
          <w:rFonts w:ascii="Arial" w:cs="Arial" w:eastAsia="Arial" w:hAnsi="Arial"/>
        </w:rPr>
        <w:t xml:space="preserve">Review of Economics and Statistics</w:t>
      </w:r>
      <w:r>
        <w:rPr>
          <w:sz w:val="24"/>
          <w:szCs w:val="24"/>
          <w:rFonts w:ascii="Arial" w:cs="Arial" w:eastAsia="Arial" w:hAnsi="Arial"/>
        </w:rPr>
        <w:t xml:space="preserve">, 97(3), 667-682.</w:t>
      </w:r>
    </w:p>
    <w:p>
      <w:pPr>
        <w:spacing w:after="120"/>
      </w:pPr>
      <w:r>
        <w:rPr>
          <w:sz w:val="24"/>
          <w:szCs w:val="24"/>
          <w:rFonts w:ascii="Arial" w:cs="Arial" w:eastAsia="Arial" w:hAnsi="Arial"/>
        </w:rPr>
        <w:t xml:space="preserve">4. Gowrisankaran, G., Nevo, A., &amp; Town, R. (2015). Mergers when prices are negotiated: Evidence from the hospital industry. </w:t>
      </w:r>
      <w:r>
        <w:rPr>
          <w:i/>
          <w:iCs/>
          <w:sz w:val="24"/>
          <w:szCs w:val="24"/>
          <w:rFonts w:ascii="Arial" w:cs="Arial" w:eastAsia="Arial" w:hAnsi="Arial"/>
        </w:rPr>
        <w:t xml:space="preserve">American Economic Review</w:t>
      </w:r>
      <w:r>
        <w:rPr>
          <w:sz w:val="24"/>
          <w:szCs w:val="24"/>
          <w:rFonts w:ascii="Arial" w:cs="Arial" w:eastAsia="Arial" w:hAnsi="Arial"/>
        </w:rPr>
        <w:t xml:space="preserve">, 105(1), 172-203.</w:t>
      </w:r>
    </w:p>
    <w:p>
      <w:pPr>
        <w:spacing w:after="120"/>
      </w:pPr>
      <w:r>
        <w:rPr>
          <w:sz w:val="24"/>
          <w:szCs w:val="24"/>
          <w:rFonts w:ascii="Arial" w:cs="Arial" w:eastAsia="Arial" w:hAnsi="Arial"/>
        </w:rPr>
        <w:t xml:space="preserve">5. Handel, B. R. (2013). Adverse selection and inertia in health insurance markets: When nudging hurts. </w:t>
      </w:r>
      <w:r>
        <w:rPr>
          <w:i/>
          <w:iCs/>
          <w:sz w:val="24"/>
          <w:szCs w:val="24"/>
          <w:rFonts w:ascii="Arial" w:cs="Arial" w:eastAsia="Arial" w:hAnsi="Arial"/>
        </w:rPr>
        <w:t xml:space="preserve">American Economic Review</w:t>
      </w:r>
      <w:r>
        <w:rPr>
          <w:sz w:val="24"/>
          <w:szCs w:val="24"/>
          <w:rFonts w:ascii="Arial" w:cs="Arial" w:eastAsia="Arial" w:hAnsi="Arial"/>
        </w:rPr>
        <w:t xml:space="preserve">, 103(7), 2643-2682.</w:t>
      </w:r>
    </w:p>
    <w:p>
      <w:pPr>
        <w:spacing w:after="120"/>
      </w:pPr>
      <w:r>
        <w:rPr>
          <w:sz w:val="24"/>
          <w:szCs w:val="24"/>
          <w:rFonts w:ascii="Arial" w:cs="Arial" w:eastAsia="Arial" w:hAnsi="Arial"/>
        </w:rPr>
        <w:t xml:space="preserve">6. Ho, K. (2006). The welfare effects of restricted hospital choice in the US medical care market. </w:t>
      </w:r>
      <w:r>
        <w:rPr>
          <w:i/>
          <w:iCs/>
          <w:sz w:val="24"/>
          <w:szCs w:val="24"/>
          <w:rFonts w:ascii="Arial" w:cs="Arial" w:eastAsia="Arial" w:hAnsi="Arial"/>
        </w:rPr>
        <w:t xml:space="preserve">Journal of Applied Econometrics</w:t>
      </w:r>
      <w:r>
        <w:rPr>
          <w:sz w:val="24"/>
          <w:szCs w:val="24"/>
          <w:rFonts w:ascii="Arial" w:cs="Arial" w:eastAsia="Arial" w:hAnsi="Arial"/>
        </w:rPr>
        <w:t xml:space="preserve">, 21(7), 1039-1079.</w:t>
      </w:r>
    </w:p>
    <w:p>
      <w:pPr>
        <w:spacing w:after="120"/>
      </w:pPr>
      <w:r>
        <w:rPr>
          <w:sz w:val="24"/>
          <w:szCs w:val="24"/>
          <w:rFonts w:ascii="Arial" w:cs="Arial" w:eastAsia="Arial" w:hAnsi="Arial"/>
        </w:rPr>
        <w:t xml:space="preserve">7. McFadden, D. (1974). Conditional logit analysis of qualitative choice behavior. In P. Zarembka (Ed.), </w:t>
      </w:r>
      <w:r>
        <w:rPr>
          <w:i/>
          <w:iCs/>
          <w:sz w:val="24"/>
          <w:szCs w:val="24"/>
          <w:rFonts w:ascii="Arial" w:cs="Arial" w:eastAsia="Arial" w:hAnsi="Arial"/>
        </w:rPr>
        <w:t xml:space="preserve">Frontiers in Econometrics</w:t>
      </w:r>
      <w:r>
        <w:rPr>
          <w:sz w:val="24"/>
          <w:szCs w:val="24"/>
          <w:rFonts w:ascii="Arial" w:cs="Arial" w:eastAsia="Arial" w:hAnsi="Arial"/>
        </w:rPr>
        <w:t xml:space="preserve"> (pp. 105-142). Academic Press.</w:t>
      </w:r>
    </w:p>
    <w:p>
      <w:pPr>
        <w:spacing w:after="120"/>
      </w:pPr>
      <w:r>
        <w:rPr>
          <w:sz w:val="24"/>
          <w:szCs w:val="24"/>
          <w:rFonts w:ascii="Arial" w:cs="Arial" w:eastAsia="Arial" w:hAnsi="Arial"/>
        </w:rPr>
        <w:t xml:space="preserve">8. McFadden, D., &amp; Train, K. (2000). Mixed MNL models for discrete response. </w:t>
      </w:r>
      <w:r>
        <w:rPr>
          <w:i/>
          <w:iCs/>
          <w:sz w:val="24"/>
          <w:szCs w:val="24"/>
          <w:rFonts w:ascii="Arial" w:cs="Arial" w:eastAsia="Arial" w:hAnsi="Arial"/>
        </w:rPr>
        <w:t xml:space="preserve">Journal of Applied Econometrics</w:t>
      </w:r>
      <w:r>
        <w:rPr>
          <w:sz w:val="24"/>
          <w:szCs w:val="24"/>
          <w:rFonts w:ascii="Arial" w:cs="Arial" w:eastAsia="Arial" w:hAnsi="Arial"/>
        </w:rPr>
        <w:t xml:space="preserve">, 15(5), 447-470.</w:t>
      </w:r>
    </w:p>
    <w:p>
      <w:pPr>
        <w:spacing w:after="120"/>
      </w:pPr>
      <w:r>
        <w:rPr>
          <w:sz w:val="24"/>
          <w:szCs w:val="24"/>
          <w:rFonts w:ascii="Arial" w:cs="Arial" w:eastAsia="Arial" w:hAnsi="Arial"/>
        </w:rPr>
        <w:t xml:space="preserve">9. Train, K. E. (2009). </w:t>
      </w:r>
      <w:r>
        <w:rPr>
          <w:i/>
          <w:iCs/>
          <w:sz w:val="24"/>
          <w:szCs w:val="24"/>
          <w:rFonts w:ascii="Arial" w:cs="Arial" w:eastAsia="Arial" w:hAnsi="Arial"/>
        </w:rPr>
        <w:t xml:space="preserve">Discrete Choice Methods with Simulation</w:t>
      </w:r>
      <w:r>
        <w:rPr>
          <w:sz w:val="24"/>
          <w:szCs w:val="24"/>
          <w:rFonts w:ascii="Arial" w:cs="Arial" w:eastAsia="Arial" w:hAnsi="Arial"/>
        </w:rPr>
        <w:t xml:space="preserve"> (2nd ed.). Cambridge University Press.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14: Discrete Choice Models in Health Economi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2026-04-16T00:41:20.105Z</dcterms:created>
  <dcterms:modified xsi:type="dcterms:W3CDTF">2026-04-16T00:41:20.105Z</dcterms:modified>
</cp:coreProperties>
</file>

<file path=docProps/custom.xml><?xml version="1.0" encoding="utf-8"?>
<Properties xmlns="http://schemas.openxmlformats.org/officeDocument/2006/custom-properties" xmlns:vt="http://schemas.openxmlformats.org/officeDocument/2006/docPropsVTypes"/>
</file>