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16</w:t>
      </w:r>
    </w:p>
    <w:p>
      <w:pPr>
        <w:jc w:val="center"/>
      </w:pPr>
      <w:r>
        <w:rPr>
          <w:i/>
          <w:iCs/>
          <w:sz w:val="32"/>
          <w:szCs w:val="32"/>
          <w:rFonts w:ascii="Arial" w:cs="Arial" w:eastAsia="Arial" w:hAnsi="Arial"/>
        </w:rPr>
        <w:t xml:space="preserve">Machine Learning Methods for Health Economics Research</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Machine learning (ML) methods have entered health economics not as a replacement for causal inference but as a complement — providing powerful tools for prediction, variable selection, heterogeneous treatment effect estimation, and nuisance parameter estimation within causal frameworks. The fundamental tension between ML's optimization of predictive accuracy and econometrics' focus on causal identification has been productively resolved through recent methodological advances, particularly causal forests (Athey and Imbens, 2016), double/debiased machine learning (Chernozhukov et al., 2018), and the broader recognition that many policy-relevant questions have important prediction components that ML can address more effectively than traditional parametric methods.</w:t>
      </w:r>
    </w:p>
    <w:p>
      <w:pPr>
        <w:spacing w:after="120"/>
      </w:pPr>
      <w:r>
        <w:rPr>
          <w:sz w:val="24"/>
          <w:szCs w:val="24"/>
          <w:rFonts w:ascii="Arial" w:cs="Arial" w:eastAsia="Arial" w:hAnsi="Arial"/>
        </w:rPr>
        <w:t xml:space="preserve">The practical relevance of ML for health economics is substantial. Healthcare generates enormous datasets — billions of insurance claims with thousands of diagnosis codes, procedure codes, and drug classifications; electronic health records with unstructured clinical notes, laboratory values, and imaging data; wearable device streams with continuous physiological measurements. Traditional econometric methods, designed for datasets with a modest number of pre-specified covariates, are poorly equipped to exploit the information in these high-dimensional data environments. ML methods — which are specifically designed to handle high dimensionality, complex nonlinear relationships, and interactions among variables — can extract predictive information from these data that traditional methods miss.</w:t>
      </w:r>
    </w:p>
    <w:p>
      <w:pPr>
        <w:spacing w:after="120"/>
      </w:pPr>
      <w:r>
        <w:rPr>
          <w:sz w:val="24"/>
          <w:szCs w:val="24"/>
          <w:rFonts w:ascii="Arial" w:cs="Arial" w:eastAsia="Arial" w:hAnsi="Arial"/>
        </w:rPr>
        <w:t xml:space="preserve">This chapter provides a comprehensive treatment of ML methods for graduate health economics researchers. We cover the prediction-inference distinction that defines the appropriate role of ML in causal research, regularization methods for high-dimensional data, tree-based methods for flexible prediction, causal forests for heterogeneous treatment effects, double/debiased machine learning for causal inference with ML nuisance parameters, and the ethical considerations of algorithmic fairness in healthcare applications. The Julia implementation using MLJ.jl is covered in Chapter 24.</w:t>
      </w:r>
    </w:p>
    <w:p>
      <w:pPr>
        <w:pStyle w:val="Heading2"/>
        <w:spacing w:before="300" w:after="150"/>
      </w:pPr>
      <w:r>
        <w:rPr>
          <w:b/>
          <w:bCs/>
          <w:sz w:val="30"/>
          <w:szCs w:val="30"/>
          <w:rFonts w:ascii="Arial" w:cs="Arial" w:eastAsia="Arial" w:hAnsi="Arial"/>
        </w:rPr>
        <w:t xml:space="preserve">The Prediction-Inference Distinction</w:t>
      </w:r>
    </w:p>
    <w:p>
      <w:pPr>
        <w:pStyle w:val="Heading3"/>
        <w:spacing w:before="200" w:after="100"/>
      </w:pPr>
      <w:r>
        <w:rPr>
          <w:b/>
          <w:bCs/>
          <w:sz w:val="26"/>
          <w:szCs w:val="26"/>
          <w:rFonts w:ascii="Arial" w:cs="Arial" w:eastAsia="Arial" w:hAnsi="Arial"/>
        </w:rPr>
        <w:t xml:space="preserve">When Prediction Is the Question</w:t>
      </w:r>
    </w:p>
    <w:p>
      <w:pPr>
        <w:spacing w:after="120"/>
      </w:pPr>
      <w:r>
        <w:rPr>
          <w:sz w:val="24"/>
          <w:szCs w:val="24"/>
          <w:rFonts w:ascii="Arial" w:cs="Arial" w:eastAsia="Arial" w:hAnsi="Arial"/>
        </w:rPr>
        <w:t xml:space="preserve">Mullainathan and Spiess (2017) provided the most influential articulation of how ML relates to econometric practice. Their key insight is that ML and econometrics optimize different objective functions: ML minimizes out-of-sample prediction error (expected squared difference between predicted and actual outcomes for new observations), while econometrics estimates causal parameters (the effect of a specific variable on the outcome, holding other factors constant) with valid inference (confidence intervals, hypothesis tests).</w:t>
      </w:r>
    </w:p>
    <w:p>
      <w:pPr>
        <w:spacing w:after="120"/>
      </w:pPr>
      <w:r>
        <w:rPr>
          <w:sz w:val="24"/>
          <w:szCs w:val="24"/>
          <w:rFonts w:ascii="Arial" w:cs="Arial" w:eastAsia="Arial" w:hAnsi="Arial"/>
        </w:rPr>
        <w:t xml:space="preserve">These objectives diverge in important ways. The best predictive model may include endogenous variables (insurance status predicts expenditures, even though the relationship is confounded by selection), may omit relevant instruments (which improve causal identification but may not improve prediction), and may sacrifice interpretability for accuracy (a neural network with millions of parameters may predict better than a linear model but provides no insight into causal mechanisms).</w:t>
      </w:r>
    </w:p>
    <w:p>
      <w:pPr>
        <w:spacing w:after="120"/>
      </w:pPr>
      <w:r>
        <w:rPr>
          <w:sz w:val="24"/>
          <w:szCs w:val="24"/>
          <w:rFonts w:ascii="Arial" w:cs="Arial" w:eastAsia="Arial" w:hAnsi="Arial"/>
        </w:rPr>
        <w:t xml:space="preserve">However, many health economics questions are fundamentally predictive. Hospital readmission risk scoring — identifying patients at high risk of readmission within 30 days to target transitional care interventions — is a prediction problem. Mortality risk prediction for ICU triage, fraud detection in insurance claims, and healthcare cost forecasting for budgeting are all prediction problems. For these questions, ML methods are not merely appropriate but are often superior to traditional methods because they can capture complex nonlinear relationships and high-order interactions that parametric models miss.</w:t>
      </w:r>
    </w:p>
    <w:p>
      <w:pPr>
        <w:spacing w:after="120"/>
      </w:pPr>
      <w:r>
        <w:rPr>
          <w:sz w:val="24"/>
          <w:szCs w:val="24"/>
          <w:rFonts w:ascii="Arial" w:cs="Arial" w:eastAsia="Arial" w:hAnsi="Arial"/>
        </w:rPr>
        <w:t xml:space="preserve">The emerging insight is that prediction and inference are often complementary within a single research project. A researcher studying the causal effect of a payment reform might use ML for prediction (constructing a risk score to identify high-risk patients) within a causal analysis framework (using the risk score as a heterogeneity dimension to estimate differential treatment effects across risk strata). The DML framework formalizes this complementarity.</w:t>
      </w:r>
    </w:p>
    <w:p>
      <w:pPr>
        <w:pStyle w:val="Heading2"/>
        <w:spacing w:before="300" w:after="150"/>
      </w:pPr>
      <w:r>
        <w:rPr>
          <w:b/>
          <w:bCs/>
          <w:sz w:val="30"/>
          <w:szCs w:val="30"/>
          <w:rFonts w:ascii="Arial" w:cs="Arial" w:eastAsia="Arial" w:hAnsi="Arial"/>
        </w:rPr>
        <w:t xml:space="preserve">Regularization Methods</w:t>
      </w:r>
    </w:p>
    <w:p>
      <w:pPr>
        <w:pStyle w:val="Heading3"/>
        <w:spacing w:before="200" w:after="100"/>
      </w:pPr>
      <w:r>
        <w:rPr>
          <w:b/>
          <w:bCs/>
          <w:sz w:val="26"/>
          <w:szCs w:val="26"/>
          <w:rFonts w:ascii="Arial" w:cs="Arial" w:eastAsia="Arial" w:hAnsi="Arial"/>
        </w:rPr>
        <w:t xml:space="preserve">LASSO</w:t>
      </w:r>
    </w:p>
    <w:p>
      <w:pPr>
        <w:spacing w:after="120"/>
      </w:pPr>
      <w:r>
        <w:rPr>
          <w:sz w:val="24"/>
          <w:szCs w:val="24"/>
          <w:rFonts w:ascii="Arial" w:cs="Arial" w:eastAsia="Arial" w:hAnsi="Arial"/>
        </w:rPr>
        <w:t xml:space="preserve">The Least Absolute Shrinkage and Selection Operator (LASSO), introduced by Tibshirani (1996), addresses the high-dimensional regression problem by adding an L1 penalty to the OLS objective:</w:t>
      </w:r>
    </w:p>
    <w:p>
      <w:pPr>
        <w:spacing w:after="120"/>
      </w:pPr>
      <w:r>
        <w:rPr>
          <w:sz w:val="24"/>
          <w:szCs w:val="24"/>
          <w:rFonts w:ascii="Arial" w:cs="Arial" w:eastAsia="Arial" w:hAnsi="Arial"/>
        </w:rPr>
        <w:t xml:space="preserve">min_β Σᵢ (yᵢ - X'ᵢβ)² + λ Σₖ |βₖ|</w:t>
      </w:r>
    </w:p>
    <w:p>
      <w:pPr>
        <w:spacing w:after="120"/>
      </w:pPr>
      <w:r>
        <w:rPr>
          <w:sz w:val="24"/>
          <w:szCs w:val="24"/>
          <w:rFonts w:ascii="Arial" w:cs="Arial" w:eastAsia="Arial" w:hAnsi="Arial"/>
        </w:rPr>
        <w:t xml:space="preserve">The L1 penalty has a remarkable geometric property: the constraint region is a diamond (in two dimensions) with corners at the axes, and the OLS solution typically intersects a corner, driving some coefficients exactly to zero. This automatic variable selection makes LASSO particularly useful for health economics applications with high-dimensional covariate spaces — for example, selecting from thousands of ICD-10 diagnosis codes the subset that best predicts healthcare costs.</w:t>
      </w:r>
    </w:p>
    <w:p>
      <w:pPr>
        <w:spacing w:after="120"/>
      </w:pPr>
      <w:r>
        <w:rPr>
          <w:sz w:val="24"/>
          <w:szCs w:val="24"/>
          <w:rFonts w:ascii="Arial" w:cs="Arial" w:eastAsia="Arial" w:hAnsi="Arial"/>
        </w:rPr>
        <w:t xml:space="preserve">The tuning parameter λ controls the strength of regularization: λ = 0 yields OLS; large λ drives all coefficients to zero. Cross-validation — partitioning the data into K folds, training on K-1 folds, evaluating prediction accuracy on the held-out fold, and averaging across folds — selects the λ that minimizes out-of-sample prediction error. The "one-standard-error rule" selects the largest λ within one standard error of the minimum-error λ, favoring parsimony.</w:t>
      </w:r>
    </w:p>
    <w:p>
      <w:pPr>
        <w:spacing w:after="120"/>
      </w:pPr>
      <w:r>
        <w:rPr>
          <w:sz w:val="24"/>
          <w:szCs w:val="24"/>
          <w:rFonts w:ascii="Arial" w:cs="Arial" w:eastAsia="Arial" w:hAnsi="Arial"/>
        </w:rPr>
      </w:r>
      <w:r>
        <w:rPr>
          <w:b/>
          <w:bCs/>
          <w:sz w:val="24"/>
          <w:szCs w:val="24"/>
          <w:rFonts w:ascii="Arial" w:cs="Arial" w:eastAsia="Arial" w:hAnsi="Arial"/>
        </w:rPr>
        <w:t xml:space="preserve">Post-LASSO inference.</w:t>
      </w:r>
      <w:r>
        <w:rPr>
          <w:sz w:val="24"/>
          <w:szCs w:val="24"/>
          <w:rFonts w:ascii="Arial" w:cs="Arial" w:eastAsia="Arial" w:hAnsi="Arial"/>
        </w:rPr>
        <w:t xml:space="preserve"> LASSO coefficients are biased toward zero (by construction — the penalty shrinks them), so standard inference (confidence intervals, hypothesis tests) is not valid for LASSO coefficient estimates. Post-LASSO addresses this by using LASSO for variable selection (identifying the set of non-zero coefficients) and then re-estimating OLS on the selected variables without penalization, yielding unbiased estimates with valid standard errors. However, post-LASSO inference conditions on the selected model and does not account for the uncertainty in the selection step, potentially producing confidence intervals that are too narrow.</w:t>
      </w:r>
    </w:p>
    <w:p>
      <w:pPr>
        <w:pStyle w:val="Heading3"/>
        <w:spacing w:before="200" w:after="100"/>
      </w:pPr>
      <w:r>
        <w:rPr>
          <w:b/>
          <w:bCs/>
          <w:sz w:val="26"/>
          <w:szCs w:val="26"/>
          <w:rFonts w:ascii="Arial" w:cs="Arial" w:eastAsia="Arial" w:hAnsi="Arial"/>
        </w:rPr>
        <w:t xml:space="preserve">Ridge Regression and Elastic Net</w:t>
      </w:r>
    </w:p>
    <w:p>
      <w:pPr>
        <w:spacing w:after="120"/>
      </w:pPr>
      <w:r>
        <w:rPr>
          <w:sz w:val="24"/>
          <w:szCs w:val="24"/>
          <w:rFonts w:ascii="Arial" w:cs="Arial" w:eastAsia="Arial" w:hAnsi="Arial"/>
        </w:rPr>
      </w:r>
      <w:r>
        <w:rPr>
          <w:b/>
          <w:bCs/>
          <w:sz w:val="24"/>
          <w:szCs w:val="24"/>
          <w:rFonts w:ascii="Arial" w:cs="Arial" w:eastAsia="Arial" w:hAnsi="Arial"/>
        </w:rPr>
        <w:t xml:space="preserve">Ridge regression</w:t>
      </w:r>
      <w:r>
        <w:rPr>
          <w:sz w:val="24"/>
          <w:szCs w:val="24"/>
          <w:rFonts w:ascii="Arial" w:cs="Arial" w:eastAsia="Arial" w:hAnsi="Arial"/>
        </w:rPr>
        <w:t xml:space="preserve"> adds an L2 penalty (λ Σₖ βₖ²) that shrinks coefficients toward zero without eliminating any. Ridge handles multicollinearity (correlated predictors) better than LASSO but does not perform variable selection. In health economics, ridge is useful when many diagnosis codes contribute small amounts of predictive information and none should be excluded.</w:t>
      </w:r>
    </w:p>
    <w:p>
      <w:pPr>
        <w:spacing w:after="120"/>
      </w:pPr>
      <w:r>
        <w:rPr>
          <w:sz w:val="24"/>
          <w:szCs w:val="24"/>
          <w:rFonts w:ascii="Arial" w:cs="Arial" w:eastAsia="Arial" w:hAnsi="Arial"/>
        </w:rPr>
      </w:r>
      <w:r>
        <w:rPr>
          <w:b/>
          <w:bCs/>
          <w:sz w:val="24"/>
          <w:szCs w:val="24"/>
          <w:rFonts w:ascii="Arial" w:cs="Arial" w:eastAsia="Arial" w:hAnsi="Arial"/>
        </w:rPr>
        <w:t xml:space="preserve">Elastic Net</w:t>
      </w:r>
      <w:r>
        <w:rPr>
          <w:sz w:val="24"/>
          <w:szCs w:val="24"/>
          <w:rFonts w:ascii="Arial" w:cs="Arial" w:eastAsia="Arial" w:hAnsi="Arial"/>
        </w:rPr>
        <w:t xml:space="preserve"> combines L1 and L2 penalties: λ[α Σ|βₖ| + (1-α) Σβₖ²], where α ∈ [0,1] controls the mix. When predictors are correlated (as is common with diagnosis codes, which cluster by organ system and disease process), LASSO may arbitrarily select one code from a correlated group; elastic net tends to select or exclude correlated variables as a group, providing more stable selection.</w:t>
      </w:r>
    </w:p>
    <w:p>
      <w:pPr>
        <w:pStyle w:val="Heading2"/>
        <w:spacing w:before="300" w:after="150"/>
      </w:pPr>
      <w:r>
        <w:rPr>
          <w:b/>
          <w:bCs/>
          <w:sz w:val="30"/>
          <w:szCs w:val="30"/>
          <w:rFonts w:ascii="Arial" w:cs="Arial" w:eastAsia="Arial" w:hAnsi="Arial"/>
        </w:rPr>
        <w:t xml:space="preserve">Tree-Based Methods</w:t>
      </w:r>
    </w:p>
    <w:p>
      <w:pPr>
        <w:pStyle w:val="Heading3"/>
        <w:spacing w:before="200" w:after="100"/>
      </w:pPr>
      <w:r>
        <w:rPr>
          <w:b/>
          <w:bCs/>
          <w:sz w:val="26"/>
          <w:szCs w:val="26"/>
          <w:rFonts w:ascii="Arial" w:cs="Arial" w:eastAsia="Arial" w:hAnsi="Arial"/>
        </w:rPr>
        <w:t xml:space="preserve">Random Forests</w:t>
      </w:r>
    </w:p>
    <w:p>
      <w:pPr>
        <w:spacing w:after="120"/>
      </w:pPr>
      <w:r>
        <w:rPr>
          <w:sz w:val="24"/>
          <w:szCs w:val="24"/>
          <w:rFonts w:ascii="Arial" w:cs="Arial" w:eastAsia="Arial" w:hAnsi="Arial"/>
        </w:rPr>
        <w:t xml:space="preserve">Random forests (Breiman, 2001) construct an ensemble of B decision trees, each trained on a bootstrap sample of the data with a random subset of m features considered at each split. The ensemble prediction averages across trees (for regression) or takes a majority vote (for classification):</w:t>
      </w:r>
    </w:p>
    <w:p>
      <w:pPr>
        <w:spacing w:after="120"/>
      </w:pPr>
      <w:r>
        <w:rPr>
          <w:sz w:val="24"/>
          <w:szCs w:val="24"/>
          <w:rFonts w:ascii="Arial" w:cs="Arial" w:eastAsia="Arial" w:hAnsi="Arial"/>
        </w:rPr>
        <w:t xml:space="preserve">ŷ = (1/B) Σᵦ Tᵦ(x)</w:t>
      </w:r>
    </w:p>
    <w:p>
      <w:pPr>
        <w:spacing w:after="120"/>
      </w:pPr>
      <w:r>
        <w:rPr>
          <w:sz w:val="24"/>
          <w:szCs w:val="24"/>
          <w:rFonts w:ascii="Arial" w:cs="Arial" w:eastAsia="Arial" w:hAnsi="Arial"/>
        </w:rPr>
        <w:t xml:space="preserve">where Tᵦ(x) is the prediction of tree b for input x. The randomization (bootstrap sampling + random feature subsets) decorrelates the trees, reducing the ensemble's variance without increasing bias.</w:t>
      </w:r>
    </w:p>
    <w:p>
      <w:pPr>
        <w:spacing w:after="120"/>
      </w:pPr>
      <w:r>
        <w:rPr>
          <w:sz w:val="24"/>
          <w:szCs w:val="24"/>
          <w:rFonts w:ascii="Arial" w:cs="Arial" w:eastAsia="Arial" w:hAnsi="Arial"/>
        </w:rPr>
        <w:t xml:space="preserve">Random forests offer several advantages for healthcare prediction: they capture nonlinear relationships and interactions automatically (without pre-specifying functional form), they are robust to outliers and irrelevant variables, and they provide variable importance measures that identify which covariates contribute most to prediction. The permutation importance of variable k is the increase in prediction error when the values of variable k are randomly shuffled (breaking its relationship with the outcome) while all other variables are held constant.</w:t>
      </w:r>
    </w:p>
    <w:p>
      <w:pPr>
        <w:spacing w:after="120"/>
      </w:pPr>
      <w:r>
        <w:rPr>
          <w:sz w:val="24"/>
          <w:szCs w:val="24"/>
          <w:rFonts w:ascii="Arial" w:cs="Arial" w:eastAsia="Arial" w:hAnsi="Arial"/>
        </w:rPr>
      </w:r>
      <w:r>
        <w:rPr>
          <w:b/>
          <w:bCs/>
          <w:sz w:val="24"/>
          <w:szCs w:val="24"/>
          <w:rFonts w:ascii="Arial" w:cs="Arial" w:eastAsia="Arial" w:hAnsi="Arial"/>
        </w:rPr>
        <w:t xml:space="preserve">Gradient boosted trees</w:t>
      </w:r>
      <w:r>
        <w:rPr>
          <w:sz w:val="24"/>
          <w:szCs w:val="24"/>
          <w:rFonts w:ascii="Arial" w:cs="Arial" w:eastAsia="Arial" w:hAnsi="Arial"/>
        </w:rPr>
        <w:t xml:space="preserve"> (XGBoost, LightGBM, EvoTrees in Julia) build trees sequentially rather than independently, with each tree trained on the residuals (prediction errors) of the ensemble up to that point. Boosting typically achieves higher accuracy than random forests by explicitly targeting the hardest-to-predict observations, but requires more careful tuning (learning rate, tree depth, number of rounds, subsampling rate) and is more susceptible to overfitting.</w:t>
      </w:r>
    </w:p>
    <w:p>
      <w:pPr>
        <w:spacing w:after="120"/>
      </w:pPr>
      <w:r>
        <w:rPr>
          <w:sz w:val="24"/>
          <w:szCs w:val="24"/>
          <w:rFonts w:ascii="Arial" w:cs="Arial" w:eastAsia="Arial" w:hAnsi="Arial"/>
        </w:rPr>
        <w:t xml:space="preserve">In health economics, tree-based methods have achieved state-of-the-art performance for readmission prediction (outperforming the LACE score and logistic regression models currently used by CMS), mortality risk scoring (comparable to or exceeding the APACHE and SOFA scores used in critical care), and healthcare cost prediction (capturing the nonlinear relationship between comorbidity burden and costs more flexibly than linear models).</w:t>
      </w:r>
    </w:p>
    <w:p>
      <w:pPr>
        <w:pStyle w:val="Heading2"/>
        <w:spacing w:before="300" w:after="150"/>
      </w:pPr>
      <w:r>
        <w:rPr>
          <w:b/>
          <w:bCs/>
          <w:sz w:val="30"/>
          <w:szCs w:val="30"/>
          <w:rFonts w:ascii="Arial" w:cs="Arial" w:eastAsia="Arial" w:hAnsi="Arial"/>
        </w:rPr>
        <w:t xml:space="preserve">Causal Forests for Heterogeneous Treatment Effects</w:t>
      </w:r>
    </w:p>
    <w:p>
      <w:pPr>
        <w:pStyle w:val="Heading3"/>
        <w:spacing w:before="200" w:after="100"/>
      </w:pPr>
      <w:r>
        <w:rPr>
          <w:b/>
          <w:bCs/>
          <w:sz w:val="26"/>
          <w:szCs w:val="26"/>
          <w:rFonts w:ascii="Arial" w:cs="Arial" w:eastAsia="Arial" w:hAnsi="Arial"/>
        </w:rPr>
        <w:t xml:space="preserve">The CATE Estimation Problem</w:t>
      </w:r>
    </w:p>
    <w:p>
      <w:pPr>
        <w:spacing w:after="120"/>
      </w:pPr>
      <w:r>
        <w:rPr>
          <w:sz w:val="24"/>
          <w:szCs w:val="24"/>
          <w:rFonts w:ascii="Arial" w:cs="Arial" w:eastAsia="Arial" w:hAnsi="Arial"/>
        </w:rPr>
        <w:t xml:space="preserve">The conditional average treatment effect (CATE) — the average treatment effect as a function of individual characteristics — is the central object of interest for personalized policy design:</w:t>
      </w:r>
    </w:p>
    <w:p>
      <w:pPr>
        <w:spacing w:after="120"/>
      </w:pPr>
      <w:r>
        <w:rPr>
          <w:sz w:val="24"/>
          <w:szCs w:val="24"/>
          <w:rFonts w:ascii="Arial" w:cs="Arial" w:eastAsia="Arial" w:hAnsi="Arial"/>
        </w:rPr>
        <w:t xml:space="preserve">τ(x) = E[Y(1) - Y(0) | X = x]</w:t>
      </w:r>
    </w:p>
    <w:p>
      <w:pPr>
        <w:spacing w:after="120"/>
      </w:pPr>
      <w:r>
        <w:rPr>
          <w:sz w:val="24"/>
          <w:szCs w:val="24"/>
          <w:rFonts w:ascii="Arial" w:cs="Arial" w:eastAsia="Arial" w:hAnsi="Arial"/>
        </w:rPr>
        <w:t xml:space="preserve">If τ(x) varies across individuals, the policy question shifts from "does the treatment work on average?" to "for whom does the treatment work best?" — a question with direct implications for targeting interventions, allocating resources, and designing personalized treatment protocols.</w:t>
      </w:r>
    </w:p>
    <w:p>
      <w:pPr>
        <w:pStyle w:val="Heading3"/>
        <w:spacing w:before="200" w:after="100"/>
      </w:pPr>
      <w:r>
        <w:rPr>
          <w:b/>
          <w:bCs/>
          <w:sz w:val="26"/>
          <w:szCs w:val="26"/>
          <w:rFonts w:ascii="Arial" w:cs="Arial" w:eastAsia="Arial" w:hAnsi="Arial"/>
        </w:rPr>
        <w:t xml:space="preserve">Generalized Random Forests</w:t>
      </w:r>
    </w:p>
    <w:p>
      <w:pPr>
        <w:spacing w:after="120"/>
      </w:pPr>
      <w:r>
        <w:rPr>
          <w:sz w:val="24"/>
          <w:szCs w:val="24"/>
          <w:rFonts w:ascii="Arial" w:cs="Arial" w:eastAsia="Arial" w:hAnsi="Arial"/>
        </w:rPr>
        <w:t xml:space="preserve">Athey and Imbens (2016) developed generalized random forests (GRF) that estimate τ(x) by modifying the random forest algorithm. In a standard random forest, splits are chosen to maximize prediction accuracy (minimizing squared prediction error). In a causal forest, splits are chosen to maximize heterogeneity in the treatment effect — placing observations with different treatment effects in different leaves.</w:t>
      </w:r>
    </w:p>
    <w:p>
      <w:pPr>
        <w:spacing w:after="120"/>
      </w:pPr>
      <w:r>
        <w:rPr>
          <w:sz w:val="24"/>
          <w:szCs w:val="24"/>
          <w:rFonts w:ascii="Arial" w:cs="Arial" w:eastAsia="Arial" w:hAnsi="Arial"/>
        </w:rPr>
        <w:t xml:space="preserve">The key methodological innovation is "honest estimation": the sample is split into two halves, with one half used for tree construction (determining the splits) and the other half used for treatment effect estimation (computing the within-leaf treatment effect difference between treated and control observations). This honesty prevents overfitting of the treatment effect estimates to the training data, yielding valid confidence intervals for individual-level CATE estimates.</w:t>
      </w:r>
    </w:p>
    <w:p>
      <w:pPr>
        <w:spacing w:after="120"/>
      </w:pPr>
      <w:r>
        <w:rPr>
          <w:sz w:val="24"/>
          <w:szCs w:val="24"/>
          <w:rFonts w:ascii="Arial" w:cs="Arial" w:eastAsia="Arial" w:hAnsi="Arial"/>
        </w:rPr>
        <w:t xml:space="preserve">The causal forest algorithm proceeds as follows: (1) draw a bootstrap (or subsampling) sample; (2) on one half of the sample, grow a tree by recursively splitting on the covariate that maximizes treatment effect heterogeneity; (3) on the other half, estimate the treatment effect within each leaf as the difference in mean outcomes between treated and control observations; (4) repeat across B trees; (5) for each individual x, the CATE estimate is the weighted average of treatment effects across all leaves that x falls into, weighted by the number of times x appears in each tree.</w:t>
      </w:r>
    </w:p>
    <w:p>
      <w:pPr>
        <w:spacing w:after="120"/>
      </w:pPr>
      <w:r>
        <w:rPr>
          <w:sz w:val="24"/>
          <w:szCs w:val="24"/>
          <w:rFonts w:ascii="Arial" w:cs="Arial" w:eastAsia="Arial" w:hAnsi="Arial"/>
        </w:rPr>
        <w:t xml:space="preserve">In health economics, causal forests enable personalized policy evaluation: identifying which patients benefit most from a treatment (targeting), which hospitals respond most to a payment incentive (heterogeneous policy effects), or which populations gain the most from coverage expansion (allocative efficiency). Athey and Wager (2019) provided the formal asymptotic theory showing that causal forest CATE estimates are asymptotically normal and that the associated confidence intervals have correct coverage.</w:t>
      </w:r>
    </w:p>
    <w:p>
      <w:pPr>
        <w:pStyle w:val="Heading2"/>
        <w:spacing w:before="300" w:after="150"/>
      </w:pPr>
      <w:r>
        <w:rPr>
          <w:b/>
          <w:bCs/>
          <w:sz w:val="30"/>
          <w:szCs w:val="30"/>
          <w:rFonts w:ascii="Arial" w:cs="Arial" w:eastAsia="Arial" w:hAnsi="Arial"/>
        </w:rPr>
        <w:t xml:space="preserve">Double/Debiased Machine Learning</w:t>
      </w:r>
    </w:p>
    <w:p>
      <w:pPr>
        <w:pStyle w:val="Heading3"/>
        <w:spacing w:before="200" w:after="100"/>
      </w:pPr>
      <w:r>
        <w:rPr>
          <w:b/>
          <w:bCs/>
          <w:sz w:val="26"/>
          <w:szCs w:val="26"/>
          <w:rFonts w:ascii="Arial" w:cs="Arial" w:eastAsia="Arial" w:hAnsi="Arial"/>
        </w:rPr>
        <w:t xml:space="preserve">The DML Framework</w:t>
      </w:r>
    </w:p>
    <w:p>
      <w:pPr>
        <w:spacing w:after="120"/>
      </w:pPr>
      <w:r>
        <w:rPr>
          <w:sz w:val="24"/>
          <w:szCs w:val="24"/>
          <w:rFonts w:ascii="Arial" w:cs="Arial" w:eastAsia="Arial" w:hAnsi="Arial"/>
        </w:rPr>
        <w:t xml:space="preserve">Chernozhukov and colleagues (2018) developed the double/debiased machine learning (DML) framework, which enables the use of ML methods for estimating nuisance parameters (the relationships between controls and both the outcome and the treatment) while maintaining valid frequentist inference on the causal parameter of interest.</w:t>
      </w:r>
    </w:p>
    <w:p>
      <w:pPr>
        <w:spacing w:after="120"/>
      </w:pPr>
      <w:r>
        <w:rPr>
          <w:sz w:val="24"/>
          <w:szCs w:val="24"/>
          <w:rFonts w:ascii="Arial" w:cs="Arial" w:eastAsia="Arial" w:hAnsi="Arial"/>
        </w:rPr>
        <w:t xml:space="preserve">Consider the partially linear model:</w:t>
      </w:r>
    </w:p>
    <w:p>
      <w:pPr>
        <w:spacing w:after="120"/>
      </w:pPr>
      <w:r>
        <w:rPr>
          <w:sz w:val="24"/>
          <w:szCs w:val="24"/>
          <w:rFonts w:ascii="Arial" w:cs="Arial" w:eastAsia="Arial" w:hAnsi="Arial"/>
        </w:rPr>
        <w:t xml:space="preserve">Y = θD + g(X) + ε, E[ε | D, X] = 0</w:t>
      </w:r>
    </w:p>
    <w:p>
      <w:pPr>
        <w:spacing w:after="120"/>
      </w:pPr>
      <w:r>
        <w:rPr>
          <w:sz w:val="24"/>
          <w:szCs w:val="24"/>
          <w:rFonts w:ascii="Arial" w:cs="Arial" w:eastAsia="Arial" w:hAnsi="Arial"/>
        </w:rPr>
        <w:t xml:space="preserve">D = m(X) + v, E[v | X] = 0</w:t>
      </w:r>
    </w:p>
    <w:p>
      <w:pPr>
        <w:spacing w:after="120"/>
      </w:pPr>
      <w:r>
        <w:rPr>
          <w:sz w:val="24"/>
          <w:szCs w:val="24"/>
          <w:rFonts w:ascii="Arial" w:cs="Arial" w:eastAsia="Arial" w:hAnsi="Arial"/>
        </w:rPr>
        <w:t xml:space="preserve">where θ is the causal parameter of interest, g(X) is the (potentially complex, high-dimensional) relationship between controls and the outcome, and m(X) is the relationship between controls and the treatment (the propensity score in the binary treatment case).</w:t>
      </w:r>
    </w:p>
    <w:p>
      <w:pPr>
        <w:spacing w:after="120"/>
      </w:pPr>
      <w:r>
        <w:rPr>
          <w:sz w:val="24"/>
          <w:szCs w:val="24"/>
          <w:rFonts w:ascii="Arial" w:cs="Arial" w:eastAsia="Arial" w:hAnsi="Arial"/>
        </w:rPr>
        <w:t xml:space="preserve">The naive approach — regressing Y - ĝ(X) on D - m̂(X) — produces biased estimates because ML estimators introduce regularization bias (LASSO shrinks coefficients, random forests smooth predictions). DML eliminates this bias through two innovations:</w:t>
      </w:r>
    </w:p>
    <w:p>
      <w:pPr>
        <w:spacing w:after="120"/>
      </w:pPr>
      <w:r>
        <w:rPr>
          <w:sz w:val="24"/>
          <w:szCs w:val="24"/>
          <w:rFonts w:ascii="Arial" w:cs="Arial" w:eastAsia="Arial" w:hAnsi="Arial"/>
        </w:rPr>
      </w:r>
      <w:r>
        <w:rPr>
          <w:b/>
          <w:bCs/>
          <w:sz w:val="24"/>
          <w:szCs w:val="24"/>
          <w:rFonts w:ascii="Arial" w:cs="Arial" w:eastAsia="Arial" w:hAnsi="Arial"/>
        </w:rPr>
        <w:t xml:space="preserve">Neyman orthogonality.</w:t>
      </w:r>
      <w:r>
        <w:rPr>
          <w:sz w:val="24"/>
          <w:szCs w:val="24"/>
          <w:rFonts w:ascii="Arial" w:cs="Arial" w:eastAsia="Arial" w:hAnsi="Arial"/>
        </w:rPr>
        <w:t xml:space="preserve"> The DML moment condition is constructed to be insensitive to small errors in the nuisance parameter estimates. The doubly-robust score:</w:t>
      </w:r>
    </w:p>
    <w:p>
      <w:pPr>
        <w:spacing w:after="120"/>
      </w:pPr>
      <w:r>
        <w:rPr>
          <w:sz w:val="24"/>
          <w:szCs w:val="24"/>
          <w:rFonts w:ascii="Arial" w:cs="Arial" w:eastAsia="Arial" w:hAnsi="Arial"/>
        </w:rPr>
        <w:t xml:space="preserve">ψ(θ) = (Y - ĝ(X) - θ(D - m̂(X))) × (D - m̂(X))</w:t>
      </w:r>
    </w:p>
    <w:p>
      <w:pPr>
        <w:spacing w:after="120"/>
      </w:pPr>
      <w:r>
        <w:rPr>
          <w:sz w:val="24"/>
          <w:szCs w:val="24"/>
          <w:rFonts w:ascii="Arial" w:cs="Arial" w:eastAsia="Arial" w:hAnsi="Arial"/>
        </w:rPr>
        <w:t xml:space="preserve">has the property that its expectation is zero at the true θ regardless of small errors in ĝ and m̂. This orthogonality means that ML estimation error in the nuisance functions does not contaminate inference on θ.</w:t>
      </w:r>
    </w:p>
    <w:p>
      <w:pPr>
        <w:spacing w:after="120"/>
      </w:pPr>
      <w:r>
        <w:rPr>
          <w:sz w:val="24"/>
          <w:szCs w:val="24"/>
          <w:rFonts w:ascii="Arial" w:cs="Arial" w:eastAsia="Arial" w:hAnsi="Arial"/>
        </w:rPr>
      </w:r>
      <w:r>
        <w:rPr>
          <w:b/>
          <w:bCs/>
          <w:sz w:val="24"/>
          <w:szCs w:val="24"/>
          <w:rFonts w:ascii="Arial" w:cs="Arial" w:eastAsia="Arial" w:hAnsi="Arial"/>
        </w:rPr>
        <w:t xml:space="preserve">Cross-fitting.</w:t>
      </w:r>
      <w:r>
        <w:rPr>
          <w:sz w:val="24"/>
          <w:szCs w:val="24"/>
          <w:rFonts w:ascii="Arial" w:cs="Arial" w:eastAsia="Arial" w:hAnsi="Arial"/>
        </w:rPr>
        <w:t xml:space="preserve"> The sample is split into K folds. For each fold k, the nuisance functions ĝ and m̂ are estimated on the data excluding fold k, and the residuals are computed on fold k. This cross-fitting prevents overfitting of the nuisance functions to the data used for inference, eliminating the remaining regularization bias.</w:t>
      </w:r>
    </w:p>
    <w:p>
      <w:pPr>
        <w:spacing w:after="120"/>
      </w:pPr>
      <w:r>
        <w:rPr>
          <w:sz w:val="24"/>
          <w:szCs w:val="24"/>
          <w:rFonts w:ascii="Arial" w:cs="Arial" w:eastAsia="Arial" w:hAnsi="Arial"/>
        </w:rPr>
        <w:t xml:space="preserve">The DML estimator is:</w:t>
      </w:r>
    </w:p>
    <w:p>
      <w:pPr>
        <w:spacing w:after="120"/>
      </w:pPr>
      <w:r>
        <w:rPr>
          <w:sz w:val="24"/>
          <w:szCs w:val="24"/>
          <w:rFonts w:ascii="Arial" w:cs="Arial" w:eastAsia="Arial" w:hAnsi="Arial"/>
        </w:rPr>
        <w:t xml:space="preserve">θ̂_DML = [Σᵢ (Dᵢ - m̂₋ᵢ(Xᵢ))(Yᵢ - ĝ₋ᵢ(Xᵢ))] / [Σᵢ (Dᵢ - m̂₋ᵢ(Xᵢ))²]</w:t>
      </w:r>
    </w:p>
    <w:p>
      <w:pPr>
        <w:spacing w:after="120"/>
      </w:pPr>
      <w:r>
        <w:rPr>
          <w:sz w:val="24"/>
          <w:szCs w:val="24"/>
          <w:rFonts w:ascii="Arial" w:cs="Arial" w:eastAsia="Arial" w:hAnsi="Arial"/>
        </w:rPr>
        <w:t xml:space="preserve">where the subscript -i denotes that the nuisance functions are estimated on data excluding observation i's fold. Under regularity conditions, θ̂_DML is √n-consistent and asymptotically normal, with valid standard errors computed from the influence function.</w:t>
      </w:r>
    </w:p>
    <w:p>
      <w:pPr>
        <w:pStyle w:val="Heading3"/>
        <w:spacing w:before="200" w:after="100"/>
      </w:pPr>
      <w:r>
        <w:rPr>
          <w:b/>
          <w:bCs/>
          <w:sz w:val="26"/>
          <w:szCs w:val="26"/>
          <w:rFonts w:ascii="Arial" w:cs="Arial" w:eastAsia="Arial" w:hAnsi="Arial"/>
        </w:rPr>
        <w:t xml:space="preserve">Applications in Health Economics</w:t>
      </w:r>
    </w:p>
    <w:p>
      <w:pPr>
        <w:spacing w:after="120"/>
      </w:pPr>
      <w:r>
        <w:rPr>
          <w:sz w:val="24"/>
          <w:szCs w:val="24"/>
          <w:rFonts w:ascii="Arial" w:cs="Arial" w:eastAsia="Arial" w:hAnsi="Arial"/>
        </w:rPr>
        <w:t xml:space="preserve">DML is particularly valuable in health economics settings where the number of potential confounders is large and the functional form of the confounding relationship is unknown. Claims-based studies with thousands of diagnosis codes, studies linking healthcare utilization to area-level characteristics, and observational comparative effectiveness studies with high-dimensional clinical covariates all benefit from DML's ability to flexibly control for confounders while maintaining valid causal inference.</w:t>
      </w:r>
    </w:p>
    <w:p>
      <w:pPr>
        <w:spacing w:after="120"/>
      </w:pPr>
      <w:r>
        <w:rPr>
          <w:sz w:val="24"/>
          <w:szCs w:val="24"/>
          <w:rFonts w:ascii="Arial" w:cs="Arial" w:eastAsia="Arial" w:hAnsi="Arial"/>
        </w:rPr>
        <w:t xml:space="preserve">For example, estimating the effect of a new medication on healthcare costs, controlling for baseline health status captured by hundreds of diagnosis codes: LASSO or random forests estimate the nuisance functions (predicting costs and treatment assignment from the diagnosis codes), and the DML estimator provides a valid confidence interval for the causal effect of the medication on costs.</w:t>
      </w:r>
    </w:p>
    <w:p>
      <w:pPr>
        <w:pStyle w:val="Heading2"/>
        <w:spacing w:before="300" w:after="150"/>
      </w:pPr>
      <w:r>
        <w:rPr>
          <w:b/>
          <w:bCs/>
          <w:sz w:val="30"/>
          <w:szCs w:val="30"/>
          <w:rFonts w:ascii="Arial" w:cs="Arial" w:eastAsia="Arial" w:hAnsi="Arial"/>
        </w:rPr>
        <w:t xml:space="preserve">Ethical Considerations and Algorithmic Fairness</w:t>
      </w:r>
    </w:p>
    <w:p>
      <w:pPr>
        <w:pStyle w:val="Heading3"/>
        <w:spacing w:before="200" w:after="100"/>
      </w:pPr>
      <w:r>
        <w:rPr>
          <w:b/>
          <w:bCs/>
          <w:sz w:val="26"/>
          <w:szCs w:val="26"/>
          <w:rFonts w:ascii="Arial" w:cs="Arial" w:eastAsia="Arial" w:hAnsi="Arial"/>
        </w:rPr>
        <w:t xml:space="preserve">Bias in Healthcare Algorithms</w:t>
      </w:r>
    </w:p>
    <w:p>
      <w:pPr>
        <w:spacing w:after="120"/>
      </w:pPr>
      <w:r>
        <w:rPr>
          <w:sz w:val="24"/>
          <w:szCs w:val="24"/>
          <w:rFonts w:ascii="Arial" w:cs="Arial" w:eastAsia="Arial" w:hAnsi="Arial"/>
        </w:rPr>
        <w:t xml:space="preserve">Obermeyer and colleagues (2019) documented racial bias in a widely used commercial healthcare risk prediction algorithm — a finding that has become one of the most cited examples of algorithmic bias in any domain. The algorithm, used by health systems to identify patients for care management programs, used healthcare costs as a proxy for healthcare needs. Because Black patients face systematic barriers to accessing care and therefore incur lower costs conditional on the same level of health need, the algorithm systematically underestimated the healthcare needs of Black patients. At a given algorithm risk score, Black patients were substantially sicker than White patients (as measured by the number of active chronic conditions), resulting in Black patients being less likely to be enrolled in care management programs.</w:t>
      </w:r>
    </w:p>
    <w:p>
      <w:pPr>
        <w:spacing w:after="120"/>
      </w:pPr>
      <w:r>
        <w:rPr>
          <w:sz w:val="24"/>
          <w:szCs w:val="24"/>
          <w:rFonts w:ascii="Arial" w:cs="Arial" w:eastAsia="Arial" w:hAnsi="Arial"/>
        </w:rPr>
        <w:t xml:space="preserve">The root cause was not biased code or intentional discrimination but rather a biased outcome variable: healthcare costs reflect not just health needs but also access barriers, provider availability, patient trust, and systemic racism in healthcare delivery. Using costs as a proxy for needs perpetuates the disparities that generate the cost differences in the first place.</w:t>
      </w:r>
    </w:p>
    <w:p>
      <w:pPr>
        <w:pStyle w:val="Heading3"/>
        <w:spacing w:before="200" w:after="100"/>
      </w:pPr>
      <w:r>
        <w:rPr>
          <w:b/>
          <w:bCs/>
          <w:sz w:val="26"/>
          <w:szCs w:val="26"/>
          <w:rFonts w:ascii="Arial" w:cs="Arial" w:eastAsia="Arial" w:hAnsi="Arial"/>
        </w:rPr>
        <w:t xml:space="preserve">Fairness-Aware ML</w:t>
      </w:r>
    </w:p>
    <w:p>
      <w:pPr>
        <w:spacing w:after="120"/>
      </w:pPr>
      <w:r>
        <w:rPr>
          <w:sz w:val="24"/>
          <w:szCs w:val="24"/>
          <w:rFonts w:ascii="Arial" w:cs="Arial" w:eastAsia="Arial" w:hAnsi="Arial"/>
        </w:rPr>
        <w:t xml:space="preserve">Several approaches address algorithmic fairness in healthcare prediction:</w:t>
      </w:r>
    </w:p>
    <w:p>
      <w:pPr>
        <w:spacing w:after="120"/>
      </w:pPr>
      <w:r>
        <w:rPr>
          <w:sz w:val="24"/>
          <w:szCs w:val="24"/>
          <w:rFonts w:ascii="Arial" w:cs="Arial" w:eastAsia="Arial" w:hAnsi="Arial"/>
        </w:rPr>
      </w:r>
      <w:r>
        <w:rPr>
          <w:b/>
          <w:bCs/>
          <w:sz w:val="24"/>
          <w:szCs w:val="24"/>
          <w:rFonts w:ascii="Arial" w:cs="Arial" w:eastAsia="Arial" w:hAnsi="Arial"/>
        </w:rPr>
        <w:t xml:space="preserve">Pre-processing</w:t>
      </w:r>
      <w:r>
        <w:rPr>
          <w:sz w:val="24"/>
          <w:szCs w:val="24"/>
          <w:rFonts w:ascii="Arial" w:cs="Arial" w:eastAsia="Arial" w:hAnsi="Arial"/>
        </w:rPr>
        <w:t xml:space="preserve"> modifies the training data to remove the correlation between the outcome and protected characteristics (reweighting, resampling, representation balancing).</w:t>
      </w:r>
    </w:p>
    <w:p>
      <w:pPr>
        <w:spacing w:after="120"/>
      </w:pPr>
      <w:r>
        <w:rPr>
          <w:sz w:val="24"/>
          <w:szCs w:val="24"/>
          <w:rFonts w:ascii="Arial" w:cs="Arial" w:eastAsia="Arial" w:hAnsi="Arial"/>
        </w:rPr>
      </w:r>
      <w:r>
        <w:rPr>
          <w:b/>
          <w:bCs/>
          <w:sz w:val="24"/>
          <w:szCs w:val="24"/>
          <w:rFonts w:ascii="Arial" w:cs="Arial" w:eastAsia="Arial" w:hAnsi="Arial"/>
        </w:rPr>
        <w:t xml:space="preserve">In-processing</w:t>
      </w:r>
      <w:r>
        <w:rPr>
          <w:sz w:val="24"/>
          <w:szCs w:val="24"/>
          <w:rFonts w:ascii="Arial" w:cs="Arial" w:eastAsia="Arial" w:hAnsi="Arial"/>
        </w:rPr>
        <w:t xml:space="preserve"> adds fairness constraints to the ML optimization (equalized odds constraints requiring equal true positive and false positive rates across groups, calibration constraints requiring that predicted probabilities match observed rates within each group).</w:t>
      </w:r>
    </w:p>
    <w:p>
      <w:pPr>
        <w:spacing w:after="120"/>
      </w:pPr>
      <w:r>
        <w:rPr>
          <w:sz w:val="24"/>
          <w:szCs w:val="24"/>
          <w:rFonts w:ascii="Arial" w:cs="Arial" w:eastAsia="Arial" w:hAnsi="Arial"/>
        </w:rPr>
      </w:r>
      <w:r>
        <w:rPr>
          <w:b/>
          <w:bCs/>
          <w:sz w:val="24"/>
          <w:szCs w:val="24"/>
          <w:rFonts w:ascii="Arial" w:cs="Arial" w:eastAsia="Arial" w:hAnsi="Arial"/>
        </w:rPr>
        <w:t xml:space="preserve">Post-processing</w:t>
      </w:r>
      <w:r>
        <w:rPr>
          <w:sz w:val="24"/>
          <w:szCs w:val="24"/>
          <w:rFonts w:ascii="Arial" w:cs="Arial" w:eastAsia="Arial" w:hAnsi="Arial"/>
        </w:rPr>
        <w:t xml:space="preserve"> adjusts model predictions to satisfy fairness criteria (threshold adjustment, group-specific calibration).</w:t>
      </w:r>
    </w:p>
    <w:p>
      <w:pPr>
        <w:spacing w:after="120"/>
      </w:pPr>
      <w:r>
        <w:rPr>
          <w:sz w:val="24"/>
          <w:szCs w:val="24"/>
          <w:rFonts w:ascii="Arial" w:cs="Arial" w:eastAsia="Arial" w:hAnsi="Arial"/>
        </w:rPr>
        <w:t xml:space="preserve">The choice among fairness approaches involves tradeoffs between predictive accuracy and fairness, which can be formalized as a constrained optimization problem. Health economics researchers developing risk adjustment, resource allocation, or clinical prediction models should audit their models for differential performance across demographic groups and consider fairness-aware alternatives when disparities are detected.</w:t>
      </w:r>
    </w:p>
    <w:p>
      <w:pPr>
        <w:spacing w:after="120"/>
      </w:pPr>
      <w:r>
        <w:rPr>
          <w:sz w:val="24"/>
          <w:szCs w:val="24"/>
          <w:rFonts w:ascii="Arial" w:cs="Arial" w:eastAsia="Arial" w:hAnsi="Arial"/>
        </w:rPr>
      </w:r>
      <w:r>
        <w:rPr>
          <w:b/>
          <w:bCs/>
          <w:sz w:val="24"/>
          <w:szCs w:val="24"/>
          <w:rFonts w:ascii="Arial" w:cs="Arial" w:eastAsia="Arial" w:hAnsi="Arial"/>
        </w:rPr>
        <w:t xml:space="preserve">Table 16.1: ML Methods for Health Economics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Method</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Primary Use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Causal Inference?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Health Economics Application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LASSO</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Variable selection, prediction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 (biased coefficients)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Risk adjustment, cost prediction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Ridge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Prediction with correlated predictors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Stabilized risk scores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Random Forest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Flexible nonlinear prediction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Readmission prediction, mortality scoring</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Gradient Boosting</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High-accuracy prediction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Cost prediction, fraud detection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Causal Forest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Heterogeneous treatment effects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 (CATE with CI)</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Personalized treatment assignment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DML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Causal inference with ML nuisance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 (valid inference on θ)</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High-dimensional confounding adjustment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Post-LASSO</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Variable selection for causal models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Partially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Instrument selection, control selection</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Machine learning methods have expanded the health economics toolkit in three distinct directions: pure prediction (where ML methods often outperform traditional statistical models), heterogeneous treatment effect estimation (where causal forests enable personalized policy evaluation), and nuisance parameter estimation within causal frameworks (where DML combines ML flexibility with valid econometric inference). The key methodological insight is that ML and econometrics are complementary — ML excels at flexible function approximation and pattern recognition, while econometric identification strategies provide the causal interpretation that policy evaluation requires.</w:t>
      </w:r>
    </w:p>
    <w:p>
      <w:pPr>
        <w:spacing w:after="120"/>
      </w:pPr>
      <w:r>
        <w:rPr>
          <w:sz w:val="24"/>
          <w:szCs w:val="24"/>
          <w:rFonts w:ascii="Arial" w:cs="Arial" w:eastAsia="Arial" w:hAnsi="Arial"/>
        </w:rPr>
        <w:t xml:space="preserve">The responsible use of ML in health economics requires attention to algorithmic fairness, model interpretability, and the distinction between prediction and causation. The Julia implementations using MLJ.jl, EvoTrees.jl, and custom DML implementations are covered in Chapter 24.</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Athey, S., &amp; Imbens, G. W. (2016). Recursive partitioning for heterogeneous causal effects. </w:t>
      </w:r>
      <w:r>
        <w:rPr>
          <w:i/>
          <w:iCs/>
          <w:sz w:val="24"/>
          <w:szCs w:val="24"/>
          <w:rFonts w:ascii="Arial" w:cs="Arial" w:eastAsia="Arial" w:hAnsi="Arial"/>
        </w:rPr>
        <w:t xml:space="preserve">PNAS</w:t>
      </w:r>
      <w:r>
        <w:rPr>
          <w:sz w:val="24"/>
          <w:szCs w:val="24"/>
          <w:rFonts w:ascii="Arial" w:cs="Arial" w:eastAsia="Arial" w:hAnsi="Arial"/>
        </w:rPr>
        <w:t xml:space="preserve">, 113(27), 7353-7360.</w:t>
      </w:r>
    </w:p>
    <w:p>
      <w:pPr>
        <w:spacing w:after="120"/>
      </w:pPr>
      <w:r>
        <w:rPr>
          <w:sz w:val="24"/>
          <w:szCs w:val="24"/>
          <w:rFonts w:ascii="Arial" w:cs="Arial" w:eastAsia="Arial" w:hAnsi="Arial"/>
        </w:rPr>
        <w:t xml:space="preserve">2. Athey, S., &amp; Wager, S. (2019). Estimating treatment effects with causal forests: An application. </w:t>
      </w:r>
      <w:r>
        <w:rPr>
          <w:i/>
          <w:iCs/>
          <w:sz w:val="24"/>
          <w:szCs w:val="24"/>
          <w:rFonts w:ascii="Arial" w:cs="Arial" w:eastAsia="Arial" w:hAnsi="Arial"/>
        </w:rPr>
        <w:t xml:space="preserve">Observational Studies</w:t>
      </w:r>
      <w:r>
        <w:rPr>
          <w:sz w:val="24"/>
          <w:szCs w:val="24"/>
          <w:rFonts w:ascii="Arial" w:cs="Arial" w:eastAsia="Arial" w:hAnsi="Arial"/>
        </w:rPr>
        <w:t xml:space="preserve">, 5(2), 37-51.</w:t>
      </w:r>
    </w:p>
    <w:p>
      <w:pPr>
        <w:spacing w:after="120"/>
      </w:pPr>
      <w:r>
        <w:rPr>
          <w:sz w:val="24"/>
          <w:szCs w:val="24"/>
          <w:rFonts w:ascii="Arial" w:cs="Arial" w:eastAsia="Arial" w:hAnsi="Arial"/>
        </w:rPr>
        <w:t xml:space="preserve">3. Breiman, L. (2001). Random forests. </w:t>
      </w:r>
      <w:r>
        <w:rPr>
          <w:i/>
          <w:iCs/>
          <w:sz w:val="24"/>
          <w:szCs w:val="24"/>
          <w:rFonts w:ascii="Arial" w:cs="Arial" w:eastAsia="Arial" w:hAnsi="Arial"/>
        </w:rPr>
        <w:t xml:space="preserve">Machine Learning</w:t>
      </w:r>
      <w:r>
        <w:rPr>
          <w:sz w:val="24"/>
          <w:szCs w:val="24"/>
          <w:rFonts w:ascii="Arial" w:cs="Arial" w:eastAsia="Arial" w:hAnsi="Arial"/>
        </w:rPr>
        <w:t xml:space="preserve">, 45(1), 5-32.</w:t>
      </w:r>
    </w:p>
    <w:p>
      <w:pPr>
        <w:spacing w:after="120"/>
      </w:pPr>
      <w:r>
        <w:rPr>
          <w:sz w:val="24"/>
          <w:szCs w:val="24"/>
          <w:rFonts w:ascii="Arial" w:cs="Arial" w:eastAsia="Arial" w:hAnsi="Arial"/>
        </w:rPr>
        <w:t xml:space="preserve">4. Chernozhukov, V., Chetverikov, D., Demirer, M., Duflo, E., Hansen, C., Newey, W., &amp; Robins, J. (2018). Double/debiased machine learning for treatment and structural parameters. </w:t>
      </w:r>
      <w:r>
        <w:rPr>
          <w:i/>
          <w:iCs/>
          <w:sz w:val="24"/>
          <w:szCs w:val="24"/>
          <w:rFonts w:ascii="Arial" w:cs="Arial" w:eastAsia="Arial" w:hAnsi="Arial"/>
        </w:rPr>
        <w:t xml:space="preserve">Econometrics Journal</w:t>
      </w:r>
      <w:r>
        <w:rPr>
          <w:sz w:val="24"/>
          <w:szCs w:val="24"/>
          <w:rFonts w:ascii="Arial" w:cs="Arial" w:eastAsia="Arial" w:hAnsi="Arial"/>
        </w:rPr>
        <w:t xml:space="preserve">, 21(1), C1-C68.</w:t>
      </w:r>
    </w:p>
    <w:p>
      <w:pPr>
        <w:spacing w:after="120"/>
      </w:pPr>
      <w:r>
        <w:rPr>
          <w:sz w:val="24"/>
          <w:szCs w:val="24"/>
          <w:rFonts w:ascii="Arial" w:cs="Arial" w:eastAsia="Arial" w:hAnsi="Arial"/>
        </w:rPr>
        <w:t xml:space="preserve">5. Mullainathan, S., &amp; Spiess, J. (2017). Machine learning: An applied econometric approach. </w:t>
      </w:r>
      <w:r>
        <w:rPr>
          <w:i/>
          <w:iCs/>
          <w:sz w:val="24"/>
          <w:szCs w:val="24"/>
          <w:rFonts w:ascii="Arial" w:cs="Arial" w:eastAsia="Arial" w:hAnsi="Arial"/>
        </w:rPr>
        <w:t xml:space="preserve">Journal of Economic Perspectives</w:t>
      </w:r>
      <w:r>
        <w:rPr>
          <w:sz w:val="24"/>
          <w:szCs w:val="24"/>
          <w:rFonts w:ascii="Arial" w:cs="Arial" w:eastAsia="Arial" w:hAnsi="Arial"/>
        </w:rPr>
        <w:t xml:space="preserve">, 31(2), 87-106.</w:t>
      </w:r>
    </w:p>
    <w:p>
      <w:pPr>
        <w:spacing w:after="120"/>
      </w:pPr>
      <w:r>
        <w:rPr>
          <w:sz w:val="24"/>
          <w:szCs w:val="24"/>
          <w:rFonts w:ascii="Arial" w:cs="Arial" w:eastAsia="Arial" w:hAnsi="Arial"/>
        </w:rPr>
        <w:t xml:space="preserve">6. Obermeyer, Z., Powers, B., Vogeli, C., &amp; Mullainathan, S. (2019). Dissecting racial bias in an algorithm used to manage the health of populations. </w:t>
      </w:r>
      <w:r>
        <w:rPr>
          <w:i/>
          <w:iCs/>
          <w:sz w:val="24"/>
          <w:szCs w:val="24"/>
          <w:rFonts w:ascii="Arial" w:cs="Arial" w:eastAsia="Arial" w:hAnsi="Arial"/>
        </w:rPr>
        <w:t xml:space="preserve">Science</w:t>
      </w:r>
      <w:r>
        <w:rPr>
          <w:sz w:val="24"/>
          <w:szCs w:val="24"/>
          <w:rFonts w:ascii="Arial" w:cs="Arial" w:eastAsia="Arial" w:hAnsi="Arial"/>
        </w:rPr>
        <w:t xml:space="preserve">, 366(6464), 447-453.</w:t>
      </w:r>
    </w:p>
    <w:p>
      <w:pPr>
        <w:spacing w:after="120"/>
      </w:pPr>
      <w:r>
        <w:rPr>
          <w:sz w:val="24"/>
          <w:szCs w:val="24"/>
          <w:rFonts w:ascii="Arial" w:cs="Arial" w:eastAsia="Arial" w:hAnsi="Arial"/>
        </w:rPr>
        <w:t xml:space="preserve">7. Tibshirani, R. (1996). Regression shrinkage and selection via the lasso. </w:t>
      </w:r>
      <w:r>
        <w:rPr>
          <w:i/>
          <w:iCs/>
          <w:sz w:val="24"/>
          <w:szCs w:val="24"/>
          <w:rFonts w:ascii="Arial" w:cs="Arial" w:eastAsia="Arial" w:hAnsi="Arial"/>
        </w:rPr>
        <w:t xml:space="preserve">JRSS-B</w:t>
      </w:r>
      <w:r>
        <w:rPr>
          <w:sz w:val="24"/>
          <w:szCs w:val="24"/>
          <w:rFonts w:ascii="Arial" w:cs="Arial" w:eastAsia="Arial" w:hAnsi="Arial"/>
        </w:rPr>
        <w:t xml:space="preserve">, 58(1), 267-288.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16: Machine Learning Methods for Health Econ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2026-04-16T00:41:20.226Z</dcterms:created>
  <dcterms:modified xsi:type="dcterms:W3CDTF">2026-04-16T00:41:20.226Z</dcterms:modified>
</cp:coreProperties>
</file>

<file path=docProps/custom.xml><?xml version="1.0" encoding="utf-8"?>
<Properties xmlns="http://schemas.openxmlformats.org/officeDocument/2006/custom-properties" xmlns:vt="http://schemas.openxmlformats.org/officeDocument/2006/docPropsVTypes"/>
</file>