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sz w:val="48"/>
          <w:szCs w:val="48"/>
          <w:rFonts w:ascii="Arial" w:cs="Arial" w:eastAsia="Arial" w:hAnsi="Arial"/>
        </w:rPr>
        <w:t xml:space="preserve">Healthcare Economics Research:</w:t>
      </w:r>
    </w:p>
    <w:p>
      <w:pPr>
        <w:spacing w:after="400"/>
        <w:jc w:val="center"/>
      </w:pPr>
      <w:r>
        <w:rPr>
          <w:b/>
          <w:bCs/>
          <w:sz w:val="44"/>
          <w:szCs w:val="44"/>
          <w:rFonts w:ascii="Arial" w:cs="Arial" w:eastAsia="Arial" w:hAnsi="Arial"/>
        </w:rPr>
        <w:t xml:space="preserve">Methodology and Computational Methods in Julia</w:t>
      </w:r>
    </w:p>
    <w:p>
      <w:pPr>
        <w:spacing w:after="200"/>
        <w:jc w:val="center"/>
      </w:pPr>
      <w:r>
        <w:rPr>
          <w:sz w:val="36"/>
          <w:szCs w:val="36"/>
          <w:rFonts w:ascii="Arial" w:cs="Arial" w:eastAsia="Arial" w:hAnsi="Arial"/>
        </w:rPr>
        <w:t xml:space="preserve">Chapter 25</w:t>
      </w:r>
    </w:p>
    <w:p>
      <w:pPr>
        <w:jc w:val="center"/>
      </w:pPr>
      <w:r>
        <w:rPr>
          <w:i/>
          <w:iCs/>
          <w:sz w:val="32"/>
          <w:szCs w:val="32"/>
          <w:rFonts w:ascii="Arial" w:cs="Arial" w:eastAsia="Arial" w:hAnsi="Arial"/>
        </w:rPr>
        <w:t xml:space="preserve">Data Visualization and Scientific Communication in Julia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Introduction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Publication-quality visualization is essential for communicating health economics research. A well-designed figure conveys complex relationships — treatment effect dynamics, cost-effectiveness uncertainty, geographic variation patterns — more effectively than any prose description. This chapter covers the Julia visualization ecosystem and provides templates for every figure type used in health economics publications.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The Julia Visualization Ecosystem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Makie.jl</w:t>
      </w:r>
      <w:r>
        <w:rPr>
          <w:sz w:val="24"/>
          <w:szCs w:val="24"/>
          <w:rFonts w:ascii="Arial" w:cs="Arial" w:eastAsia="Arial" w:hAnsi="Arial"/>
        </w:rPr>
        <w:t xml:space="preserve"> (with CairoMakie for publication-quality static output and WGLMakie for interactive visualization) is the most powerful and customizable option. It uses a scene-graph architecture that provides fine-grained control over every visual element.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AlgebraOfGraphics.jl</w:t>
      </w:r>
      <w:r>
        <w:rPr>
          <w:sz w:val="24"/>
          <w:szCs w:val="24"/>
          <w:rFonts w:ascii="Arial" w:cs="Arial" w:eastAsia="Arial" w:hAnsi="Arial"/>
        </w:rPr>
        <w:t xml:space="preserve"> layers a grammar of graphics on top of Makie, providing ggplot2-style syntax for common plot types.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Plots.jl</w:t>
      </w:r>
      <w:r>
        <w:rPr>
          <w:sz w:val="24"/>
          <w:szCs w:val="24"/>
          <w:rFonts w:ascii="Arial" w:cs="Arial" w:eastAsia="Arial" w:hAnsi="Arial"/>
        </w:rPr>
        <w:t xml:space="preserve"> provides a backend-agnostic recipe system for quick exploratory visualization.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For health economics publications, CairoMakie is recommended: it produces vector graphics (PDF, SVG) suitable for journal submission, supports precise control over fonts, sizes, and colors, and handles multi-panel layouts through GridLayout.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Causal Inference Visualization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Event study plots</w:t>
      </w:r>
      <w:r>
        <w:rPr>
          <w:sz w:val="24"/>
          <w:szCs w:val="24"/>
          <w:rFonts w:ascii="Arial" w:cs="Arial" w:eastAsia="Arial" w:hAnsi="Arial"/>
        </w:rPr>
        <w:t xml:space="preserve"> are the signature visualization of DiD analysis. Implementation: extract period-specific coefficient estimates and confidence intervals from the event study regression, plot as points with error bars, add a vertical line at the treatment date and a horizontal line at zero.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fig = Figure(size=(700, 400))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ax = Axis(fig[1,1], xlabel="Years relative to treatment", ylabel="Treatment effect")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scatter!(ax, periods, coefficients, color=:navy)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rangebars!(ax, periods, ci_lower, ci_upper, color=:navy)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vlines!(ax, [-0.5], color=:red, linestyle=:dash)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hlines!(ax, [0], color=:gray, linestyle=:dot)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RD plots</w:t>
      </w:r>
      <w:r>
        <w:rPr>
          <w:sz w:val="24"/>
          <w:szCs w:val="24"/>
          <w:rFonts w:ascii="Arial" w:cs="Arial" w:eastAsia="Arial" w:hAnsi="Arial"/>
        </w:rPr>
        <w:t xml:space="preserve"> show binned scatter plots with local polynomial fits on each side of the cutoff, visualizing the discontinuity.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Cost-Effectiveness Visualization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</w:r>
      <w:r>
        <w:rPr>
          <w:b/>
          <w:bCs/>
          <w:sz w:val="24"/>
          <w:szCs w:val="24"/>
          <w:rFonts w:ascii="Arial" w:cs="Arial" w:eastAsia="Arial" w:hAnsi="Arial"/>
        </w:rPr>
        <w:t xml:space="preserve">CE plane</w:t>
      </w:r>
      <w:r>
        <w:rPr>
          <w:sz w:val="24"/>
          <w:szCs w:val="24"/>
          <w:rFonts w:ascii="Arial" w:cs="Arial" w:eastAsia="Arial" w:hAnsi="Arial"/>
        </w:rPr>
        <w:t xml:space="preserve">: scatter plot of (ΔE, ΔC) pairs from PSA, with quadrant labels and a WTP threshold line.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CEAC</w:t>
      </w:r>
      <w:r>
        <w:rPr>
          <w:sz w:val="24"/>
          <w:szCs w:val="24"/>
          <w:rFonts w:ascii="Arial" w:cs="Arial" w:eastAsia="Arial" w:hAnsi="Arial"/>
        </w:rPr>
        <w:t xml:space="preserve">: probability of cost-effectiveness as a function of λ, plotted as a smooth curve from 0 to 1.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Tornado diagram</w:t>
      </w:r>
      <w:r>
        <w:rPr>
          <w:sz w:val="24"/>
          <w:szCs w:val="24"/>
          <w:rFonts w:ascii="Arial" w:cs="Arial" w:eastAsia="Arial" w:hAnsi="Arial"/>
        </w:rPr>
        <w:t xml:space="preserve">: horizontal bar chart of one-way sensitivity analysis results, sorted by influence on the ICER.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Geographic Visualization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Choropleth maps of healthcare spending, utilization, or outcomes by county using GeoMakie.jl with US county shapefiles from Shapefile.jl. Color palettes from ColorSchemes.jl — use sequential palettes (Blues, Viridis) for continuous variables and diverging palettes (RdBu) for deviation from a reference value. The Okabe-Ito and Wong palettes provide colorblind-accessible options.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Publication Formatting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Figure sizing for journal submission: single-column figures at 3.5 inches wide, double-column at 7 inches. Font sizes: axis labels ≥ 8pt, tick labels ≥ 6pt, legend text ≥ 7pt. Line weights: data lines at 1.5pt, reference lines at 0.5pt. Multi-panel figures using GridLayout with shared axes and panel labels (A, B, C, D).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Saving in multiple formats: save("figure1.pdf", fig) for vector graphics (journal submission), save("figure1.png", fig, px_per_unit=4) for presentations. PrettyTables.jl formats regression tables for LaTeX, HTML, or plain text with customizable column headers, significance stars, and standard error formatting.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Conclusion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Julia's Makie.jl ecosystem provides publication-quality visualization with the flexibility and precision needed for health economics research figures. The templates provided in this chapter — event study plots, RD plots, CE planes, CEACs, geographic maps, regression tables — cover the complete visual communication needs of an empirical health economics manuscript.</w:t>
      </w:r>
    </w:p>
    <w:p>
      <w:pPr>
        <w:pStyle w:val="Heading2"/>
        <w:spacing w:before="300" w:after="150"/>
      </w:pPr>
      <w:r>
        <w:rPr>
          <w:b/>
          <w:bCs/>
          <w:sz w:val="30"/>
          <w:szCs w:val="30"/>
          <w:rFonts w:ascii="Arial" w:cs="Arial" w:eastAsia="Arial" w:hAnsi="Arial"/>
        </w:rPr>
        <w:t xml:space="preserve">References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1. Danisch, S., &amp; Krumbiegel, J. (2021). Makie.jl: Flexible high-performance data visualization for Julia.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JOSS</w:t>
      </w:r>
      <w:r>
        <w:rPr>
          <w:sz w:val="24"/>
          <w:szCs w:val="24"/>
          <w:rFonts w:ascii="Arial" w:cs="Arial" w:eastAsia="Arial" w:hAnsi="Arial"/>
        </w:rPr>
        <w:t xml:space="preserve">, 6(65), 3349.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2. PrettyTables.jl documentation. https://github.com/ronisbr/PrettyTables.jl</w:t>
      </w:r>
    </w:p>
    <w:p>
      <w:pPr>
        <w:spacing w:after="120"/>
      </w:pPr>
      <w:r>
        <w:rPr>
          <w:sz w:val="24"/>
          <w:szCs w:val="24"/>
          <w:rFonts w:ascii="Arial" w:cs="Arial" w:eastAsia="Arial" w:hAnsi="Arial"/>
        </w:rPr>
        <w:t xml:space="preserve">3. Wilke, C. O. (2019). </w:t>
      </w:r>
      <w:r>
        <w:rPr>
          <w:i/>
          <w:iCs/>
          <w:sz w:val="24"/>
          <w:szCs w:val="24"/>
          <w:rFonts w:ascii="Arial" w:cs="Arial" w:eastAsia="Arial" w:hAnsi="Arial"/>
        </w:rPr>
        <w:t xml:space="preserve">Fundamentals of Data Visualization</w:t>
      </w:r>
      <w:r>
        <w:rPr>
          <w:sz w:val="24"/>
          <w:szCs w:val="24"/>
          <w:rFonts w:ascii="Arial" w:cs="Arial" w:eastAsia="Arial" w:hAnsi="Arial"/>
        </w:rPr>
        <w:t xml:space="preserve">. O'Reilly.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  <w:rFonts w:ascii="Arial" w:cs="Arial" w:eastAsia="Arial" w:hAnsi="Arial"/>
      </w:rPr>
      <w:t xml:space="preserve">Chapter 25: Data Visualization and Scientific Commun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sz w:val="30"/>
      <w:szCs w:val="30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2026-04-16T00:41:20.535Z</dcterms:created>
  <dcterms:modified xsi:type="dcterms:W3CDTF">2026-04-16T00:41:20.535Z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