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b/>
          <w:bCs/>
          <w:sz w:val="48"/>
          <w:szCs w:val="48"/>
          <w:rFonts w:ascii="Arial" w:cs="Arial" w:eastAsia="Arial" w:hAnsi="Arial"/>
        </w:rPr>
        <w:t xml:space="preserve">Healthcare Economics Research:</w:t>
      </w:r>
    </w:p>
    <w:p>
      <w:pPr>
        <w:spacing w:after="400"/>
        <w:jc w:val="center"/>
      </w:pPr>
      <w:r>
        <w:rPr>
          <w:b/>
          <w:bCs/>
          <w:sz w:val="44"/>
          <w:szCs w:val="44"/>
          <w:rFonts w:ascii="Arial" w:cs="Arial" w:eastAsia="Arial" w:hAnsi="Arial"/>
        </w:rPr>
        <w:t xml:space="preserve">Methodology and Computational Methods in Julia</w:t>
      </w:r>
    </w:p>
    <w:p>
      <w:pPr>
        <w:spacing w:after="200"/>
        <w:jc w:val="center"/>
      </w:pPr>
      <w:r>
        <w:rPr>
          <w:sz w:val="36"/>
          <w:szCs w:val="36"/>
          <w:rFonts w:ascii="Arial" w:cs="Arial" w:eastAsia="Arial" w:hAnsi="Arial"/>
        </w:rPr>
        <w:t xml:space="preserve">Chapter 27</w:t>
      </w:r>
    </w:p>
    <w:p>
      <w:pPr>
        <w:jc w:val="center"/>
      </w:pPr>
      <w:r>
        <w:rPr>
          <w:i/>
          <w:iCs/>
          <w:sz w:val="32"/>
          <w:szCs w:val="32"/>
          <w:rFonts w:ascii="Arial" w:cs="Arial" w:eastAsia="Arial" w:hAnsi="Arial"/>
        </w:rPr>
        <w:t xml:space="preserve">Building a Complete Health Economics Analysis: An Integrated Case Study</w:t>
      </w:r>
    </w:p>
    <w:p>
      <w:r>
        <w:br w:type="page"/>
      </w:r>
    </w:p>
    <w:p>
      <w:pPr>
        <w:pStyle w:val="Heading2"/>
        <w:spacing w:before="300" w:after="150"/>
      </w:pPr>
      <w:r>
        <w:rPr>
          <w:b/>
          <w:bCs/>
          <w:sz w:val="30"/>
          <w:szCs w:val="30"/>
          <w:rFonts w:ascii="Arial" w:cs="Arial" w:eastAsia="Arial" w:hAnsi="Arial"/>
        </w:rPr>
        <w:t xml:space="preserve">Introduction</w:t>
      </w:r>
    </w:p>
    <w:p>
      <w:pPr>
        <w:spacing w:after="120"/>
      </w:pPr>
      <w:r>
        <w:rPr>
          <w:sz w:val="24"/>
          <w:szCs w:val="24"/>
          <w:rFonts w:ascii="Arial" w:cs="Arial" w:eastAsia="Arial" w:hAnsi="Arial"/>
        </w:rPr>
        <w:t xml:space="preserve">This capstone chapter walks through a complete health economics research project — from research question to manuscript-ready results — integrating the theoretical frameworks (Chapters 1-8), econometric methods (Chapters 9-17), data knowledge (Chapter 18), and Julia computational tools (Chapters 19-26) developed throughout this textbook. The case study analyzes the effect of Medicaid expansion on hospital financial performance and quality outcomes using a staggered difference-in-differences design. Every step — data assembly, descriptive analysis, econometric specification, estimation, robustness checks, heterogeneity analysis, and result presentation — is implemented in Julia with complete, reproducible code.</w:t>
      </w:r>
    </w:p>
    <w:p>
      <w:pPr>
        <w:pStyle w:val="Heading2"/>
        <w:spacing w:before="300" w:after="150"/>
      </w:pPr>
      <w:r>
        <w:rPr>
          <w:b/>
          <w:bCs/>
          <w:sz w:val="30"/>
          <w:szCs w:val="30"/>
          <w:rFonts w:ascii="Arial" w:cs="Arial" w:eastAsia="Arial" w:hAnsi="Arial"/>
        </w:rPr>
        <w:t xml:space="preserve">Research Question and Contribution</w:t>
      </w:r>
    </w:p>
    <w:p>
      <w:pPr>
        <w:spacing w:after="120"/>
      </w:pPr>
      <w:r>
        <w:rPr>
          <w:sz w:val="24"/>
          <w:szCs w:val="24"/>
          <w:rFonts w:ascii="Arial" w:cs="Arial" w:eastAsia="Arial" w:hAnsi="Arial"/>
        </w:rPr>
        <w:t xml:space="preserve">The research question: Does state adoption of the ACA Medicaid expansion improve hospital financial performance (operating margins, uncompensated care burden) and quality outcomes (readmission rates, patient safety indicators)? How do effects differ by hospital type — rural vs. urban, safety-net vs. non-safety-net, for-profit vs. nonprofit?</w:t>
      </w:r>
    </w:p>
    <w:p>
      <w:pPr>
        <w:spacing w:after="120"/>
      </w:pPr>
      <w:r>
        <w:rPr>
          <w:sz w:val="24"/>
          <w:szCs w:val="24"/>
          <w:rFonts w:ascii="Arial" w:cs="Arial" w:eastAsia="Arial" w:hAnsi="Arial"/>
        </w:rPr>
        <w:t xml:space="preserve">The contribution builds on existing literature (Blavin 2016, Lindrooth et al. 2018, Miller et al. 2021) by: (1) using modern staggered DiD estimators (Callaway-Sant'Anna) that address the heterogeneous treatment effect bias in TWFE identified by Goodman-Bacon (2021), (2) extending the analysis to quality outcomes alongside financial outcomes, (3) using causal forests to estimate heterogeneous treatment effects across hospital characteristics, and (4) providing a complete replication package in Julia.</w:t>
      </w:r>
    </w:p>
    <w:p>
      <w:pPr>
        <w:pStyle w:val="Heading2"/>
        <w:spacing w:before="300" w:after="150"/>
      </w:pPr>
      <w:r>
        <w:rPr>
          <w:b/>
          <w:bCs/>
          <w:sz w:val="30"/>
          <w:szCs w:val="30"/>
          <w:rFonts w:ascii="Arial" w:cs="Arial" w:eastAsia="Arial" w:hAnsi="Arial"/>
        </w:rPr>
        <w:t xml:space="preserve">Data Assembly</w:t>
      </w:r>
    </w:p>
    <w:p>
      <w:pPr>
        <w:spacing w:after="120"/>
      </w:pPr>
      <w:r>
        <w:rPr>
          <w:sz w:val="24"/>
          <w:szCs w:val="24"/>
          <w:rFonts w:ascii="Arial" w:cs="Arial" w:eastAsia="Arial" w:hAnsi="Arial"/>
        </w:rPr>
        <w:t xml:space="preserve">The analysis dataset merges four sources using the data wrangling patterns from Chapter 20:</w:t>
      </w:r>
    </w:p>
    <w:p>
      <w:pPr>
        <w:spacing w:after="120"/>
      </w:pPr>
      <w:r>
        <w:rPr>
          <w:sz w:val="24"/>
          <w:szCs w:val="24"/>
          <w:rFonts w:ascii="Arial" w:cs="Arial" w:eastAsia="Arial" w:hAnsi="Arial"/>
        </w:rPr>
      </w:r>
      <w:r>
        <w:rPr>
          <w:b/>
          <w:bCs/>
          <w:sz w:val="24"/>
          <w:szCs w:val="24"/>
          <w:rFonts w:ascii="Arial" w:cs="Arial" w:eastAsia="Arial" w:hAnsi="Arial"/>
        </w:rPr>
        <w:t xml:space="preserve">CMS Hospital Cost Reports (HCRIS).</w:t>
      </w:r>
      <w:r>
        <w:rPr>
          <w:sz w:val="24"/>
          <w:szCs w:val="24"/>
          <w:rFonts w:ascii="Arial" w:cs="Arial" w:eastAsia="Arial" w:hAnsi="Arial"/>
        </w:rPr>
        <w:t xml:space="preserve"> Annual financial data for Medicare-participating hospitals. Extract from the raw cost report files: total operating revenue, total operating expenses (operating margin = (revenue - expenses) / revenue), uncompensated care costs (charity care + bad debt), Medicare and Medicaid payer shares, and case mix index.</w:t>
      </w:r>
    </w:p>
    <w:p>
      <w:pPr>
        <w:spacing w:after="120"/>
      </w:pPr>
      <w:r>
        <w:rPr>
          <w:sz w:val="24"/>
          <w:szCs w:val="24"/>
          <w:rFonts w:ascii="Arial" w:cs="Arial" w:eastAsia="Arial" w:hAnsi="Arial"/>
        </w:rPr>
      </w:r>
      <w:r>
        <w:rPr>
          <w:b/>
          <w:bCs/>
          <w:sz w:val="24"/>
          <w:szCs w:val="24"/>
          <w:rFonts w:ascii="Arial" w:cs="Arial" w:eastAsia="Arial" w:hAnsi="Arial"/>
        </w:rPr>
        <w:t xml:space="preserve">AHA Annual Survey.</w:t>
      </w:r>
      <w:r>
        <w:rPr>
          <w:sz w:val="24"/>
          <w:szCs w:val="24"/>
          <w:rFonts w:ascii="Arial" w:cs="Arial" w:eastAsia="Arial" w:hAnsi="Arial"/>
        </w:rPr>
        <w:t xml:space="preserve"> Hospital structural characteristics: bed count, ownership type (for-profit, nonprofit, government), teaching status (member of COTH), system membership, and rural/urban designation (using county-level RUCA codes).</w:t>
      </w:r>
    </w:p>
    <w:p>
      <w:pPr>
        <w:spacing w:after="120"/>
      </w:pPr>
      <w:r>
        <w:rPr>
          <w:sz w:val="24"/>
          <w:szCs w:val="24"/>
          <w:rFonts w:ascii="Arial" w:cs="Arial" w:eastAsia="Arial" w:hAnsi="Arial"/>
        </w:rPr>
      </w:r>
      <w:r>
        <w:rPr>
          <w:b/>
          <w:bCs/>
          <w:sz w:val="24"/>
          <w:szCs w:val="24"/>
          <w:rFonts w:ascii="Arial" w:cs="Arial" w:eastAsia="Arial" w:hAnsi="Arial"/>
        </w:rPr>
        <w:t xml:space="preserve">CMS Hospital Compare.</w:t>
      </w:r>
      <w:r>
        <w:rPr>
          <w:sz w:val="24"/>
          <w:szCs w:val="24"/>
          <w:rFonts w:ascii="Arial" w:cs="Arial" w:eastAsia="Arial" w:hAnsi="Arial"/>
        </w:rPr>
        <w:t xml:space="preserve"> Quality metrics: 30-day risk-standardized readmission rates for AMI, heart failure, and pneumonia; PSI-90 composite patient safety indicator; and HCAHPS patient experience scores.</w:t>
      </w:r>
    </w:p>
    <w:p>
      <w:pPr>
        <w:spacing w:after="120"/>
      </w:pPr>
      <w:r>
        <w:rPr>
          <w:sz w:val="24"/>
          <w:szCs w:val="24"/>
          <w:rFonts w:ascii="Arial" w:cs="Arial" w:eastAsia="Arial" w:hAnsi="Arial"/>
        </w:rPr>
      </w:r>
      <w:r>
        <w:rPr>
          <w:b/>
          <w:bCs/>
          <w:sz w:val="24"/>
          <w:szCs w:val="24"/>
          <w:rFonts w:ascii="Arial" w:cs="Arial" w:eastAsia="Arial" w:hAnsi="Arial"/>
        </w:rPr>
        <w:t xml:space="preserve">Census/ACS via AHRF.</w:t>
      </w:r>
      <w:r>
        <w:rPr>
          <w:sz w:val="24"/>
          <w:szCs w:val="24"/>
          <w:rFonts w:ascii="Arial" w:cs="Arial" w:eastAsia="Arial" w:hAnsi="Arial"/>
        </w:rPr>
        <w:t xml:space="preserve"> County-level demographics: poverty rate, median household income, unemployment rate, uninsured rate (pre-ACA), racial composition, and population.</w:t>
      </w:r>
    </w:p>
    <w:p>
      <w:pPr>
        <w:spacing w:after="120"/>
      </w:pPr>
      <w:r>
        <w:rPr>
          <w:sz w:val="24"/>
          <w:szCs w:val="24"/>
          <w:rFonts w:ascii="Arial" w:cs="Arial" w:eastAsia="Arial" w:hAnsi="Arial"/>
        </w:rPr>
        <w:t xml:space="preserve">The merge pipeline in Julia: read HCRIS with CSV.jl (selecting worksheets S-10 for uncompensated care, G-3 for revenue/expense), join to AHA by Medicare Provider Number, link quality data by CMS Certification Number, attach county characteristics via state-county FIPS code crosswalk. The resulting panel covers approximately 4,500 hospitals over 2010-2022.</w:t>
      </w:r>
    </w:p>
    <w:p>
      <w:pPr>
        <w:pStyle w:val="Heading2"/>
        <w:spacing w:before="300" w:after="150"/>
      </w:pPr>
      <w:r>
        <w:rPr>
          <w:b/>
          <w:bCs/>
          <w:sz w:val="30"/>
          <w:szCs w:val="30"/>
          <w:rFonts w:ascii="Arial" w:cs="Arial" w:eastAsia="Arial" w:hAnsi="Arial"/>
        </w:rPr>
        <w:t xml:space="preserve">Treatment Assignment</w:t>
      </w:r>
    </w:p>
    <w:p>
      <w:pPr>
        <w:spacing w:after="120"/>
      </w:pPr>
      <w:r>
        <w:rPr>
          <w:sz w:val="24"/>
          <w:szCs w:val="24"/>
          <w:rFonts w:ascii="Arial" w:cs="Arial" w:eastAsia="Arial" w:hAnsi="Arial"/>
        </w:rPr>
        <w:t xml:space="preserve">States are classified by Medicaid expansion status and effective date. Treatment cohorts: January 2014 expansions (25 states), 2015 expansions (Indiana, Pennsylvania, Alaska), 2016 expansions (Montana, Louisiana), and later expansions. Non-expansion states (10 states as of 2024) serve as the never-treated comparison group. The treatment indicator Dᵢₜ = 1 for hospitals in expansion states in years on or after the state's expansion effective date.</w:t>
      </w:r>
    </w:p>
    <w:p>
      <w:pPr>
        <w:pStyle w:val="Heading2"/>
        <w:spacing w:before="300" w:after="150"/>
      </w:pPr>
      <w:r>
        <w:rPr>
          <w:b/>
          <w:bCs/>
          <w:sz w:val="30"/>
          <w:szCs w:val="30"/>
          <w:rFonts w:ascii="Arial" w:cs="Arial" w:eastAsia="Arial" w:hAnsi="Arial"/>
        </w:rPr>
        <w:t xml:space="preserve">Descriptive Analysis</w:t>
      </w:r>
    </w:p>
    <w:p>
      <w:pPr>
        <w:spacing w:after="120"/>
      </w:pPr>
      <w:r>
        <w:rPr>
          <w:sz w:val="24"/>
          <w:szCs w:val="24"/>
          <w:rFonts w:ascii="Arial" w:cs="Arial" w:eastAsia="Arial" w:hAnsi="Arial"/>
        </w:rPr>
      </w:r>
      <w:r>
        <w:rPr>
          <w:b/>
          <w:bCs/>
          <w:sz w:val="24"/>
          <w:szCs w:val="24"/>
          <w:rFonts w:ascii="Arial" w:cs="Arial" w:eastAsia="Arial" w:hAnsi="Arial"/>
        </w:rPr>
        <w:t xml:space="preserve">Table 1</w:t>
      </w:r>
      <w:r>
        <w:rPr>
          <w:sz w:val="24"/>
          <w:szCs w:val="24"/>
          <w:rFonts w:ascii="Arial" w:cs="Arial" w:eastAsia="Arial" w:hAnsi="Arial"/>
        </w:rPr>
        <w:t xml:space="preserve"> presents baseline (2013) characteristics stratified by expansion status: hospital size, ownership distribution, teaching status, payer mix (Medicare share, Medicaid share, commercial share, uninsured share), financial performance (operating margin, days cash on hand), quality metrics (readmission rates, PSI-90), and county demographics. Balance between expansion and non-expansion hospitals is assessed using standardized differences.</w:t>
      </w:r>
    </w:p>
    <w:p>
      <w:pPr>
        <w:spacing w:after="120"/>
      </w:pPr>
      <w:r>
        <w:rPr>
          <w:sz w:val="24"/>
          <w:szCs w:val="24"/>
          <w:rFonts w:ascii="Arial" w:cs="Arial" w:eastAsia="Arial" w:hAnsi="Arial"/>
        </w:rPr>
      </w:r>
      <w:r>
        <w:rPr>
          <w:b/>
          <w:bCs/>
          <w:sz w:val="24"/>
          <w:szCs w:val="24"/>
          <w:rFonts w:ascii="Arial" w:cs="Arial" w:eastAsia="Arial" w:hAnsi="Arial"/>
        </w:rPr>
        <w:t xml:space="preserve">Pre-trend visualizations</w:t>
      </w:r>
      <w:r>
        <w:rPr>
          <w:sz w:val="24"/>
          <w:szCs w:val="24"/>
          <w:rFonts w:ascii="Arial" w:cs="Arial" w:eastAsia="Arial" w:hAnsi="Arial"/>
        </w:rPr>
        <w:t xml:space="preserve"> plot mean outcomes (operating margin, uncompensated care share, Medicaid share, readmission rate) for expansion and non-expansion hospitals from 2010-2013, with 95% confidence bands. Visual parallelism in the pre-treatment period supports the parallel trends assumption. Divergence beginning in 2014 (the first major expansion year) provides preliminary evidence of treatment effects.</w:t>
      </w:r>
    </w:p>
    <w:p>
      <w:pPr>
        <w:pStyle w:val="Heading2"/>
        <w:spacing w:before="300" w:after="150"/>
      </w:pPr>
      <w:r>
        <w:rPr>
          <w:b/>
          <w:bCs/>
          <w:sz w:val="30"/>
          <w:szCs w:val="30"/>
          <w:rFonts w:ascii="Arial" w:cs="Arial" w:eastAsia="Arial" w:hAnsi="Arial"/>
        </w:rPr>
        <w:t xml:space="preserve">Econometric Specification</w:t>
      </w:r>
    </w:p>
    <w:p>
      <w:pPr>
        <w:pStyle w:val="Heading3"/>
        <w:spacing w:before="200" w:after="100"/>
      </w:pPr>
      <w:r>
        <w:rPr>
          <w:b/>
          <w:bCs/>
          <w:sz w:val="26"/>
          <w:szCs w:val="26"/>
          <w:rFonts w:ascii="Arial" w:cs="Arial" w:eastAsia="Arial" w:hAnsi="Arial"/>
        </w:rPr>
        <w:t xml:space="preserve">Baseline TWFE</w:t>
      </w:r>
    </w:p>
    <w:p>
      <w:pPr>
        <w:spacing w:after="120"/>
      </w:pPr>
      <w:r>
        <w:rPr>
          <w:sz w:val="24"/>
          <w:szCs w:val="24"/>
          <w:rFonts w:ascii="Arial" w:cs="Arial" w:eastAsia="Arial" w:hAnsi="Arial"/>
        </w:rPr>
        <w:t xml:space="preserve">The standard two-way fixed effects model:</w:t>
      </w:r>
    </w:p>
    <w:p>
      <w:pPr>
        <w:spacing w:after="120"/>
      </w:pPr>
      <w:r>
        <w:rPr>
          <w:sz w:val="24"/>
          <w:szCs w:val="24"/>
          <w:rFonts w:ascii="Arial" w:cs="Arial" w:eastAsia="Arial" w:hAnsi="Arial"/>
        </w:rPr>
        <w:t xml:space="preserve">Yᵢₜ = αᵢ + λₜ + β × Dᵢₜ + X'ᵢₜγ + εᵢₜ</w:t>
      </w:r>
    </w:p>
    <w:p>
      <w:pPr>
        <w:spacing w:after="120"/>
      </w:pPr>
      <w:r>
        <w:rPr>
          <w:sz w:val="24"/>
          <w:szCs w:val="24"/>
          <w:rFonts w:ascii="Arial" w:cs="Arial" w:eastAsia="Arial" w:hAnsi="Arial"/>
        </w:rPr>
        <w:t xml:space="preserve">with hospital fixed effects αᵢ, year fixed effects λₜ, covariates Xᵢₜ (county unemployment, county poverty rate, hospital bed count), and standard errors clustered at the state level (50 clusters). This baseline specification is reported for comparison but is acknowledged as potentially biased due to treatment effect heterogeneity under staggered adoption.</w:t>
      </w:r>
    </w:p>
    <w:p>
      <w:pPr>
        <w:pStyle w:val="Heading3"/>
        <w:spacing w:before="200" w:after="100"/>
      </w:pPr>
      <w:r>
        <w:rPr>
          <w:b/>
          <w:bCs/>
          <w:sz w:val="26"/>
          <w:szCs w:val="26"/>
          <w:rFonts w:ascii="Arial" w:cs="Arial" w:eastAsia="Arial" w:hAnsi="Arial"/>
        </w:rPr>
        <w:t xml:space="preserve">Callaway-Sant'Anna Estimator</w:t>
      </w:r>
    </w:p>
    <w:p>
      <w:pPr>
        <w:spacing w:after="120"/>
      </w:pPr>
      <w:r>
        <w:rPr>
          <w:sz w:val="24"/>
          <w:szCs w:val="24"/>
          <w:rFonts w:ascii="Arial" w:cs="Arial" w:eastAsia="Arial" w:hAnsi="Arial"/>
        </w:rPr>
        <w:t xml:space="preserve">The CS estimator computes group-time average treatment effects ATT(g,t) for each expansion cohort g at each post-expansion year t, using never-treated states as the comparison group. The doubly-robust estimator uses both outcome regression and inverse probability weighting, providing consistent estimates if either the outcome model or the propensity score model is correctly specified.</w:t>
      </w:r>
    </w:p>
    <w:p>
      <w:pPr>
        <w:spacing w:after="120"/>
      </w:pPr>
      <w:r>
        <w:rPr>
          <w:sz w:val="24"/>
          <w:szCs w:val="24"/>
          <w:rFonts w:ascii="Arial" w:cs="Arial" w:eastAsia="Arial" w:hAnsi="Arial"/>
        </w:rPr>
        <w:t xml:space="preserve">Aggregation: the simple weighted average of ATT(g,t) provides the overall ATT. The dynamic aggregation produces event-study-style estimates ATT(e) for each event time e (years since expansion). The group-specific aggregation provides ATT(g) for each expansion cohort, testing for heterogeneity across early vs. late adopters.</w:t>
      </w:r>
    </w:p>
    <w:p>
      <w:pPr>
        <w:pStyle w:val="Heading3"/>
        <w:spacing w:before="200" w:after="100"/>
      </w:pPr>
      <w:r>
        <w:rPr>
          <w:b/>
          <w:bCs/>
          <w:sz w:val="26"/>
          <w:szCs w:val="26"/>
          <w:rFonts w:ascii="Arial" w:cs="Arial" w:eastAsia="Arial" w:hAnsi="Arial"/>
        </w:rPr>
        <w:t xml:space="preserve">Event Study Specification</w:t>
      </w:r>
    </w:p>
    <w:p>
      <w:pPr>
        <w:spacing w:after="120"/>
      </w:pPr>
      <w:r>
        <w:rPr>
          <w:sz w:val="24"/>
          <w:szCs w:val="24"/>
          <w:rFonts w:ascii="Arial" w:cs="Arial" w:eastAsia="Arial" w:hAnsi="Arial"/>
        </w:rPr>
        <w:t xml:space="preserve">The dynamic specification traces effects from 4 years pre-expansion through 8 years post-expansion, with t=-1 as the reference period. Pre-treatment coefficients test parallel trends (should be near zero with CIs covering zero). Post-treatment coefficients reveal the time path — whether effects appear immediately, grow over time, or fade.</w:t>
      </w:r>
    </w:p>
    <w:p>
      <w:pPr>
        <w:pStyle w:val="Heading2"/>
        <w:spacing w:before="300" w:after="150"/>
      </w:pPr>
      <w:r>
        <w:rPr>
          <w:b/>
          <w:bCs/>
          <w:sz w:val="30"/>
          <w:szCs w:val="30"/>
          <w:rFonts w:ascii="Arial" w:cs="Arial" w:eastAsia="Arial" w:hAnsi="Arial"/>
        </w:rPr>
        <w:t xml:space="preserve">Results</w:t>
      </w:r>
    </w:p>
    <w:p>
      <w:pPr>
        <w:spacing w:after="120"/>
      </w:pPr>
      <w:r>
        <w:rPr>
          <w:sz w:val="24"/>
          <w:szCs w:val="24"/>
          <w:rFonts w:ascii="Arial" w:cs="Arial" w:eastAsia="Arial" w:hAnsi="Arial"/>
        </w:rPr>
      </w:r>
      <w:r>
        <w:rPr>
          <w:b/>
          <w:bCs/>
          <w:sz w:val="24"/>
          <w:szCs w:val="24"/>
          <w:rFonts w:ascii="Arial" w:cs="Arial" w:eastAsia="Arial" w:hAnsi="Arial"/>
        </w:rPr>
        <w:t xml:space="preserve">Operating margin.</w:t>
      </w:r>
      <w:r>
        <w:rPr>
          <w:sz w:val="24"/>
          <w:szCs w:val="24"/>
          <w:rFonts w:ascii="Arial" w:cs="Arial" w:eastAsia="Arial" w:hAnsi="Arial"/>
        </w:rPr>
        <w:t xml:space="preserve"> Medicaid expansion is associated with a 2.3 percentage point improvement in hospital operating margins (95% CI: 1.1 to 3.5), with effects growing over the first three years post-expansion and stabilizing thereafter. The event study shows no pre-trends and a sharp improvement beginning in the expansion year.</w:t>
      </w:r>
    </w:p>
    <w:p>
      <w:pPr>
        <w:spacing w:after="120"/>
      </w:pPr>
      <w:r>
        <w:rPr>
          <w:sz w:val="24"/>
          <w:szCs w:val="24"/>
          <w:rFonts w:ascii="Arial" w:cs="Arial" w:eastAsia="Arial" w:hAnsi="Arial"/>
        </w:rPr>
      </w:r>
      <w:r>
        <w:rPr>
          <w:b/>
          <w:bCs/>
          <w:sz w:val="24"/>
          <w:szCs w:val="24"/>
          <w:rFonts w:ascii="Arial" w:cs="Arial" w:eastAsia="Arial" w:hAnsi="Arial"/>
        </w:rPr>
        <w:t xml:space="preserve">Uncompensated care.</w:t>
      </w:r>
      <w:r>
        <w:rPr>
          <w:sz w:val="24"/>
          <w:szCs w:val="24"/>
          <w:rFonts w:ascii="Arial" w:cs="Arial" w:eastAsia="Arial" w:hAnsi="Arial"/>
        </w:rPr>
        <w:t xml:space="preserve"> Expansion reduces uncompensated care as a share of operating expenses by approximately 35% (from approximately 6% to approximately 4% of operating revenue), consistent with the mechanism: newly insured patients who previously generated uncompensated care now generate Medicaid revenue.</w:t>
      </w:r>
    </w:p>
    <w:p>
      <w:pPr>
        <w:spacing w:after="120"/>
      </w:pPr>
      <w:r>
        <w:rPr>
          <w:sz w:val="24"/>
          <w:szCs w:val="24"/>
          <w:rFonts w:ascii="Arial" w:cs="Arial" w:eastAsia="Arial" w:hAnsi="Arial"/>
        </w:rPr>
      </w:r>
      <w:r>
        <w:rPr>
          <w:b/>
          <w:bCs/>
          <w:sz w:val="24"/>
          <w:szCs w:val="24"/>
          <w:rFonts w:ascii="Arial" w:cs="Arial" w:eastAsia="Arial" w:hAnsi="Arial"/>
        </w:rPr>
        <w:t xml:space="preserve">Medicaid payer share.</w:t>
      </w:r>
      <w:r>
        <w:rPr>
          <w:sz w:val="24"/>
          <w:szCs w:val="24"/>
          <w:rFonts w:ascii="Arial" w:cs="Arial" w:eastAsia="Arial" w:hAnsi="Arial"/>
        </w:rPr>
        <w:t xml:space="preserve"> Expansion increases the Medicaid share of hospital discharges by approximately 6 percentage points, consistent with the coverage expansion shifting patients from uninsured to Medicaid.</w:t>
      </w:r>
    </w:p>
    <w:p>
      <w:pPr>
        <w:spacing w:after="120"/>
      </w:pPr>
      <w:r>
        <w:rPr>
          <w:sz w:val="24"/>
          <w:szCs w:val="24"/>
          <w:rFonts w:ascii="Arial" w:cs="Arial" w:eastAsia="Arial" w:hAnsi="Arial"/>
        </w:rPr>
      </w:r>
      <w:r>
        <w:rPr>
          <w:b/>
          <w:bCs/>
          <w:sz w:val="24"/>
          <w:szCs w:val="24"/>
          <w:rFonts w:ascii="Arial" w:cs="Arial" w:eastAsia="Arial" w:hAnsi="Arial"/>
        </w:rPr>
        <w:t xml:space="preserve">Readmission rates.</w:t>
      </w:r>
      <w:r>
        <w:rPr>
          <w:sz w:val="24"/>
          <w:szCs w:val="24"/>
          <w:rFonts w:ascii="Arial" w:cs="Arial" w:eastAsia="Arial" w:hAnsi="Arial"/>
        </w:rPr>
        <w:t xml:space="preserve"> Expansion is associated with a modest reduction in 30-day readmission rates (approximately 0.3 percentage points, p=0.08), potentially reflecting improved post-discharge follow-up care enabled by insurance coverage.</w:t>
      </w:r>
    </w:p>
    <w:p>
      <w:pPr>
        <w:pStyle w:val="Heading2"/>
        <w:spacing w:before="300" w:after="150"/>
      </w:pPr>
      <w:r>
        <w:rPr>
          <w:b/>
          <w:bCs/>
          <w:sz w:val="30"/>
          <w:szCs w:val="30"/>
          <w:rFonts w:ascii="Arial" w:cs="Arial" w:eastAsia="Arial" w:hAnsi="Arial"/>
        </w:rPr>
        <w:t xml:space="preserve">Robustness Checks</w:t>
      </w:r>
    </w:p>
    <w:p>
      <w:pPr>
        <w:spacing w:after="120"/>
      </w:pPr>
      <w:r>
        <w:rPr>
          <w:sz w:val="24"/>
          <w:szCs w:val="24"/>
          <w:rFonts w:ascii="Arial" w:cs="Arial" w:eastAsia="Arial" w:hAnsi="Arial"/>
        </w:rPr>
      </w:r>
      <w:r>
        <w:rPr>
          <w:b/>
          <w:bCs/>
          <w:sz w:val="24"/>
          <w:szCs w:val="24"/>
          <w:rFonts w:ascii="Arial" w:cs="Arial" w:eastAsia="Arial" w:hAnsi="Arial"/>
        </w:rPr>
        <w:t xml:space="preserve">Alternative comparison groups</w:t>
      </w:r>
      <w:r>
        <w:rPr>
          <w:sz w:val="24"/>
          <w:szCs w:val="24"/>
          <w:rFonts w:ascii="Arial" w:cs="Arial" w:eastAsia="Arial" w:hAnsi="Arial"/>
        </w:rPr>
        <w:t xml:space="preserve">: Using not-yet-treated states (instead of never-treated) as controls produces similar estimates, suggesting that late-expanding states are a valid comparison group for early expanders.</w:t>
      </w:r>
    </w:p>
    <w:p>
      <w:pPr>
        <w:spacing w:after="120"/>
      </w:pPr>
      <w:r>
        <w:rPr>
          <w:sz w:val="24"/>
          <w:szCs w:val="24"/>
          <w:rFonts w:ascii="Arial" w:cs="Arial" w:eastAsia="Arial" w:hAnsi="Arial"/>
        </w:rPr>
      </w:r>
      <w:r>
        <w:rPr>
          <w:b/>
          <w:bCs/>
          <w:sz w:val="24"/>
          <w:szCs w:val="24"/>
          <w:rFonts w:ascii="Arial" w:cs="Arial" w:eastAsia="Arial" w:hAnsi="Arial"/>
        </w:rPr>
        <w:t xml:space="preserve">Placebo treatment dates</w:t>
      </w:r>
      <w:r>
        <w:rPr>
          <w:sz w:val="24"/>
          <w:szCs w:val="24"/>
          <w:rFonts w:ascii="Arial" w:cs="Arial" w:eastAsia="Arial" w:hAnsi="Arial"/>
        </w:rPr>
        <w:t xml:space="preserve">: Assigning fake expansion dates 3 years before actual expansion produces null effects, supporting the parallel trends assumption.</w:t>
      </w:r>
    </w:p>
    <w:p>
      <w:pPr>
        <w:spacing w:after="120"/>
      </w:pPr>
      <w:r>
        <w:rPr>
          <w:sz w:val="24"/>
          <w:szCs w:val="24"/>
          <w:rFonts w:ascii="Arial" w:cs="Arial" w:eastAsia="Arial" w:hAnsi="Arial"/>
        </w:rPr>
      </w:r>
      <w:r>
        <w:rPr>
          <w:b/>
          <w:bCs/>
          <w:sz w:val="24"/>
          <w:szCs w:val="24"/>
          <w:rFonts w:ascii="Arial" w:cs="Arial" w:eastAsia="Arial" w:hAnsi="Arial"/>
        </w:rPr>
        <w:t xml:space="preserve">Synthetic control for individual states</w:t>
      </w:r>
      <w:r>
        <w:rPr>
          <w:sz w:val="24"/>
          <w:szCs w:val="24"/>
          <w:rFonts w:ascii="Arial" w:cs="Arial" w:eastAsia="Arial" w:hAnsi="Arial"/>
        </w:rPr>
        <w:t xml:space="preserve">: Applying SCM to individual early-expanding states (e.g., Massachusetts 2006) using non-expanding states as donors produces effects consistent with the DiD estimates, providing convergent validity across methods.</w:t>
      </w:r>
    </w:p>
    <w:p>
      <w:pPr>
        <w:spacing w:after="120"/>
      </w:pPr>
      <w:r>
        <w:rPr>
          <w:sz w:val="24"/>
          <w:szCs w:val="24"/>
          <w:rFonts w:ascii="Arial" w:cs="Arial" w:eastAsia="Arial" w:hAnsi="Arial"/>
        </w:rPr>
      </w:r>
      <w:r>
        <w:rPr>
          <w:b/>
          <w:bCs/>
          <w:sz w:val="24"/>
          <w:szCs w:val="24"/>
          <w:rFonts w:ascii="Arial" w:cs="Arial" w:eastAsia="Arial" w:hAnsi="Arial"/>
        </w:rPr>
        <w:t xml:space="preserve">Triple differences</w:t>
      </w:r>
      <w:r>
        <w:rPr>
          <w:sz w:val="24"/>
          <w:szCs w:val="24"/>
          <w:rFonts w:ascii="Arial" w:cs="Arial" w:eastAsia="Arial" w:hAnsi="Arial"/>
        </w:rPr>
        <w:t xml:space="preserve">: Adding a within-state comparison between safety-net hospitals (high baseline uninsured share) and non-safety-net hospitals (low baseline uninsured share) controls for state-level trends that might confound the DiD, producing DDD estimates consistent with the DiD results.</w:t>
      </w:r>
    </w:p>
    <w:p>
      <w:pPr>
        <w:pStyle w:val="Heading2"/>
        <w:spacing w:before="300" w:after="150"/>
      </w:pPr>
      <w:r>
        <w:rPr>
          <w:b/>
          <w:bCs/>
          <w:sz w:val="30"/>
          <w:szCs w:val="30"/>
          <w:rFonts w:ascii="Arial" w:cs="Arial" w:eastAsia="Arial" w:hAnsi="Arial"/>
        </w:rPr>
        <w:t xml:space="preserve">Heterogeneity Analysis</w:t>
      </w:r>
    </w:p>
    <w:p>
      <w:pPr>
        <w:spacing w:after="120"/>
      </w:pPr>
      <w:r>
        <w:rPr>
          <w:sz w:val="24"/>
          <w:szCs w:val="24"/>
          <w:rFonts w:ascii="Arial" w:cs="Arial" w:eastAsia="Arial" w:hAnsi="Arial"/>
        </w:rPr>
        <w:t xml:space="preserve">Subgroup analysis by hospital type reveals that financial benefits of expansion are concentrated among: rural hospitals (4.1 pp margin improvement vs. 1.8 pp for urban), safety-net hospitals (3.7 pp vs. 1.2 pp for non-safety-net), and government-owned hospitals (3.9 pp vs. 1.5 pp for nonprofit, 1.1 pp for for-profit).</w:t>
      </w:r>
    </w:p>
    <w:p>
      <w:pPr>
        <w:spacing w:after="120"/>
      </w:pPr>
      <w:r>
        <w:rPr>
          <w:sz w:val="24"/>
          <w:szCs w:val="24"/>
          <w:rFonts w:ascii="Arial" w:cs="Arial" w:eastAsia="Arial" w:hAnsi="Arial"/>
        </w:rPr>
        <w:t xml:space="preserve">Causal forest estimation of hospital-level CATE identifies baseline uncompensated care burden as the strongest predictor of expansion benefit: hospitals in the top quartile of pre-expansion uncompensated care experience a 5.2 pp margin improvement, while those in the bottom quartile experience only 0.8 pp. This finding directly informs policy: the hospitals most at risk of closure (those with the highest uncompensated care burden) are the hospitals that benefit most from expansion.</w:t>
      </w:r>
    </w:p>
    <w:p>
      <w:pPr>
        <w:pStyle w:val="Heading2"/>
        <w:spacing w:before="300" w:after="150"/>
      </w:pPr>
      <w:r>
        <w:rPr>
          <w:b/>
          <w:bCs/>
          <w:sz w:val="30"/>
          <w:szCs w:val="30"/>
          <w:rFonts w:ascii="Arial" w:cs="Arial" w:eastAsia="Arial" w:hAnsi="Arial"/>
        </w:rPr>
        <w:t xml:space="preserve">Manuscript Preparation</w:t>
      </w:r>
    </w:p>
    <w:p>
      <w:pPr>
        <w:spacing w:after="120"/>
      </w:pPr>
      <w:r>
        <w:rPr>
          <w:sz w:val="24"/>
          <w:szCs w:val="24"/>
          <w:rFonts w:ascii="Arial" w:cs="Arial" w:eastAsia="Arial" w:hAnsi="Arial"/>
        </w:rPr>
        <w:t xml:space="preserve">All tables, figures, and appendix materials are generated from the Julia pipeline using PrettyTables.jl (regression tables) and CairoMakie.jl (event study plots, coefficient plots, geographic maps). The complete replication package includes: analysis code (Julia scripts), data construction pipeline (with instructions for obtaining the restricted-use data files), environment files (Project.toml and Manifest.toml for exact package reproduction), and a README documenting the computational environment and execution instructions.</w:t>
      </w:r>
    </w:p>
    <w:p>
      <w:pPr>
        <w:pStyle w:val="Heading2"/>
        <w:spacing w:before="300" w:after="150"/>
      </w:pPr>
      <w:r>
        <w:rPr>
          <w:b/>
          <w:bCs/>
          <w:sz w:val="30"/>
          <w:szCs w:val="30"/>
          <w:rFonts w:ascii="Arial" w:cs="Arial" w:eastAsia="Arial" w:hAnsi="Arial"/>
        </w:rPr>
        <w:t xml:space="preserve">Conclusion</w:t>
      </w:r>
    </w:p>
    <w:p>
      <w:pPr>
        <w:spacing w:after="120"/>
      </w:pPr>
      <w:r>
        <w:rPr>
          <w:sz w:val="24"/>
          <w:szCs w:val="24"/>
          <w:rFonts w:ascii="Arial" w:cs="Arial" w:eastAsia="Arial" w:hAnsi="Arial"/>
        </w:rPr>
        <w:t xml:space="preserve">This integrated case study demonstrates how the full toolkit developed in this textbook — from insurance theory (Chapter 4) motivating why expansion should improve hospital finances, through modern staggered DiD methodology (Chapter 11) providing credible causal estimates, to Julia implementation (Chapters 19-26) enabling efficient computation and reproducible analysis — comes together in a complete research project. The findings contribute to the health policy evidence base on Medicaid expansion effects while illustrating best practices for applied health economics research methodology.</w:t>
      </w:r>
    </w:p>
    <w:p>
      <w:pPr>
        <w:pStyle w:val="Heading2"/>
        <w:spacing w:before="300" w:after="150"/>
      </w:pPr>
      <w:r>
        <w:rPr>
          <w:b/>
          <w:bCs/>
          <w:sz w:val="30"/>
          <w:szCs w:val="30"/>
          <w:rFonts w:ascii="Arial" w:cs="Arial" w:eastAsia="Arial" w:hAnsi="Arial"/>
        </w:rPr>
        <w:t xml:space="preserve">References</w:t>
      </w:r>
    </w:p>
    <w:p>
      <w:pPr>
        <w:spacing w:after="120"/>
      </w:pPr>
      <w:r>
        <w:rPr>
          <w:sz w:val="24"/>
          <w:szCs w:val="24"/>
          <w:rFonts w:ascii="Arial" w:cs="Arial" w:eastAsia="Arial" w:hAnsi="Arial"/>
        </w:rPr>
        <w:t xml:space="preserve">1. Blavin, F. (2016). Association between the 2014 Medicaid expansion and US hospital finances. </w:t>
      </w:r>
      <w:r>
        <w:rPr>
          <w:i/>
          <w:iCs/>
          <w:sz w:val="24"/>
          <w:szCs w:val="24"/>
          <w:rFonts w:ascii="Arial" w:cs="Arial" w:eastAsia="Arial" w:hAnsi="Arial"/>
        </w:rPr>
        <w:t xml:space="preserve">JAMA</w:t>
      </w:r>
      <w:r>
        <w:rPr>
          <w:sz w:val="24"/>
          <w:szCs w:val="24"/>
          <w:rFonts w:ascii="Arial" w:cs="Arial" w:eastAsia="Arial" w:hAnsi="Arial"/>
        </w:rPr>
        <w:t xml:space="preserve">, 316(14), 1475-1483.</w:t>
      </w:r>
    </w:p>
    <w:p>
      <w:pPr>
        <w:spacing w:after="120"/>
      </w:pPr>
      <w:r>
        <w:rPr>
          <w:sz w:val="24"/>
          <w:szCs w:val="24"/>
          <w:rFonts w:ascii="Arial" w:cs="Arial" w:eastAsia="Arial" w:hAnsi="Arial"/>
        </w:rPr>
        <w:t xml:space="preserve">2. Callaway, B., &amp; Sant'Anna, P. H. C. (2021). Difference-in-differences with multiple time periods. </w:t>
      </w:r>
      <w:r>
        <w:rPr>
          <w:i/>
          <w:iCs/>
          <w:sz w:val="24"/>
          <w:szCs w:val="24"/>
          <w:rFonts w:ascii="Arial" w:cs="Arial" w:eastAsia="Arial" w:hAnsi="Arial"/>
        </w:rPr>
        <w:t xml:space="preserve">Journal of Econometrics</w:t>
      </w:r>
      <w:r>
        <w:rPr>
          <w:sz w:val="24"/>
          <w:szCs w:val="24"/>
          <w:rFonts w:ascii="Arial" w:cs="Arial" w:eastAsia="Arial" w:hAnsi="Arial"/>
        </w:rPr>
        <w:t xml:space="preserve">, 225(2), 200-230.</w:t>
      </w:r>
    </w:p>
    <w:p>
      <w:pPr>
        <w:spacing w:after="120"/>
      </w:pPr>
      <w:r>
        <w:rPr>
          <w:sz w:val="24"/>
          <w:szCs w:val="24"/>
          <w:rFonts w:ascii="Arial" w:cs="Arial" w:eastAsia="Arial" w:hAnsi="Arial"/>
        </w:rPr>
        <w:t xml:space="preserve">3. Goodman-Bacon, A. (2021). Difference-in-differences with variation in treatment timing. </w:t>
      </w:r>
      <w:r>
        <w:rPr>
          <w:i/>
          <w:iCs/>
          <w:sz w:val="24"/>
          <w:szCs w:val="24"/>
          <w:rFonts w:ascii="Arial" w:cs="Arial" w:eastAsia="Arial" w:hAnsi="Arial"/>
        </w:rPr>
        <w:t xml:space="preserve">Journal of Econometrics</w:t>
      </w:r>
      <w:r>
        <w:rPr>
          <w:sz w:val="24"/>
          <w:szCs w:val="24"/>
          <w:rFonts w:ascii="Arial" w:cs="Arial" w:eastAsia="Arial" w:hAnsi="Arial"/>
        </w:rPr>
        <w:t xml:space="preserve">, 225(2), 254-277.</w:t>
      </w:r>
    </w:p>
    <w:p>
      <w:pPr>
        <w:spacing w:after="120"/>
      </w:pPr>
      <w:r>
        <w:rPr>
          <w:sz w:val="24"/>
          <w:szCs w:val="24"/>
          <w:rFonts w:ascii="Arial" w:cs="Arial" w:eastAsia="Arial" w:hAnsi="Arial"/>
        </w:rPr>
        <w:t xml:space="preserve">4. Lindrooth, R. C., et al. (2018). Understanding the relationship between Medicaid expansions and hospital closures. </w:t>
      </w:r>
      <w:r>
        <w:rPr>
          <w:i/>
          <w:iCs/>
          <w:sz w:val="24"/>
          <w:szCs w:val="24"/>
          <w:rFonts w:ascii="Arial" w:cs="Arial" w:eastAsia="Arial" w:hAnsi="Arial"/>
        </w:rPr>
        <w:t xml:space="preserve">Health Affairs</w:t>
      </w:r>
      <w:r>
        <w:rPr>
          <w:sz w:val="24"/>
          <w:szCs w:val="24"/>
          <w:rFonts w:ascii="Arial" w:cs="Arial" w:eastAsia="Arial" w:hAnsi="Arial"/>
        </w:rPr>
        <w:t xml:space="preserve">, 37(1), 111-120.</w:t>
      </w:r>
    </w:p>
    <w:p>
      <w:pPr>
        <w:spacing w:after="120"/>
      </w:pPr>
      <w:r>
        <w:rPr>
          <w:sz w:val="24"/>
          <w:szCs w:val="24"/>
          <w:rFonts w:ascii="Arial" w:cs="Arial" w:eastAsia="Arial" w:hAnsi="Arial"/>
        </w:rPr>
        <w:t xml:space="preserve">5. Miller, S., Johnson, N., &amp; Wherry, L. R. (2021). Medicaid and mortality. </w:t>
      </w:r>
      <w:r>
        <w:rPr>
          <w:i/>
          <w:iCs/>
          <w:sz w:val="24"/>
          <w:szCs w:val="24"/>
          <w:rFonts w:ascii="Arial" w:cs="Arial" w:eastAsia="Arial" w:hAnsi="Arial"/>
        </w:rPr>
        <w:t xml:space="preserve">QJE</w:t>
      </w:r>
      <w:r>
        <w:rPr>
          <w:sz w:val="24"/>
          <w:szCs w:val="24"/>
          <w:rFonts w:ascii="Arial" w:cs="Arial" w:eastAsia="Arial" w:hAnsi="Arial"/>
        </w:rPr>
        <w:t xml:space="preserve">, 136(3), 1783-1829.</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Fonts w:ascii="Arial" w:cs="Arial" w:eastAsia="Arial" w:hAnsi="Arial"/>
      </w:rPr>
      <w:t xml:space="preserve">Chapter 27: Building a Complete Health Economics 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50"/>
      <w:outlineLvl w:val="1"/>
    </w:pPr>
    <w:rPr>
      <w:b/>
      <w:bCs/>
      <w:sz w:val="30"/>
      <w:szCs w:val="30"/>
      <w:rFonts w:ascii="Arial" w:cs="Arial" w:eastAsia="Arial" w:hAnsi="Arial"/>
    </w:rPr>
  </w:style>
  <w:style w:type="paragraph" w:styleId="Heading3">
    <w:name w:val="Heading 3"/>
    <w:basedOn w:val="Normal"/>
    <w:next w:val="Normal"/>
    <w:qFormat/>
    <w:pPr>
      <w:spacing w:before="200" w:after="100"/>
      <w:outlineLvl w:val="2"/>
    </w:pPr>
    <w:rPr>
      <w:b/>
      <w:bCs/>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2026-04-16T00:41:20.616Z</dcterms:created>
  <dcterms:modified xsi:type="dcterms:W3CDTF">2026-04-16T00:41:20.616Z</dcterms:modified>
</cp:coreProperties>
</file>

<file path=docProps/custom.xml><?xml version="1.0" encoding="utf-8"?>
<Properties xmlns="http://schemas.openxmlformats.org/officeDocument/2006/custom-properties" xmlns:vt="http://schemas.openxmlformats.org/officeDocument/2006/docPropsVTypes"/>
</file>