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30</w:t>
      </w:r>
    </w:p>
    <w:p>
      <w:pPr>
        <w:jc w:val="center"/>
      </w:pPr>
      <w:r>
        <w:rPr>
          <w:i/>
          <w:iCs/>
          <w:sz w:val="32"/>
          <w:szCs w:val="32"/>
          <w:rFonts w:ascii="Arial" w:cs="Arial" w:eastAsia="Arial" w:hAnsi="Arial"/>
        </w:rPr>
        <w:t xml:space="preserve">The Future of Health Economics: Emerging Methods and Frontiers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 economics is a field in continuous methodological evolution, driven by new data sources, new computational capabilities, new policy experiments, and new theoretical insights. This concluding chapter surveys the emerging frontiers — the methods, questions, and applications that will shape the field over the coming decade. Each frontier is discussed with reference to the foundational methods developed in this textbook, key references for further reading, open research questions, and opportunities for Julia-based implementation.</w:t>
      </w:r>
    </w:p>
    <w:p>
      <w:pPr>
        <w:pStyle w:val="Heading2"/>
        <w:spacing w:before="300" w:after="150"/>
      </w:pPr>
      <w:r>
        <w:rPr>
          <w:b/>
          <w:bCs/>
          <w:sz w:val="30"/>
          <w:szCs w:val="30"/>
          <w:rFonts w:ascii="Arial" w:cs="Arial" w:eastAsia="Arial" w:hAnsi="Arial"/>
        </w:rPr>
        <w:t xml:space="preserve">Large Language Models and NLP for Health Economics</w:t>
      </w:r>
    </w:p>
    <w:p>
      <w:pPr>
        <w:spacing w:after="120"/>
      </w:pPr>
      <w:r>
        <w:rPr>
          <w:sz w:val="24"/>
          <w:szCs w:val="24"/>
          <w:rFonts w:ascii="Arial" w:cs="Arial" w:eastAsia="Arial" w:hAnsi="Arial"/>
        </w:rPr>
        <w:t xml:space="preserve">Natural language processing applied to clinical text — physician notes, radiology reports, pathology results, discharge summaries — represents a transformative data frontier. Structured claims data capture diagnoses and procedures but miss the nuance of clinical reasoning, disease severity gradations, social determinants of health, and treatment rationale that physicians document in free-text notes.</w:t>
      </w:r>
    </w:p>
    <w:p>
      <w:pPr>
        <w:spacing w:after="120"/>
      </w:pPr>
      <w:r>
        <w:rPr>
          <w:sz w:val="24"/>
          <w:szCs w:val="24"/>
          <w:rFonts w:ascii="Arial" w:cs="Arial" w:eastAsia="Arial" w:hAnsi="Arial"/>
        </w:rPr>
        <w:t xml:space="preserve">LLMs can extract structured information from unstructured clinical text at scale: identifying adverse events that are documented in notes but not coded in diagnosis fields, measuring disease severity from the language of clinical assessments, classifying treatment intent (curative vs. palliative) from oncology notes, and detecting social determinants of health (housing instability, food insecurity, substance use) from social work notes. These NLP-derived variables can serve as covariates in health economics analyses, improving risk adjustment and reducing omitted variable bias.</w:t>
      </w:r>
    </w:p>
    <w:p>
      <w:pPr>
        <w:spacing w:after="120"/>
      </w:pPr>
      <w:r>
        <w:rPr>
          <w:sz w:val="24"/>
          <w:szCs w:val="24"/>
          <w:rFonts w:ascii="Arial" w:cs="Arial" w:eastAsia="Arial" w:hAnsi="Arial"/>
        </w:rPr>
        <w:t xml:space="preserve">Health economics applications include: automated validation of claims-based algorithms (comparing claims-based condition identification to NLP-based identification from notes), systematic review automation (screening thousands of abstracts for inclusion using LLM classification), and sentiment analysis of patient experience narratives (extracting quality signals from unstructured HCAHPS comments).</w:t>
      </w:r>
    </w:p>
    <w:p>
      <w:pPr>
        <w:pStyle w:val="Heading2"/>
        <w:spacing w:before="300" w:after="150"/>
      </w:pPr>
      <w:r>
        <w:rPr>
          <w:b/>
          <w:bCs/>
          <w:sz w:val="30"/>
          <w:szCs w:val="30"/>
          <w:rFonts w:ascii="Arial" w:cs="Arial" w:eastAsia="Arial" w:hAnsi="Arial"/>
        </w:rPr>
        <w:t xml:space="preserve">Causal Inference Frontiers</w:t>
      </w:r>
    </w:p>
    <w:p>
      <w:pPr>
        <w:spacing w:after="120"/>
      </w:pPr>
      <w:r>
        <w:rPr>
          <w:sz w:val="24"/>
          <w:szCs w:val="24"/>
          <w:rFonts w:ascii="Arial" w:cs="Arial" w:eastAsia="Arial" w:hAnsi="Arial"/>
        </w:rPr>
        <w:t xml:space="preserve">The causal inference revolution that has transformed health economics over the past two decades continues to advance. Key frontier methods include:</w:t>
      </w:r>
    </w:p>
    <w:p>
      <w:pPr>
        <w:spacing w:after="120"/>
      </w:pPr>
      <w:r>
        <w:rPr>
          <w:sz w:val="24"/>
          <w:szCs w:val="24"/>
          <w:rFonts w:ascii="Arial" w:cs="Arial" w:eastAsia="Arial" w:hAnsi="Arial"/>
        </w:rPr>
      </w:r>
      <w:r>
        <w:rPr>
          <w:b/>
          <w:bCs/>
          <w:sz w:val="24"/>
          <w:szCs w:val="24"/>
          <w:rFonts w:ascii="Arial" w:cs="Arial" w:eastAsia="Arial" w:hAnsi="Arial"/>
        </w:rPr>
        <w:t xml:space="preserve">Synthetic difference-in-differences</w:t>
      </w:r>
      <w:r>
        <w:rPr>
          <w:sz w:val="24"/>
          <w:szCs w:val="24"/>
          <w:rFonts w:ascii="Arial" w:cs="Arial" w:eastAsia="Arial" w:hAnsi="Arial"/>
        </w:rPr>
        <w:t xml:space="preserve"> (Arkhangelsky et al., 2021) combines unit reweighting (from synthetic control) with time differencing (from DiD), providing a single estimator that performs well whether the data-generating process favors DiD or SCM.</w:t>
      </w:r>
    </w:p>
    <w:p>
      <w:pPr>
        <w:spacing w:after="120"/>
      </w:pPr>
      <w:r>
        <w:rPr>
          <w:sz w:val="24"/>
          <w:szCs w:val="24"/>
          <w:rFonts w:ascii="Arial" w:cs="Arial" w:eastAsia="Arial" w:hAnsi="Arial"/>
        </w:rPr>
      </w:r>
      <w:r>
        <w:rPr>
          <w:b/>
          <w:bCs/>
          <w:sz w:val="24"/>
          <w:szCs w:val="24"/>
          <w:rFonts w:ascii="Arial" w:cs="Arial" w:eastAsia="Arial" w:hAnsi="Arial"/>
        </w:rPr>
        <w:t xml:space="preserve">Matrix completion methods</w:t>
      </w:r>
      <w:r>
        <w:rPr>
          <w:sz w:val="24"/>
          <w:szCs w:val="24"/>
          <w:rFonts w:ascii="Arial" w:cs="Arial" w:eastAsia="Arial" w:hAnsi="Arial"/>
        </w:rPr>
        <w:t xml:space="preserve"> for panel data (Athey et al., 2021) treat the potential outcomes matrix (units × time periods) as a low-rank matrix with missing entries (the counterfactual outcomes for treated units in post-treatment periods), using matrix completion algorithms to impute the missing entries and estimate treatment effects.</w:t>
      </w:r>
    </w:p>
    <w:p>
      <w:pPr>
        <w:spacing w:after="120"/>
      </w:pPr>
      <w:r>
        <w:rPr>
          <w:sz w:val="24"/>
          <w:szCs w:val="24"/>
          <w:rFonts w:ascii="Arial" w:cs="Arial" w:eastAsia="Arial" w:hAnsi="Arial"/>
        </w:rPr>
      </w:r>
      <w:r>
        <w:rPr>
          <w:b/>
          <w:bCs/>
          <w:sz w:val="24"/>
          <w:szCs w:val="24"/>
          <w:rFonts w:ascii="Arial" w:cs="Arial" w:eastAsia="Arial" w:hAnsi="Arial"/>
        </w:rPr>
        <w:t xml:space="preserve">Distributional treatment effects</w:t>
      </w:r>
      <w:r>
        <w:rPr>
          <w:sz w:val="24"/>
          <w:szCs w:val="24"/>
          <w:rFonts w:ascii="Arial" w:cs="Arial" w:eastAsia="Arial" w:hAnsi="Arial"/>
        </w:rPr>
        <w:t xml:space="preserve"> go beyond average effects to characterize how treatments affect the entire outcome distribution — relevant when average effects mask important heterogeneity (e.g., a treatment that reduces costs for most patients but dramatically increases costs for a small subgroup).</w:t>
      </w:r>
    </w:p>
    <w:p>
      <w:pPr>
        <w:spacing w:after="120"/>
      </w:pPr>
      <w:r>
        <w:rPr>
          <w:sz w:val="24"/>
          <w:szCs w:val="24"/>
          <w:rFonts w:ascii="Arial" w:cs="Arial" w:eastAsia="Arial" w:hAnsi="Arial"/>
        </w:rPr>
      </w:r>
      <w:r>
        <w:rPr>
          <w:b/>
          <w:bCs/>
          <w:sz w:val="24"/>
          <w:szCs w:val="24"/>
          <w:rFonts w:ascii="Arial" w:cs="Arial" w:eastAsia="Arial" w:hAnsi="Arial"/>
        </w:rPr>
        <w:t xml:space="preserve">Causal mediation analysis</w:t>
      </w:r>
      <w:r>
        <w:rPr>
          <w:sz w:val="24"/>
          <w:szCs w:val="24"/>
          <w:rFonts w:ascii="Arial" w:cs="Arial" w:eastAsia="Arial" w:hAnsi="Arial"/>
        </w:rPr>
        <w:t xml:space="preserve"> decomposes total treatment effects into direct and indirect (mediated) channels. For Medicaid expansion, mediation analysis can decompose the total effect on health outcomes into the portion operating through increased insurance coverage (the access channel) vs. the portion operating through improved hospital finances (the supply channel).</w:t>
      </w:r>
    </w:p>
    <w:p>
      <w:pPr>
        <w:pStyle w:val="Heading2"/>
        <w:spacing w:before="300" w:after="150"/>
      </w:pPr>
      <w:r>
        <w:rPr>
          <w:b/>
          <w:bCs/>
          <w:sz w:val="30"/>
          <w:szCs w:val="30"/>
          <w:rFonts w:ascii="Arial" w:cs="Arial" w:eastAsia="Arial" w:hAnsi="Arial"/>
        </w:rPr>
        <w:t xml:space="preserve">Precision Medicine Economics</w:t>
      </w:r>
    </w:p>
    <w:p>
      <w:pPr>
        <w:spacing w:after="120"/>
      </w:pPr>
      <w:r>
        <w:rPr>
          <w:sz w:val="24"/>
          <w:szCs w:val="24"/>
          <w:rFonts w:ascii="Arial" w:cs="Arial" w:eastAsia="Arial" w:hAnsi="Arial"/>
        </w:rPr>
        <w:t xml:space="preserve">The convergence of heterogeneous treatment effect estimation (causal forests, Chapter 16) and clinical genomics creates a new field: the economics of precision medicine. If treatment effects vary across individuals based on observable characteristics (genotype, biomarkers, clinical features), the economic question is which patients should receive which treatment to maximize population health per dollar spent.</w:t>
      </w:r>
    </w:p>
    <w:p>
      <w:pPr>
        <w:spacing w:after="120"/>
      </w:pPr>
      <w:r>
        <w:rPr>
          <w:sz w:val="24"/>
          <w:szCs w:val="24"/>
          <w:rFonts w:ascii="Arial" w:cs="Arial" w:eastAsia="Arial" w:hAnsi="Arial"/>
        </w:rPr>
        <w:t xml:space="preserve">The value of biomarker-based treatment assignment equals the difference between the health gain under personalized assignment (give each patient the treatment with the highest individual-level CATE) and the health gain under uniform assignment (give all patients the treatment with the highest average effect). This value of personalization can be computed from causal forest estimates and compared to the cost of biomarker testing, providing a cost-effectiveness framework for pharmacogenomic testing.</w:t>
      </w:r>
    </w:p>
    <w:p>
      <w:pPr>
        <w:pStyle w:val="Heading2"/>
        <w:spacing w:before="300" w:after="150"/>
      </w:pPr>
      <w:r>
        <w:rPr>
          <w:b/>
          <w:bCs/>
          <w:sz w:val="30"/>
          <w:szCs w:val="30"/>
          <w:rFonts w:ascii="Arial" w:cs="Arial" w:eastAsia="Arial" w:hAnsi="Arial"/>
        </w:rPr>
        <w:t xml:space="preserve">Real-World Evidence and Target Trial Emulation</w:t>
      </w:r>
    </w:p>
    <w:p>
      <w:pPr>
        <w:spacing w:after="120"/>
      </w:pPr>
      <w:r>
        <w:rPr>
          <w:sz w:val="24"/>
          <w:szCs w:val="24"/>
          <w:rFonts w:ascii="Arial" w:cs="Arial" w:eastAsia="Arial" w:hAnsi="Arial"/>
        </w:rPr>
        <w:t xml:space="preserve">The FDA's Real-World Evidence (RWE) framework — using data from clinical practice rather than randomized trials to support regulatory decisions — creates new opportunities and responsibilities for health economics methodology. The target trial emulation framework (Hernán and Robins, 2016) provides a rigorous bridge: design the analysis of observational data as if it were a randomized trial, explicitly specifying the eligibility criteria, treatment strategies, randomization point, follow-up period, outcomes, and causal contrasts that would characterize the ideal trial, then implementing each element using observational data and appropriate causal inference methods.</w:t>
      </w:r>
    </w:p>
    <w:p>
      <w:pPr>
        <w:pStyle w:val="Heading2"/>
        <w:spacing w:before="300" w:after="150"/>
      </w:pPr>
      <w:r>
        <w:rPr>
          <w:b/>
          <w:bCs/>
          <w:sz w:val="30"/>
          <w:szCs w:val="30"/>
          <w:rFonts w:ascii="Arial" w:cs="Arial" w:eastAsia="Arial" w:hAnsi="Arial"/>
        </w:rPr>
        <w:t xml:space="preserve">Digital Health Economics</w:t>
      </w:r>
    </w:p>
    <w:p>
      <w:pPr>
        <w:spacing w:after="120"/>
      </w:pPr>
      <w:r>
        <w:rPr>
          <w:sz w:val="24"/>
          <w:szCs w:val="24"/>
          <w:rFonts w:ascii="Arial" w:cs="Arial" w:eastAsia="Arial" w:hAnsi="Arial"/>
        </w:rPr>
        <w:t xml:space="preserve">Wearable devices (continuous glucose monitors, smartwatches with ECG capability, accelerometers), remote patient monitoring systems, smartphone health applications, and digital therapeutics (FDA-cleared software programs for treating conditions like substance use disorder and insomnia) create new categories of health interventions requiring economic evaluation.</w:t>
      </w:r>
    </w:p>
    <w:p>
      <w:pPr>
        <w:spacing w:after="120"/>
      </w:pPr>
      <w:r>
        <w:rPr>
          <w:sz w:val="24"/>
          <w:szCs w:val="24"/>
          <w:rFonts w:ascii="Arial" w:cs="Arial" w:eastAsia="Arial" w:hAnsi="Arial"/>
        </w:rPr>
        <w:t xml:space="preserve">The economics of continuous monitoring raise novel value-of-information questions: what is the incremental health value of continuous glucose data (288 readings per day) compared to intermittent finger-stick measurements (4 per day)? Does the additional information change clinical decisions, and do the changed decisions improve outcomes sufficiently to justify the device cost?</w:t>
      </w:r>
    </w:p>
    <w:p>
      <w:pPr>
        <w:pStyle w:val="Heading2"/>
        <w:spacing w:before="300" w:after="150"/>
      </w:pPr>
      <w:r>
        <w:rPr>
          <w:b/>
          <w:bCs/>
          <w:sz w:val="30"/>
          <w:szCs w:val="30"/>
          <w:rFonts w:ascii="Arial" w:cs="Arial" w:eastAsia="Arial" w:hAnsi="Arial"/>
        </w:rPr>
        <w:t xml:space="preserve">Climate Change and Health Economics</w:t>
      </w:r>
    </w:p>
    <w:p>
      <w:pPr>
        <w:spacing w:after="120"/>
      </w:pPr>
      <w:r>
        <w:rPr>
          <w:sz w:val="24"/>
          <w:szCs w:val="24"/>
          <w:rFonts w:ascii="Arial" w:cs="Arial" w:eastAsia="Arial" w:hAnsi="Arial"/>
        </w:rPr>
        <w:t xml:space="preserve">Climate-health economic analysis is an emerging frontier encompassing: economic valuation of heat-related mortality (using the temperature-mortality relationship to value the health benefits of emission reductions), air quality and health cost-benefit analysis (quantifying the health co-benefits of decarbonization through reduced particulate matter, ozone, and NOx), healthcare system resilience planning (estimating the capital and operational costs of climate-proofing healthcare infrastructure), and climate migration effects on health systems (modeling the health system capacity implications of population redistribution driven by sea level rise, extreme heat, and agricultural disruption).</w:t>
      </w:r>
    </w:p>
    <w:p>
      <w:pPr>
        <w:pStyle w:val="Heading2"/>
        <w:spacing w:before="300" w:after="150"/>
      </w:pPr>
      <w:r>
        <w:rPr>
          <w:b/>
          <w:bCs/>
          <w:sz w:val="30"/>
          <w:szCs w:val="30"/>
          <w:rFonts w:ascii="Arial" w:cs="Arial" w:eastAsia="Arial" w:hAnsi="Arial"/>
        </w:rPr>
        <w:t xml:space="preserve">Infectious Disease Economics</w:t>
      </w:r>
    </w:p>
    <w:p>
      <w:pPr>
        <w:spacing w:after="120"/>
      </w:pPr>
      <w:r>
        <w:rPr>
          <w:sz w:val="24"/>
          <w:szCs w:val="24"/>
          <w:rFonts w:ascii="Arial" w:cs="Arial" w:eastAsia="Arial" w:hAnsi="Arial"/>
        </w:rPr>
        <w:t xml:space="preserve">COVID-19 dramatically elevated infectious disease economics. Key methodological developments include: SIR/SEIR models augmented with behavioral responses (individuals reduce contact in response to infection risk, creating endogenous feedback between epidemiological dynamics and economic behavior), epidemic-economic models that jointly optimize health outcomes and economic costs (the optimal lockdown problem), value of pandemic preparedness (the expected cost savings from surveillance systems, vaccine development platforms, and stockpiled medical countermeasures), and vaccine allocation optimization (distributing limited initial vaccine supply across age groups and occupations to maximize health impact or economic recovery).</w:t>
      </w:r>
    </w:p>
    <w:p>
      <w:pPr>
        <w:pStyle w:val="Heading2"/>
        <w:spacing w:before="300" w:after="150"/>
      </w:pPr>
      <w:r>
        <w:rPr>
          <w:b/>
          <w:bCs/>
          <w:sz w:val="30"/>
          <w:szCs w:val="30"/>
          <w:rFonts w:ascii="Arial" w:cs="Arial" w:eastAsia="Arial" w:hAnsi="Arial"/>
        </w:rPr>
        <w:t xml:space="preserve">Equity and Distributional Analysis</w:t>
      </w:r>
    </w:p>
    <w:p>
      <w:pPr>
        <w:spacing w:after="120"/>
      </w:pPr>
      <w:r>
        <w:rPr>
          <w:sz w:val="24"/>
          <w:szCs w:val="24"/>
          <w:rFonts w:ascii="Arial" w:cs="Arial" w:eastAsia="Arial" w:hAnsi="Arial"/>
        </w:rPr>
        <w:t xml:space="preserve">Extended cost-effectiveness analysis (ECEA) incorporates distributional consequences into economic evaluation by tracking not just the average health gain and cost but also who receives the health benefits and who bears the costs. ECEA reports the health gains by income quintile, the financial risk protection benefits, and the distributional impact of the financing mechanism, enabling policymakers to evaluate equity alongside efficiency.</w:t>
      </w:r>
    </w:p>
    <w:p>
      <w:pPr>
        <w:spacing w:after="120"/>
      </w:pPr>
      <w:r>
        <w:rPr>
          <w:sz w:val="24"/>
          <w:szCs w:val="24"/>
          <w:rFonts w:ascii="Arial" w:cs="Arial" w:eastAsia="Arial" w:hAnsi="Arial"/>
        </w:rPr>
        <w:t xml:space="preserve">Concentration indices quantify the degree of socioeconomic inequality in health and healthcare: the health concentration index measures the extent to which illness is concentrated among the poor, and the healthcare concentration index measures the extent to which utilization is concentrated among specific socioeconomic groups. Decomposition methods identify the factors (income, education, insurance coverage, geographic access) driving inequality.</w:t>
      </w:r>
    </w:p>
    <w:p>
      <w:pPr>
        <w:pStyle w:val="Heading2"/>
        <w:spacing w:before="300" w:after="150"/>
      </w:pPr>
      <w:r>
        <w:rPr>
          <w:b/>
          <w:bCs/>
          <w:sz w:val="30"/>
          <w:szCs w:val="30"/>
          <w:rFonts w:ascii="Arial" w:cs="Arial" w:eastAsia="Arial" w:hAnsi="Arial"/>
        </w:rPr>
        <w:t xml:space="preserve">The Julia Ecosystem Roadmap</w:t>
      </w:r>
    </w:p>
    <w:p>
      <w:pPr>
        <w:spacing w:after="120"/>
      </w:pPr>
      <w:r>
        <w:rPr>
          <w:sz w:val="24"/>
          <w:szCs w:val="24"/>
          <w:rFonts w:ascii="Arial" w:cs="Arial" w:eastAsia="Arial" w:hAnsi="Arial"/>
        </w:rPr>
        <w:t xml:space="preserve">Julia's growing role in scientific computing is supported by continued language development (compiler improvements, better error messages, reduced latency), ecosystem expansion (Turing.jl for Bayesian inference reaching maturity, SciML for scientific machine learning, Flux.jl for deep learning, DiffEqFlux.jl for neural ODEs), and interoperability improvements (PyCall.jl for Python integration, RCall.jl for R integration, enabling gradual migration from existing workflows).</w:t>
      </w:r>
    </w:p>
    <w:p>
      <w:pPr>
        <w:spacing w:after="120"/>
      </w:pPr>
      <w:r>
        <w:rPr>
          <w:sz w:val="24"/>
          <w:szCs w:val="24"/>
          <w:rFonts w:ascii="Arial" w:cs="Arial" w:eastAsia="Arial" w:hAnsi="Arial"/>
        </w:rPr>
        <w:t xml:space="preserve">For health economics researchers, Julia's value proposition strengthens as the computational demands of the field increase. The methods at the frontier — causal forests with millions of observations, microsimulation with PSA requiring billions of model evaluations, Bayesian structural estimation with MCMC, and spatial models on fine geographic grids — all benefit from Julia's performance advantage.</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health economics research frontier is defined by the convergence of richer data (EHR, wearables, NLP-processed text), more powerful computational methods (causal ML, Bayesian computation, structural estimation), and increasingly complex policy questions (precision medicine, pandemic preparedness, climate-health interactions, digital health). The theoretical frameworks, econometric methods, and Julia computational tools developed in this textbook provide the foundation for engaging with these frontiers.</w:t>
      </w:r>
    </w:p>
    <w:p>
      <w:pPr>
        <w:spacing w:after="120"/>
      </w:pPr>
      <w:r>
        <w:rPr>
          <w:sz w:val="24"/>
          <w:szCs w:val="24"/>
          <w:rFonts w:ascii="Arial" w:cs="Arial" w:eastAsia="Arial" w:hAnsi="Arial"/>
        </w:rPr>
        <w:t xml:space="preserve">The field's future lies in integrating these advances: using NLP to extract clinical features from notes, feeding them into causal forests for heterogeneous treatment effect estimation, embedding the results in structural models for counterfactual policy simulation, and communicating the findings through interactive Pluto notebooks and publication-quality Makie visualizations. Julia provides the unified computational platform for this integrated workflow — a single language for data management, statistical analysis, machine learning, simulation, optimization, and visualization.</w:t>
      </w:r>
    </w:p>
    <w:p>
      <w:pPr>
        <w:spacing w:after="120"/>
      </w:pPr>
      <w:r>
        <w:rPr>
          <w:sz w:val="24"/>
          <w:szCs w:val="24"/>
          <w:rFonts w:ascii="Arial" w:cs="Arial" w:eastAsia="Arial" w:hAnsi="Arial"/>
        </w:rPr>
        <w:t xml:space="preserve">The challenge for the next generation of health economics researchers is not methodological scarcity but methodological abundance: choosing the right tool from an increasingly rich toolkit for each specific research question. We hope this textbook has equipped you to make that choice wisely.</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Arkhangelsky, D., et al. (2021). Synthetic difference-in-differences. </w:t>
      </w:r>
      <w:r>
        <w:rPr>
          <w:i/>
          <w:iCs/>
          <w:sz w:val="24"/>
          <w:szCs w:val="24"/>
          <w:rFonts w:ascii="Arial" w:cs="Arial" w:eastAsia="Arial" w:hAnsi="Arial"/>
        </w:rPr>
        <w:t xml:space="preserve">AER</w:t>
      </w:r>
      <w:r>
        <w:rPr>
          <w:sz w:val="24"/>
          <w:szCs w:val="24"/>
          <w:rFonts w:ascii="Arial" w:cs="Arial" w:eastAsia="Arial" w:hAnsi="Arial"/>
        </w:rPr>
        <w:t xml:space="preserve">, 111(12), 4088-4118.</w:t>
      </w:r>
    </w:p>
    <w:p>
      <w:pPr>
        <w:spacing w:after="120"/>
      </w:pPr>
      <w:r>
        <w:rPr>
          <w:sz w:val="24"/>
          <w:szCs w:val="24"/>
          <w:rFonts w:ascii="Arial" w:cs="Arial" w:eastAsia="Arial" w:hAnsi="Arial"/>
        </w:rPr>
        <w:t xml:space="preserve">2. Athey, S., et al. (2021). Matrix completion methods for causal panel data models. </w:t>
      </w:r>
      <w:r>
        <w:rPr>
          <w:i/>
          <w:iCs/>
          <w:sz w:val="24"/>
          <w:szCs w:val="24"/>
          <w:rFonts w:ascii="Arial" w:cs="Arial" w:eastAsia="Arial" w:hAnsi="Arial"/>
        </w:rPr>
        <w:t xml:space="preserve">JASA</w:t>
      </w:r>
      <w:r>
        <w:rPr>
          <w:sz w:val="24"/>
          <w:szCs w:val="24"/>
          <w:rFonts w:ascii="Arial" w:cs="Arial" w:eastAsia="Arial" w:hAnsi="Arial"/>
        </w:rPr>
        <w:t xml:space="preserve">, 116(536), 1716-1730.</w:t>
      </w:r>
    </w:p>
    <w:p>
      <w:pPr>
        <w:spacing w:after="120"/>
      </w:pPr>
      <w:r>
        <w:rPr>
          <w:sz w:val="24"/>
          <w:szCs w:val="24"/>
          <w:rFonts w:ascii="Arial" w:cs="Arial" w:eastAsia="Arial" w:hAnsi="Arial"/>
        </w:rPr>
        <w:t xml:space="preserve">3. Athey, S. (2017). Beyond prediction: Using big data for policy problems. </w:t>
      </w:r>
      <w:r>
        <w:rPr>
          <w:i/>
          <w:iCs/>
          <w:sz w:val="24"/>
          <w:szCs w:val="24"/>
          <w:rFonts w:ascii="Arial" w:cs="Arial" w:eastAsia="Arial" w:hAnsi="Arial"/>
        </w:rPr>
        <w:t xml:space="preserve">Science</w:t>
      </w:r>
      <w:r>
        <w:rPr>
          <w:sz w:val="24"/>
          <w:szCs w:val="24"/>
          <w:rFonts w:ascii="Arial" w:cs="Arial" w:eastAsia="Arial" w:hAnsi="Arial"/>
        </w:rPr>
        <w:t xml:space="preserve">, 355(6324), 483-485.</w:t>
      </w:r>
    </w:p>
    <w:p>
      <w:pPr>
        <w:spacing w:after="120"/>
      </w:pPr>
      <w:r>
        <w:rPr>
          <w:sz w:val="24"/>
          <w:szCs w:val="24"/>
          <w:rFonts w:ascii="Arial" w:cs="Arial" w:eastAsia="Arial" w:hAnsi="Arial"/>
        </w:rPr>
        <w:t xml:space="preserve">4. Hernán, M. A., &amp; Robins, J. M. (2016). Using big data to emulate a target trial. </w:t>
      </w:r>
      <w:r>
        <w:rPr>
          <w:i/>
          <w:iCs/>
          <w:sz w:val="24"/>
          <w:szCs w:val="24"/>
          <w:rFonts w:ascii="Arial" w:cs="Arial" w:eastAsia="Arial" w:hAnsi="Arial"/>
        </w:rPr>
        <w:t xml:space="preserve">AJE</w:t>
      </w:r>
      <w:r>
        <w:rPr>
          <w:sz w:val="24"/>
          <w:szCs w:val="24"/>
          <w:rFonts w:ascii="Arial" w:cs="Arial" w:eastAsia="Arial" w:hAnsi="Arial"/>
        </w:rPr>
        <w:t xml:space="preserve">, 183(8), 758-764.</w:t>
      </w:r>
    </w:p>
    <w:p>
      <w:pPr>
        <w:spacing w:after="120"/>
      </w:pPr>
      <w:r>
        <w:rPr>
          <w:sz w:val="24"/>
          <w:szCs w:val="24"/>
          <w:rFonts w:ascii="Arial" w:cs="Arial" w:eastAsia="Arial" w:hAnsi="Arial"/>
        </w:rPr>
        <w:t xml:space="preserve">5. Obermeyer, Z., &amp; Emanuel, E. J. (2016). Predicting the future. </w:t>
      </w:r>
      <w:r>
        <w:rPr>
          <w:i/>
          <w:iCs/>
          <w:sz w:val="24"/>
          <w:szCs w:val="24"/>
          <w:rFonts w:ascii="Arial" w:cs="Arial" w:eastAsia="Arial" w:hAnsi="Arial"/>
        </w:rPr>
        <w:t xml:space="preserve">NEJM</w:t>
      </w:r>
      <w:r>
        <w:rPr>
          <w:sz w:val="24"/>
          <w:szCs w:val="24"/>
          <w:rFonts w:ascii="Arial" w:cs="Arial" w:eastAsia="Arial" w:hAnsi="Arial"/>
        </w:rPr>
        <w:t xml:space="preserve">, 375(13), 1216-1219.</w:t>
      </w:r>
    </w:p>
    <w:p>
      <w:pPr>
        <w:spacing w:after="120"/>
      </w:pPr>
      <w:r>
        <w:rPr>
          <w:sz w:val="24"/>
          <w:szCs w:val="24"/>
          <w:rFonts w:ascii="Arial" w:cs="Arial" w:eastAsia="Arial" w:hAnsi="Arial"/>
        </w:rPr>
        <w:t xml:space="preserve">6. Verguet, S., et al. (2016). Extended cost-effectiveness analysis for health policy assessment. </w:t>
      </w:r>
      <w:r>
        <w:rPr>
          <w:i/>
          <w:iCs/>
          <w:sz w:val="24"/>
          <w:szCs w:val="24"/>
          <w:rFonts w:ascii="Arial" w:cs="Arial" w:eastAsia="Arial" w:hAnsi="Arial"/>
        </w:rPr>
        <w:t xml:space="preserve">PharmacoEconomics</w:t>
      </w:r>
      <w:r>
        <w:rPr>
          <w:sz w:val="24"/>
          <w:szCs w:val="24"/>
          <w:rFonts w:ascii="Arial" w:cs="Arial" w:eastAsia="Arial" w:hAnsi="Arial"/>
        </w:rPr>
        <w:t xml:space="preserve">, 34(9), 913-923.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30: The Future of Health Economics: Emerging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2026-04-16T00:41:20.738Z</dcterms:created>
  <dcterms:modified xsi:type="dcterms:W3CDTF">2026-04-16T00:41:20.738Z</dcterms:modified>
</cp:coreProperties>
</file>

<file path=docProps/custom.xml><?xml version="1.0" encoding="utf-8"?>
<Properties xmlns="http://schemas.openxmlformats.org/officeDocument/2006/custom-properties" xmlns:vt="http://schemas.openxmlformats.org/officeDocument/2006/docPropsVTypes"/>
</file>