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3</w:t>
      </w:r>
    </w:p>
    <w:p>
      <w:pPr>
        <w:jc w:val="center"/>
      </w:pPr>
      <w:r>
        <w:rPr>
          <w:i/>
          <w:iCs/>
          <w:sz w:val="36"/>
          <w:szCs w:val="36"/>
          <w:rFonts w:ascii="Arial" w:cs="Arial" w:eastAsia="Arial" w:hAnsi="Arial"/>
        </w:rPr>
        <w:t xml:space="preserve">Healthcare Supply: Provider Behavior and Market Structure</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The supply side of healthcare markets is characterized by institutional complexity, regulatory constraints, and behavioral incentives that diverge sharply from the assumptions of standard competitive models. Physicians operate under professional norms and licensure requirements that restrict entry and shape practice patterns. Hospitals function as hybrid organizations — many structured as nonprofits — whose objective functions remain the subject of active theoretical debate. Pharmaceutical firms invest billions in research and development under patent protection systems that create temporary monopoly power. And the healthcare workforce extends far beyond physicians to encompass nurses, advanced practice providers, pharmacists, therapists, and community health workers whose scopes of practice are determined as much by regulation and political economy as by clinical evidence.</w:t>
      </w:r>
    </w:p>
    <w:p>
      <w:pPr>
        <w:spacing w:after="120"/>
      </w:pPr>
      <w:r>
        <w:rPr>
          <w:sz w:val="24"/>
          <w:szCs w:val="24"/>
          <w:rFonts w:ascii="Arial" w:cs="Arial" w:eastAsia="Arial" w:hAnsi="Arial"/>
        </w:rPr>
        <w:t xml:space="preserve">Understanding the supply side is essential for health economics research because supply-side factors drive a large share of the variation in healthcare spending, quality, and access across the United States. The well-documented geographic variation in Medicare spending — with per-beneficiary expenditures varying by a factor of two or more across hospital referral regions — is largely attributable to supply-side factors: the local density of physicians and hospital beds, practice style norms, organizational structures, and the competitive dynamics of local healthcare markets.</w:t>
      </w:r>
    </w:p>
    <w:p>
      <w:pPr>
        <w:spacing w:after="120"/>
      </w:pPr>
      <w:r>
        <w:rPr>
          <w:sz w:val="24"/>
          <w:szCs w:val="24"/>
          <w:rFonts w:ascii="Arial" w:cs="Arial" w:eastAsia="Arial" w:hAnsi="Arial"/>
        </w:rPr>
        <w:t xml:space="preserve">This chapter provides a comprehensive treatment of healthcare supply economics for graduate researchers. We begin with physician labor supply and the economics of specialty choice, then proceed to hospital behavior under alternative ownership structures, hospital market concentration and competition, provider payment mechanisms and their behavioral effects, efficiency measurement, pharmaceutical industry economics, the broader healthcare workforce, and the economics of vertical and horizontal integration. Throughout, we ground theoretical models in the empirical evidence from the United States healthcare system.</w:t>
      </w:r>
    </w:p>
    <w:p>
      <w:pPr>
        <w:pStyle w:val="Heading2"/>
        <w:spacing w:before="300" w:after="150"/>
      </w:pPr>
      <w:r>
        <w:rPr>
          <w:b/>
          <w:bCs/>
          <w:sz w:val="30"/>
          <w:szCs w:val="30"/>
          <w:rFonts w:ascii="Arial" w:cs="Arial" w:eastAsia="Arial" w:hAnsi="Arial"/>
        </w:rPr>
        <w:t xml:space="preserve">Physician Labor Supply and Specialty Choice</w:t>
      </w:r>
    </w:p>
    <w:p>
      <w:pPr>
        <w:pStyle w:val="Heading3"/>
        <w:spacing w:before="200" w:after="100"/>
      </w:pPr>
      <w:r>
        <w:rPr>
          <w:b/>
          <w:bCs/>
          <w:sz w:val="26"/>
          <w:szCs w:val="26"/>
          <w:rFonts w:ascii="Arial" w:cs="Arial" w:eastAsia="Arial" w:hAnsi="Arial"/>
        </w:rPr>
        <w:t xml:space="preserve">Human Capital Investment in Medical Training</w:t>
      </w:r>
    </w:p>
    <w:p>
      <w:pPr>
        <w:spacing w:after="120"/>
      </w:pPr>
      <w:r>
        <w:rPr>
          <w:sz w:val="24"/>
          <w:szCs w:val="24"/>
          <w:rFonts w:ascii="Arial" w:cs="Arial" w:eastAsia="Arial" w:hAnsi="Arial"/>
        </w:rPr>
        <w:t xml:space="preserve">The decision to become a physician is, from an economic perspective, a human capital investment decision. The prospective physician incurs substantial direct costs (tuition, fees, equipment) and opportunity costs (foregone earnings during four years of medical school and three to seven years of residency training) in exchange for expected future returns in the form of higher lifetime earnings, professional prestige, and intrinsic satisfaction from medical practice.</w:t>
      </w:r>
    </w:p>
    <w:p>
      <w:pPr>
        <w:spacing w:after="120"/>
      </w:pPr>
      <w:r>
        <w:rPr>
          <w:sz w:val="24"/>
          <w:szCs w:val="24"/>
          <w:rFonts w:ascii="Arial" w:cs="Arial" w:eastAsia="Arial" w:hAnsi="Arial"/>
        </w:rPr>
        <w:t xml:space="preserve">The magnitude of this investment is striking. The median educational debt for medical school graduates in 2023 exceeded $200,000, and the total opportunity cost — including foregone earnings during training — has been estimated at $500,000 to $1,000,000 depending on the specialty and the counterfactual career path. The internal rate of return to medical training varies substantially across specialties, with procedure-intensive specialties (orthopedic surgery, cardiology, dermatology) yielding substantially higher lifetime earnings than primary care specialties (family medicine, general internal medicine, pediatrics).</w:t>
      </w:r>
    </w:p>
    <w:p>
      <w:pPr>
        <w:spacing w:after="120"/>
      </w:pPr>
      <w:r>
        <w:rPr>
          <w:sz w:val="24"/>
          <w:szCs w:val="24"/>
          <w:rFonts w:ascii="Arial" w:cs="Arial" w:eastAsia="Arial" w:hAnsi="Arial"/>
        </w:rPr>
        <w:t xml:space="preserve">Nicholson (2002) estimated the internal rate of return to medical education and found that it exceeded returns to other professional degrees for most specialties, but that the premium was smaller for primary care. Bhattacharya (2005) extended this analysis by incorporating the value of the option to specialize, demonstrating that the sequential nature of medical training — general medical education followed by specialty-specific residency — creates option value that affects the initial decision to enter medical school.</w:t>
      </w:r>
    </w:p>
    <w:p>
      <w:pPr>
        <w:pStyle w:val="Heading3"/>
        <w:spacing w:before="200" w:after="100"/>
      </w:pPr>
      <w:r>
        <w:rPr>
          <w:b/>
          <w:bCs/>
          <w:sz w:val="26"/>
          <w:szCs w:val="26"/>
          <w:rFonts w:ascii="Arial" w:cs="Arial" w:eastAsia="Arial" w:hAnsi="Arial"/>
        </w:rPr>
        <w:t xml:space="preserve">Specialty Choice as Economic Decision-Making</w:t>
      </w:r>
    </w:p>
    <w:p>
      <w:pPr>
        <w:spacing w:after="120"/>
      </w:pPr>
      <w:r>
        <w:rPr>
          <w:sz w:val="24"/>
          <w:szCs w:val="24"/>
          <w:rFonts w:ascii="Arial" w:cs="Arial" w:eastAsia="Arial" w:hAnsi="Arial"/>
        </w:rPr>
        <w:t xml:space="preserve">The allocation of physicians across specialties is one of the most consequential supply-side features of the healthcare system. The United States has long been characterized by an oversupply of specialists relative to primary care physicians, a pattern that contributes to high spending, geographic maldistribution, and fragmented care delivery.</w:t>
      </w:r>
    </w:p>
    <w:p>
      <w:pPr>
        <w:spacing w:after="120"/>
      </w:pPr>
      <w:r>
        <w:rPr>
          <w:sz w:val="24"/>
          <w:szCs w:val="24"/>
          <w:rFonts w:ascii="Arial" w:cs="Arial" w:eastAsia="Arial" w:hAnsi="Arial"/>
        </w:rPr>
        <w:t xml:space="preserve">From the economic perspective, specialty choice is driven by the expected present value of lifetime utility, which includes monetary returns (expected income by specialty, adjusted for training length), non-monetary returns (lifestyle factors such as work hours, call schedules, procedural satisfaction, patient relationships), and individual preferences and aptitudes.</w:t>
      </w:r>
    </w:p>
    <w:p>
      <w:pPr>
        <w:spacing w:after="120"/>
      </w:pPr>
      <w:r>
        <w:rPr>
          <w:sz w:val="24"/>
          <w:szCs w:val="24"/>
          <w:rFonts w:ascii="Arial" w:cs="Arial" w:eastAsia="Arial" w:hAnsi="Arial"/>
        </w:rPr>
        <w:t xml:space="preserve">Nicholson and Souleles (2001) provided one of the most rigorous analyses of specialty choice, estimating that income differentials explain a substantial fraction of specialty selection but that non-pecuniary factors — particularly controllable lifestyle (predictable hours, limited emergency call) — have become increasingly important determinants. The rise of the "controllable lifestyle" specialties (dermatology, radiology, anesthesiology, ophthalmology) relative to the decline in interest in primary care and general surgery is consistent with this finding.</w:t>
      </w:r>
    </w:p>
    <w:p>
      <w:pPr>
        <w:spacing w:after="120"/>
      </w:pPr>
      <w:r>
        <w:rPr>
          <w:sz w:val="24"/>
          <w:szCs w:val="24"/>
          <w:rFonts w:ascii="Arial" w:cs="Arial" w:eastAsia="Arial" w:hAnsi="Arial"/>
        </w:rPr>
        <w:t xml:space="preserve">Policy interventions to influence specialty choice include loan repayment programs (National Health Service Corps), residency slot allocation (Medicare GME funding), Title VII training grants, and scope-of-practice expansion for non-physician providers (which may reduce demand for physician services in certain specialties). The evidence on the effectiveness of these interventions is mixed. Loan repayment programs attract physicians to underserved areas during the service obligation period, but retention rates after the obligation ends are variable, with estimates ranging from 40% to 80% depending on the program and the definition of retention.</w:t>
      </w:r>
    </w:p>
    <w:p>
      <w:pPr>
        <w:pStyle w:val="Heading3"/>
        <w:spacing w:before="200" w:after="100"/>
      </w:pPr>
      <w:r>
        <w:rPr>
          <w:b/>
          <w:bCs/>
          <w:sz w:val="26"/>
          <w:szCs w:val="26"/>
          <w:rFonts w:ascii="Arial" w:cs="Arial" w:eastAsia="Arial" w:hAnsi="Arial"/>
        </w:rPr>
        <w:t xml:space="preserve">Geographic Distribution of Physicians</w:t>
      </w:r>
    </w:p>
    <w:p>
      <w:pPr>
        <w:spacing w:after="120"/>
      </w:pPr>
      <w:r>
        <w:rPr>
          <w:sz w:val="24"/>
          <w:szCs w:val="24"/>
          <w:rFonts w:ascii="Arial" w:cs="Arial" w:eastAsia="Arial" w:hAnsi="Arial"/>
        </w:rPr>
        <w:t xml:space="preserve">The geographic distribution of physicians across the United States is highly unequal, with metropolitan areas and affluent communities substantially better supplied than rural areas and low-income urban neighborhoods. This maldistribution has proven remarkably resistant to policy intervention.</w:t>
      </w:r>
    </w:p>
    <w:p>
      <w:pPr>
        <w:spacing w:after="120"/>
      </w:pPr>
      <w:r>
        <w:rPr>
          <w:sz w:val="24"/>
          <w:szCs w:val="24"/>
          <w:rFonts w:ascii="Arial" w:cs="Arial" w:eastAsia="Arial" w:hAnsi="Arial"/>
        </w:rPr>
        <w:t xml:space="preserve">Economic models explain physician location choice as a utility-maximizing decision that weighs expected income, practice opportunities, quality of life, proximity to family and training institutions, and spouse employment prospects. Because many of these factors favor metropolitan locations, market forces alone do not produce an equitable geographic distribution.</w:t>
      </w:r>
    </w:p>
    <w:p>
      <w:pPr>
        <w:spacing w:after="120"/>
      </w:pPr>
      <w:r>
        <w:rPr>
          <w:sz w:val="24"/>
          <w:szCs w:val="24"/>
          <w:rFonts w:ascii="Arial" w:cs="Arial" w:eastAsia="Arial" w:hAnsi="Arial"/>
        </w:rPr>
        <w:t xml:space="preserve">The empirical literature has identified several factors associated with rural physician supply. Physicians who grew up in rural areas are more likely to practice in rural areas (the "rural pipeline"). Physicians trained in rural residency tracks are more likely to settle in rural communities. International medical graduates (IMGs) practicing under J-1 visa waivers represent a significant source of rural physician supply, although the sustainability of this pipeline depends on immigration policy.</w:t>
      </w:r>
    </w:p>
    <w:p>
      <w:pPr>
        <w:spacing w:after="120"/>
      </w:pPr>
      <w:r>
        <w:rPr>
          <w:sz w:val="24"/>
          <w:szCs w:val="24"/>
          <w:rFonts w:ascii="Arial" w:cs="Arial" w:eastAsia="Arial" w:hAnsi="Arial"/>
        </w:rPr>
        <w:t xml:space="preserve">Skinner and colleagues have documented substantial geographic variation in physician practice patterns that cannot be explained by patient characteristics or preferences. The Dartmouth Atlas research program has shown that regions with more physicians per capita tend to have higher utilization rates, higher Medicare spending, and no better (and sometimes worse) outcomes — a finding consistent with supply-sensitive demand but also with physician-induced demand (discussed in Chapter 2).</w:t>
      </w:r>
    </w:p>
    <w:p>
      <w:pPr>
        <w:pStyle w:val="Heading2"/>
        <w:spacing w:before="300" w:after="150"/>
      </w:pPr>
      <w:r>
        <w:rPr>
          <w:b/>
          <w:bCs/>
          <w:sz w:val="30"/>
          <w:szCs w:val="30"/>
          <w:rFonts w:ascii="Arial" w:cs="Arial" w:eastAsia="Arial" w:hAnsi="Arial"/>
        </w:rPr>
        <w:t xml:space="preserve">The Hospital as an Economic Firm</w:t>
      </w:r>
    </w:p>
    <w:p>
      <w:pPr>
        <w:pStyle w:val="Heading3"/>
        <w:spacing w:before="200" w:after="100"/>
      </w:pPr>
      <w:r>
        <w:rPr>
          <w:b/>
          <w:bCs/>
          <w:sz w:val="26"/>
          <w:szCs w:val="26"/>
          <w:rFonts w:ascii="Arial" w:cs="Arial" w:eastAsia="Arial" w:hAnsi="Arial"/>
        </w:rPr>
        <w:t xml:space="preserve">Nonprofit Hospital Behavior</w:t>
      </w:r>
    </w:p>
    <w:p>
      <w:pPr>
        <w:spacing w:after="120"/>
      </w:pPr>
      <w:r>
        <w:rPr>
          <w:sz w:val="24"/>
          <w:szCs w:val="24"/>
          <w:rFonts w:ascii="Arial" w:cs="Arial" w:eastAsia="Arial" w:hAnsi="Arial"/>
        </w:rPr>
        <w:t xml:space="preserve">Approximately 57% of community hospitals in the United States are organized as private nonprofits, 21% are government-owned, and 22% are for-profit (investor-owned). The dominance of the nonprofit organizational form in the US hospital industry is a distinctive feature that has generated substantial theoretical and empirical investigation.</w:t>
      </w:r>
    </w:p>
    <w:p>
      <w:pPr>
        <w:spacing w:after="120"/>
      </w:pPr>
      <w:r>
        <w:rPr>
          <w:sz w:val="24"/>
          <w:szCs w:val="24"/>
          <w:rFonts w:ascii="Arial" w:cs="Arial" w:eastAsia="Arial" w:hAnsi="Arial"/>
        </w:rPr>
        <w:t xml:space="preserve">The central question is: what objective function do nonprofit hospitals maximize? In the standard theory of the firm, for-profit firms maximize profits. Nonprofit hospitals, which are prohibited from distributing profits to owners or shareholders, must pursue some other objective. Several models have been proposed.</w:t>
      </w:r>
    </w:p>
    <w:p>
      <w:pPr>
        <w:spacing w:after="120"/>
      </w:pPr>
      <w:r>
        <w:rPr>
          <w:sz w:val="24"/>
          <w:szCs w:val="24"/>
          <w:rFonts w:ascii="Arial" w:cs="Arial" w:eastAsia="Arial" w:hAnsi="Arial"/>
        </w:rPr>
      </w:r>
      <w:r>
        <w:rPr>
          <w:b/>
          <w:bCs/>
          <w:sz w:val="24"/>
          <w:szCs w:val="24"/>
          <w:rFonts w:ascii="Arial" w:cs="Arial" w:eastAsia="Arial" w:hAnsi="Arial"/>
        </w:rPr>
        <w:t xml:space="preserve">Newhouse's (1970) utility-maximizing model.</w:t>
      </w:r>
      <w:r>
        <w:rPr>
          <w:sz w:val="24"/>
          <w:szCs w:val="24"/>
          <w:rFonts w:ascii="Arial" w:cs="Arial" w:eastAsia="Arial" w:hAnsi="Arial"/>
        </w:rPr>
        <w:t xml:space="preserve"> Joseph Newhouse proposed that nonprofit hospitals maximize a utility function defined over quality and quantity of care, subject to a zero-profit constraint. In this model, the hospital's managers (administrators and physicians) derive utility from providing high-quality care and from treating a large volume of patients, and they use any surplus revenue to finance quality improvements, expand services, or invest in prestige-enhancing technology. The zero-profit constraint binds because nonprofits cannot accumulate unlimited reserves without jeopardizing their tax-exempt status or attracting regulatory scrutiny.</w:t>
      </w:r>
    </w:p>
    <w:p>
      <w:pPr>
        <w:spacing w:after="120"/>
      </w:pPr>
      <w:r>
        <w:rPr>
          <w:sz w:val="24"/>
          <w:szCs w:val="24"/>
          <w:rFonts w:ascii="Arial" w:cs="Arial" w:eastAsia="Arial" w:hAnsi="Arial"/>
        </w:rPr>
        <w:t xml:space="preserve">The Newhouse model predicts that nonprofit hospitals will behave differently from for-profit hospitals: nonprofits will provide more charity care, invest more in quality and technology, and set prices closer to average cost rather than profit-maximizing levels. The model also predicts that nonprofits will cross-subsidize unprofitable services (emergency departments, burn units, neonatal intensive care) with revenue from profitable services (cardiac surgery, orthopedics), a pattern widely observed in practice.</w:t>
      </w:r>
    </w:p>
    <w:p>
      <w:pPr>
        <w:spacing w:after="120"/>
      </w:pPr>
      <w:r>
        <w:rPr>
          <w:sz w:val="24"/>
          <w:szCs w:val="24"/>
          <w:rFonts w:ascii="Arial" w:cs="Arial" w:eastAsia="Arial" w:hAnsi="Arial"/>
        </w:rPr>
      </w:r>
      <w:r>
        <w:rPr>
          <w:b/>
          <w:bCs/>
          <w:sz w:val="24"/>
          <w:szCs w:val="24"/>
          <w:rFonts w:ascii="Arial" w:cs="Arial" w:eastAsia="Arial" w:hAnsi="Arial"/>
        </w:rPr>
        <w:t xml:space="preserve">The physician cooperative model.</w:t>
      </w:r>
      <w:r>
        <w:rPr>
          <w:sz w:val="24"/>
          <w:szCs w:val="24"/>
          <w:rFonts w:ascii="Arial" w:cs="Arial" w:eastAsia="Arial" w:hAnsi="Arial"/>
        </w:rPr>
        <w:t xml:space="preserve"> Pauly and Redisch (1973) offered an alternative view in which the nonprofit hospital functions as a physicians' cooperative — an organization controlled by its medical staff that operates to maximize the income and working conditions of the physicians who practice there. In this model, the hospital provides inputs (nursing staff, equipment, facilities) that complement physician effort, and the physicians capture the resulting surplus through higher fees, better working conditions, or reduced effort requirements. The zero-profit constraint is satisfied because any hospital surplus is dissipated through inefficiency, excess capacity, or physician-directed expenditures.</w:t>
      </w:r>
    </w:p>
    <w:p>
      <w:pPr>
        <w:spacing w:after="120"/>
      </w:pPr>
      <w:r>
        <w:rPr>
          <w:sz w:val="24"/>
          <w:szCs w:val="24"/>
          <w:rFonts w:ascii="Arial" w:cs="Arial" w:eastAsia="Arial" w:hAnsi="Arial"/>
        </w:rPr>
      </w:r>
      <w:r>
        <w:rPr>
          <w:b/>
          <w:bCs/>
          <w:sz w:val="24"/>
          <w:szCs w:val="24"/>
          <w:rFonts w:ascii="Arial" w:cs="Arial" w:eastAsia="Arial" w:hAnsi="Arial"/>
        </w:rPr>
        <w:t xml:space="preserve">The Lakdawalla-Philipson (2006) competition model.</w:t>
      </w:r>
      <w:r>
        <w:rPr>
          <w:sz w:val="24"/>
          <w:szCs w:val="24"/>
          <w:rFonts w:ascii="Arial" w:cs="Arial" w:eastAsia="Arial" w:hAnsi="Arial"/>
        </w:rPr>
        <w:t xml:space="preserve"> More recently, Lakdawalla and Philipson developed a model in which nonprofit and for-profit hospitals coexist in competitive equilibrium, with the organizational form serving as a commitment device. Nonprofits commit to not extracting maximum profits, which makes them more attractive to patients (particularly for credence goods where quality is hard to observe) and to donors. In competitive markets, this commitment advantage allows nonprofits to survive despite potentially less efficient management.</w:t>
      </w:r>
    </w:p>
    <w:p>
      <w:pPr>
        <w:pStyle w:val="Heading3"/>
        <w:spacing w:before="200" w:after="100"/>
      </w:pPr>
      <w:r>
        <w:rPr>
          <w:b/>
          <w:bCs/>
          <w:sz w:val="26"/>
          <w:szCs w:val="26"/>
          <w:rFonts w:ascii="Arial" w:cs="Arial" w:eastAsia="Arial" w:hAnsi="Arial"/>
        </w:rPr>
        <w:t xml:space="preserve">Empirical Evidence on Ownership Effects</w:t>
      </w:r>
    </w:p>
    <w:p>
      <w:pPr>
        <w:spacing w:after="120"/>
      </w:pPr>
      <w:r>
        <w:rPr>
          <w:sz w:val="24"/>
          <w:szCs w:val="24"/>
          <w:rFonts w:ascii="Arial" w:cs="Arial" w:eastAsia="Arial" w:hAnsi="Arial"/>
        </w:rPr>
        <w:t xml:space="preserve">The empirical literature comparing nonprofit and for-profit hospital behavior has produced several robust findings.</w:t>
      </w:r>
    </w:p>
    <w:p>
      <w:pPr>
        <w:spacing w:after="120"/>
      </w:pPr>
      <w:r>
        <w:rPr>
          <w:sz w:val="24"/>
          <w:szCs w:val="24"/>
          <w:rFonts w:ascii="Arial" w:cs="Arial" w:eastAsia="Arial" w:hAnsi="Arial"/>
        </w:rPr>
      </w:r>
      <w:r>
        <w:rPr>
          <w:b/>
          <w:bCs/>
          <w:sz w:val="24"/>
          <w:szCs w:val="24"/>
          <w:rFonts w:ascii="Arial" w:cs="Arial" w:eastAsia="Arial" w:hAnsi="Arial"/>
        </w:rPr>
        <w:t xml:space="preserve">Pricing.</w:t>
      </w:r>
      <w:r>
        <w:rPr>
          <w:sz w:val="24"/>
          <w:szCs w:val="24"/>
          <w:rFonts w:ascii="Arial" w:cs="Arial" w:eastAsia="Arial" w:hAnsi="Arial"/>
        </w:rPr>
        <w:t xml:space="preserve"> For-profit hospitals generally charge higher prices than nonprofit hospitals for the same services, although the differential has narrowed as nonprofit hospitals have become more commercially oriented. Dafny (2005) found that both nonprofit and for-profit hospitals increase prices in response to positive demand shocks, but that for-profits respond more aggressively.</w:t>
      </w:r>
    </w:p>
    <w:p>
      <w:pPr>
        <w:spacing w:after="120"/>
      </w:pPr>
      <w:r>
        <w:rPr>
          <w:sz w:val="24"/>
          <w:szCs w:val="24"/>
          <w:rFonts w:ascii="Arial" w:cs="Arial" w:eastAsia="Arial" w:hAnsi="Arial"/>
        </w:rPr>
      </w:r>
      <w:r>
        <w:rPr>
          <w:b/>
          <w:bCs/>
          <w:sz w:val="24"/>
          <w:szCs w:val="24"/>
          <w:rFonts w:ascii="Arial" w:cs="Arial" w:eastAsia="Arial" w:hAnsi="Arial"/>
        </w:rPr>
        <w:t xml:space="preserve">Quality.</w:t>
      </w:r>
      <w:r>
        <w:rPr>
          <w:sz w:val="24"/>
          <w:szCs w:val="24"/>
          <w:rFonts w:ascii="Arial" w:cs="Arial" w:eastAsia="Arial" w:hAnsi="Arial"/>
        </w:rPr>
        <w:t xml:space="preserve"> The evidence on quality differences by ownership type is mixed. Some studies find that for-profit hospitals have higher risk-adjusted mortality rates, while others find no significant difference after controlling for patient case mix, market characteristics, and hospital resources. The most careful studies suggest that quality differences are small and may depend more on market competitive conditions than on ownership status per se.</w:t>
      </w:r>
    </w:p>
    <w:p>
      <w:pPr>
        <w:spacing w:after="120"/>
      </w:pPr>
      <w:r>
        <w:rPr>
          <w:sz w:val="24"/>
          <w:szCs w:val="24"/>
          <w:rFonts w:ascii="Arial" w:cs="Arial" w:eastAsia="Arial" w:hAnsi="Arial"/>
        </w:rPr>
      </w:r>
      <w:r>
        <w:rPr>
          <w:b/>
          <w:bCs/>
          <w:sz w:val="24"/>
          <w:szCs w:val="24"/>
          <w:rFonts w:ascii="Arial" w:cs="Arial" w:eastAsia="Arial" w:hAnsi="Arial"/>
        </w:rPr>
        <w:t xml:space="preserve">Charity care and community benefit.</w:t>
      </w:r>
      <w:r>
        <w:rPr>
          <w:sz w:val="24"/>
          <w:szCs w:val="24"/>
          <w:rFonts w:ascii="Arial" w:cs="Arial" w:eastAsia="Arial" w:hAnsi="Arial"/>
        </w:rPr>
        <w:t xml:space="preserve"> Nonprofit hospitals provide more uncompensated care and community benefit than for-profit hospitals, although the magnitude of the difference has been debated. The Congressional Budget Office estimated that nonprofit hospitals' tax exemptions (valued at approximately $28 billion annually) exceed their community benefit expenditures, raising questions about whether the nonprofit form continues to serve its intended social purpose. However, measuring community benefit comprehensively — including below-cost Medicaid services, medical education, and community health programs — is methodologically challenging.</w:t>
      </w:r>
    </w:p>
    <w:p>
      <w:pPr>
        <w:spacing w:after="120"/>
      </w:pPr>
      <w:r>
        <w:rPr>
          <w:sz w:val="24"/>
          <w:szCs w:val="24"/>
          <w:rFonts w:ascii="Arial" w:cs="Arial" w:eastAsia="Arial" w:hAnsi="Arial"/>
        </w:rPr>
      </w:r>
      <w:r>
        <w:rPr>
          <w:b/>
          <w:bCs/>
          <w:sz w:val="24"/>
          <w:szCs w:val="24"/>
          <w:rFonts w:ascii="Arial" w:cs="Arial" w:eastAsia="Arial" w:hAnsi="Arial"/>
        </w:rPr>
        <w:t xml:space="preserve">Conversions.</w:t>
      </w:r>
      <w:r>
        <w:rPr>
          <w:sz w:val="24"/>
          <w:szCs w:val="24"/>
          <w:rFonts w:ascii="Arial" w:cs="Arial" w:eastAsia="Arial" w:hAnsi="Arial"/>
        </w:rPr>
        <w:t xml:space="preserve"> Studies of hospitals that convert from nonprofit to for-profit status (or vice versa) provide within-hospital comparisons that control for time-invariant unobservables. Sloan and colleagues (2001) found that conversions to for-profit status were associated with modest reductions in unprofitable services but no significant changes in overall quality of care.</w:t>
      </w:r>
    </w:p>
    <w:p>
      <w:pPr>
        <w:pStyle w:val="Heading2"/>
        <w:spacing w:before="300" w:after="150"/>
      </w:pPr>
      <w:r>
        <w:rPr>
          <w:b/>
          <w:bCs/>
          <w:sz w:val="30"/>
          <w:szCs w:val="30"/>
          <w:rFonts w:ascii="Arial" w:cs="Arial" w:eastAsia="Arial" w:hAnsi="Arial"/>
        </w:rPr>
        <w:t xml:space="preserve">Hospital Market Concentration and Competition</w:t>
      </w:r>
    </w:p>
    <w:p>
      <w:pPr>
        <w:pStyle w:val="Heading3"/>
        <w:spacing w:before="200" w:after="100"/>
      </w:pPr>
      <w:r>
        <w:rPr>
          <w:b/>
          <w:bCs/>
          <w:sz w:val="26"/>
          <w:szCs w:val="26"/>
          <w:rFonts w:ascii="Arial" w:cs="Arial" w:eastAsia="Arial" w:hAnsi="Arial"/>
        </w:rPr>
        <w:t xml:space="preserve">Measuring Market Concentration</w:t>
      </w:r>
    </w:p>
    <w:p>
      <w:pPr>
        <w:spacing w:after="120"/>
      </w:pPr>
      <w:r>
        <w:rPr>
          <w:sz w:val="24"/>
          <w:szCs w:val="24"/>
          <w:rFonts w:ascii="Arial" w:cs="Arial" w:eastAsia="Arial" w:hAnsi="Arial"/>
        </w:rPr>
        <w:t xml:space="preserve">Hospital market concentration is typically measured using the Herfindahl-Hirschman Index (HHI), defined as the sum of squared market shares of all hospitals in a defined geographic market:</w:t>
      </w:r>
    </w:p>
    <w:p>
      <w:pPr>
        <w:spacing w:after="120"/>
      </w:pPr>
      <w:r>
        <w:rPr>
          <w:sz w:val="24"/>
          <w:szCs w:val="24"/>
          <w:rFonts w:ascii="Arial" w:cs="Arial" w:eastAsia="Arial" w:hAnsi="Arial"/>
        </w:rPr>
        <w:t xml:space="preserve">HHI = Σᵢ sᵢ²</w:t>
      </w:r>
    </w:p>
    <w:p>
      <w:pPr>
        <w:spacing w:after="120"/>
      </w:pPr>
      <w:r>
        <w:rPr>
          <w:sz w:val="24"/>
          <w:szCs w:val="24"/>
          <w:rFonts w:ascii="Arial" w:cs="Arial" w:eastAsia="Arial" w:hAnsi="Arial"/>
        </w:rPr>
        <w:t xml:space="preserve">where sᵢ is hospital i's share of the relevant market (typically measured by patient discharges or inpatient days). The HHI ranges from near zero (perfectly competitive market with many small hospitals) to 10,000 (monopoly market with a single hospital). The Department of Justice and Federal Trade Commission classify markets as unconcentrated (HHI below 1,500), moderately concentrated (1,500 to 2,500), and highly concentrated (above 2,500).</w:t>
      </w:r>
    </w:p>
    <w:p>
      <w:pPr>
        <w:spacing w:after="120"/>
      </w:pPr>
      <w:r>
        <w:rPr>
          <w:sz w:val="24"/>
          <w:szCs w:val="24"/>
          <w:rFonts w:ascii="Arial" w:cs="Arial" w:eastAsia="Arial" w:hAnsi="Arial"/>
        </w:rPr>
        <w:t xml:space="preserve">Defining the relevant geographic market is one of the most contentious issues in hospital antitrust analysis. The Elzinga-Hogarty test, originally developed for manufacturing industries, uses patient flow data to identify geographic markets, but has been criticized as producing overly large markets that understate true market concentration. Alternative approaches include fixed geographic definitions (counties, hospital referral regions), variable-radius methods, and willingness-to-pay models derived from patient choice data.</w:t>
      </w:r>
    </w:p>
    <w:p>
      <w:pPr>
        <w:pStyle w:val="Heading3"/>
        <w:spacing w:before="200" w:after="100"/>
      </w:pPr>
      <w:r>
        <w:rPr>
          <w:b/>
          <w:bCs/>
          <w:sz w:val="26"/>
          <w:szCs w:val="26"/>
          <w:rFonts w:ascii="Arial" w:cs="Arial" w:eastAsia="Arial" w:hAnsi="Arial"/>
        </w:rPr>
        <w:t xml:space="preserve">The Competition-Quality Relationship</w:t>
      </w:r>
    </w:p>
    <w:p>
      <w:pPr>
        <w:spacing w:after="120"/>
      </w:pPr>
      <w:r>
        <w:rPr>
          <w:sz w:val="24"/>
          <w:szCs w:val="24"/>
          <w:rFonts w:ascii="Arial" w:cs="Arial" w:eastAsia="Arial" w:hAnsi="Arial"/>
        </w:rPr>
        <w:t xml:space="preserve">The relationship between hospital market competition and quality has been the subject of extensive theoretical and empirical investigation. The theoretical prediction depends on the nature of price competition in the market.</w:t>
      </w:r>
    </w:p>
    <w:p>
      <w:pPr>
        <w:spacing w:after="120"/>
      </w:pPr>
      <w:r>
        <w:rPr>
          <w:sz w:val="24"/>
          <w:szCs w:val="24"/>
          <w:rFonts w:ascii="Arial" w:cs="Arial" w:eastAsia="Arial" w:hAnsi="Arial"/>
        </w:rPr>
      </w:r>
      <w:r>
        <w:rPr>
          <w:b/>
          <w:bCs/>
          <w:sz w:val="24"/>
          <w:szCs w:val="24"/>
          <w:rFonts w:ascii="Arial" w:cs="Arial" w:eastAsia="Arial" w:hAnsi="Arial"/>
        </w:rPr>
        <w:t xml:space="preserve">Administered prices (Medicare).</w:t>
      </w:r>
      <w:r>
        <w:rPr>
          <w:sz w:val="24"/>
          <w:szCs w:val="24"/>
          <w:rFonts w:ascii="Arial" w:cs="Arial" w:eastAsia="Arial" w:hAnsi="Arial"/>
        </w:rPr>
        <w:t xml:space="preserve"> When prices are fixed by regulation, hospitals compete on non-price dimensions — primarily quality. In this setting, greater competition unambiguously improves quality, because hospitals that provide better care attract more patients without having to lower prices. Kessler and McClellan (2000) tested this prediction using Medicare data on heart attack patients and found that patients admitted to hospitals in more competitive markets had significantly lower mortality rates and lower expenditures, consistent with the theory.</w:t>
      </w:r>
    </w:p>
    <w:p>
      <w:pPr>
        <w:spacing w:after="120"/>
      </w:pPr>
      <w:r>
        <w:rPr>
          <w:sz w:val="24"/>
          <w:szCs w:val="24"/>
          <w:rFonts w:ascii="Arial" w:cs="Arial" w:eastAsia="Arial" w:hAnsi="Arial"/>
        </w:rPr>
      </w:r>
      <w:r>
        <w:rPr>
          <w:b/>
          <w:bCs/>
          <w:sz w:val="24"/>
          <w:szCs w:val="24"/>
          <w:rFonts w:ascii="Arial" w:cs="Arial" w:eastAsia="Arial" w:hAnsi="Arial"/>
        </w:rPr>
        <w:t xml:space="preserve">Negotiated prices (private insurance).</w:t>
      </w:r>
      <w:r>
        <w:rPr>
          <w:sz w:val="24"/>
          <w:szCs w:val="24"/>
          <w:rFonts w:ascii="Arial" w:cs="Arial" w:eastAsia="Arial" w:hAnsi="Arial"/>
        </w:rPr>
        <w:t xml:space="preserve"> When prices are negotiated between hospitals and insurers, the competition-quality relationship is theoretically ambiguous. Greater competition may improve quality (hospitals compete for patients and insurer contracts by providing better care) or may reduce quality (greater price competition squeezes margins, leaving fewer resources for quality improvement). The empirical evidence from the UK National Health Service, which introduced market-based reforms in the 2000s, generally supports a positive competition-quality relationship: Gaynor, Moreno-Serra, and Propper (2013) found that the introduction of hospital choice and competition in the NHS was associated with reduced mortality and reduced waiting times.</w:t>
      </w:r>
    </w:p>
    <w:p>
      <w:pPr>
        <w:pStyle w:val="Heading3"/>
        <w:spacing w:before="200" w:after="100"/>
      </w:pPr>
      <w:r>
        <w:rPr>
          <w:b/>
          <w:bCs/>
          <w:sz w:val="26"/>
          <w:szCs w:val="26"/>
          <w:rFonts w:ascii="Arial" w:cs="Arial" w:eastAsia="Arial" w:hAnsi="Arial"/>
        </w:rPr>
        <w:t xml:space="preserve">Hospital Mergers and Consolidation</w:t>
      </w:r>
    </w:p>
    <w:p>
      <w:pPr>
        <w:spacing w:after="120"/>
      </w:pPr>
      <w:r>
        <w:rPr>
          <w:sz w:val="24"/>
          <w:szCs w:val="24"/>
          <w:rFonts w:ascii="Arial" w:cs="Arial" w:eastAsia="Arial" w:hAnsi="Arial"/>
        </w:rPr>
        <w:t xml:space="preserve">The US hospital industry has undergone dramatic consolidation over the past three decades, with hundreds of mergers reducing the number of independent hospitals and increasing market concentration in most metropolitan areas. The economic consequences of this consolidation have been extensively studied.</w:t>
      </w:r>
    </w:p>
    <w:p>
      <w:pPr>
        <w:spacing w:after="120"/>
      </w:pPr>
      <w:r>
        <w:rPr>
          <w:sz w:val="24"/>
          <w:szCs w:val="24"/>
          <w:rFonts w:ascii="Arial" w:cs="Arial" w:eastAsia="Arial" w:hAnsi="Arial"/>
        </w:rPr>
      </w:r>
      <w:r>
        <w:rPr>
          <w:b/>
          <w:bCs/>
          <w:sz w:val="24"/>
          <w:szCs w:val="24"/>
          <w:rFonts w:ascii="Arial" w:cs="Arial" w:eastAsia="Arial" w:hAnsi="Arial"/>
        </w:rPr>
        <w:t xml:space="preserve">Price effects.</w:t>
      </w:r>
      <w:r>
        <w:rPr>
          <w:sz w:val="24"/>
          <w:szCs w:val="24"/>
          <w:rFonts w:ascii="Arial" w:cs="Arial" w:eastAsia="Arial" w:hAnsi="Arial"/>
        </w:rPr>
        <w:t xml:space="preserve"> The empirical evidence on hospital merger effects on prices is remarkably consistent: mergers between hospitals in the same geographic market lead to significant price increases, typically in the range of 10% to 40% for commercial insurance prices. Gaynor and Town (2012) reviewed the evidence and concluded that the average price increase following a hospital merger is approximately 20%. These price increases are not offset by improvements in quality or efficiency, suggesting that they reflect the exercise of enhanced market power.</w:t>
      </w:r>
    </w:p>
    <w:p>
      <w:pPr>
        <w:spacing w:after="120"/>
      </w:pPr>
      <w:r>
        <w:rPr>
          <w:sz w:val="24"/>
          <w:szCs w:val="24"/>
          <w:rFonts w:ascii="Arial" w:cs="Arial" w:eastAsia="Arial" w:hAnsi="Arial"/>
        </w:rPr>
        <w:t xml:space="preserve">The mechanism is straightforward. When two hospitals in the same market merge, the merged entity faces less competition for patients and for insurer contracts. This enhanced bargaining power allows the merged hospital to negotiate higher reimbursement rates from commercial insurers. The price increases are borne by employers and employees through higher premiums and cost-sharing, and by the uninsured through higher charges.</w:t>
      </w:r>
    </w:p>
    <w:p>
      <w:pPr>
        <w:spacing w:after="120"/>
      </w:pPr>
      <w:r>
        <w:rPr>
          <w:sz w:val="24"/>
          <w:szCs w:val="24"/>
          <w:rFonts w:ascii="Arial" w:cs="Arial" w:eastAsia="Arial" w:hAnsi="Arial"/>
        </w:rPr>
      </w:r>
      <w:r>
        <w:rPr>
          <w:b/>
          <w:bCs/>
          <w:sz w:val="24"/>
          <w:szCs w:val="24"/>
          <w:rFonts w:ascii="Arial" w:cs="Arial" w:eastAsia="Arial" w:hAnsi="Arial"/>
        </w:rPr>
        <w:t xml:space="preserve">Quality effects.</w:t>
      </w:r>
      <w:r>
        <w:rPr>
          <w:sz w:val="24"/>
          <w:szCs w:val="24"/>
          <w:rFonts w:ascii="Arial" w:cs="Arial" w:eastAsia="Arial" w:hAnsi="Arial"/>
        </w:rPr>
        <w:t xml:space="preserve"> The evidence on merger effects on quality is less clear-cut. Most studies find no significant improvement in quality following hospital mergers, contradicting the efficiency justification that merging hospitals often advance in antitrust proceedings. Some studies find modest quality improvements in specific service lines (cardiac surgery, trauma care), potentially reflecting the concentration of volume in higher-performing facilities. However, these gains are typically outweighed by the price increases.</w:t>
      </w:r>
    </w:p>
    <w:p>
      <w:pPr>
        <w:spacing w:after="120"/>
      </w:pPr>
      <w:r>
        <w:rPr>
          <w:sz w:val="24"/>
          <w:szCs w:val="24"/>
          <w:rFonts w:ascii="Arial" w:cs="Arial" w:eastAsia="Arial" w:hAnsi="Arial"/>
        </w:rPr>
      </w:r>
      <w:r>
        <w:rPr>
          <w:b/>
          <w:bCs/>
          <w:sz w:val="24"/>
          <w:szCs w:val="24"/>
          <w:rFonts w:ascii="Arial" w:cs="Arial" w:eastAsia="Arial" w:hAnsi="Arial"/>
        </w:rPr>
        <w:t xml:space="preserve">Antitrust enforcement.</w:t>
      </w:r>
      <w:r>
        <w:rPr>
          <w:sz w:val="24"/>
          <w:szCs w:val="24"/>
          <w:rFonts w:ascii="Arial" w:cs="Arial" w:eastAsia="Arial" w:hAnsi="Arial"/>
        </w:rPr>
        <w:t xml:space="preserve"> The Federal Trade Commission and Department of Justice have challenged a number of hospital mergers under antitrust law, with mixed success in the courts. The FTC's successful challenges in cases such as Advocate Health Care (2017) and Penn State Hershey (2016) have been informed by the economic evidence on merger-induced price increases. However, many hospital mergers proceed unchallenged, either because they fall below reporting thresholds, because the merging hospitals are in different geographic markets, or because the antitrust agencies lack the resources to challenge every potentially anticompetitive transaction.</w:t>
      </w:r>
    </w:p>
    <w:p>
      <w:pPr>
        <w:spacing w:after="120"/>
      </w:pPr>
      <w:r>
        <w:rPr>
          <w:sz w:val="24"/>
          <w:szCs w:val="24"/>
          <w:rFonts w:ascii="Arial" w:cs="Arial" w:eastAsia="Arial" w:hAnsi="Arial"/>
        </w:rPr>
      </w:r>
      <w:r>
        <w:rPr>
          <w:b/>
          <w:bCs/>
          <w:sz w:val="24"/>
          <w:szCs w:val="24"/>
          <w:rFonts w:ascii="Arial" w:cs="Arial" w:eastAsia="Arial" w:hAnsi="Arial"/>
        </w:rPr>
        <w:t xml:space="preserve">Key Concepts Box: Hospital Market Competition</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Concept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Definition</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Empirical Finding</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HHI</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Sum of squared market shares; measures concentration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Average hospital market HHI has risen substantially since 1990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Fixed-price competition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Competition on quality when prices are administered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More competition → lower mortality (Kessler-McClellan 2000)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Negotiated-price competition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Simultaneous price and quality competition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Competition generally improves quality in NHS studies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Merger price effects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Price changes following hospital consolidation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Average 20% price increase for commercial insurance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Merger quality effects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Quality changes following consolidation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Generally no improvement; sometimes modest gains in specific services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Countervailing power</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Insurer bargaining power offsetting hospital market power</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Insurer concentration partially offsets hospital price increases</w:t>
            </w:r>
          </w:p>
        </w:tc>
      </w:tr>
    </w:tbl>
    <w:p>
      <w:pPr>
        <w:spacing w:after="200"/>
      </w:pPr>
    </w:p>
    <w:p>
      <w:pPr>
        <w:pStyle w:val="Heading2"/>
        <w:spacing w:before="300" w:after="150"/>
      </w:pPr>
      <w:r>
        <w:rPr>
          <w:b/>
          <w:bCs/>
          <w:sz w:val="30"/>
          <w:szCs w:val="30"/>
          <w:rFonts w:ascii="Arial" w:cs="Arial" w:eastAsia="Arial" w:hAnsi="Arial"/>
        </w:rPr>
        <w:t xml:space="preserve">Provider Payment Mechanisms and Supply Responses</w:t>
      </w:r>
    </w:p>
    <w:p>
      <w:pPr>
        <w:pStyle w:val="Heading3"/>
        <w:spacing w:before="200" w:after="100"/>
      </w:pPr>
      <w:r>
        <w:rPr>
          <w:b/>
          <w:bCs/>
          <w:sz w:val="26"/>
          <w:szCs w:val="26"/>
          <w:rFonts w:ascii="Arial" w:cs="Arial" w:eastAsia="Arial" w:hAnsi="Arial"/>
        </w:rPr>
        <w:t xml:space="preserve">Fee-for-Service</w:t>
      </w:r>
    </w:p>
    <w:p>
      <w:pPr>
        <w:spacing w:after="120"/>
      </w:pPr>
      <w:r>
        <w:rPr>
          <w:sz w:val="24"/>
          <w:szCs w:val="24"/>
          <w:rFonts w:ascii="Arial" w:cs="Arial" w:eastAsia="Arial" w:hAnsi="Arial"/>
        </w:rPr>
        <w:t xml:space="preserve">Fee-for-service (FFS) is the traditional payment model in which providers receive a separate payment for each service rendered. Under FFS, the physician or hospital submits a claim for each office visit, procedure, test, or hospitalization, and the payer reimburses according to a fee schedule.</w:t>
      </w:r>
    </w:p>
    <w:p>
      <w:pPr>
        <w:spacing w:after="120"/>
      </w:pPr>
      <w:r>
        <w:rPr>
          <w:sz w:val="24"/>
          <w:szCs w:val="24"/>
          <w:rFonts w:ascii="Arial" w:cs="Arial" w:eastAsia="Arial" w:hAnsi="Arial"/>
        </w:rPr>
        <w:t xml:space="preserve">The economic incentives of FFS are straightforward: providers are rewarded for volume. Each additional service generates additional revenue, creating an incentive to provide more services, to unbundle services that could be provided together, and to favor procedure-intensive treatment approaches over watchful waiting or conservative management. The FFS incentive structure is a primary driver of the volume-driven healthcare delivery model that has contributed to high and rising US healthcare spending.</w:t>
      </w:r>
    </w:p>
    <w:p>
      <w:pPr>
        <w:spacing w:after="120"/>
      </w:pPr>
      <w:r>
        <w:rPr>
          <w:sz w:val="24"/>
          <w:szCs w:val="24"/>
          <w:rFonts w:ascii="Arial" w:cs="Arial" w:eastAsia="Arial" w:hAnsi="Arial"/>
        </w:rPr>
        <w:t xml:space="preserve">Medicare's FFS payment for physician services is based on the Resource-Based Relative Value Scale (RBRVS), developed by William Hsiao and colleagues at Harvard in the late 1980s. The RBRVS assigns each procedure a relative value unit (RVU) reflecting the physician work, practice expense, and malpractice cost involved. The total payment for a service equals the sum of the three RVU components, each adjusted by a geographic practice cost index (GPCI) and multiplied by a national conversion factor (approximately $33 per RVU in 2024).</w:t>
      </w:r>
    </w:p>
    <w:p>
      <w:pPr>
        <w:spacing w:after="120"/>
      </w:pPr>
      <w:r>
        <w:rPr>
          <w:sz w:val="24"/>
          <w:szCs w:val="24"/>
          <w:rFonts w:ascii="Arial" w:cs="Arial" w:eastAsia="Arial" w:hAnsi="Arial"/>
        </w:rPr>
        <w:t xml:space="preserve">The RVU system, while an improvement over the prior "usual, customary, and reasonable" charge-based system, has been criticized for systematically undervaluing primary care and cognitive services relative to procedures. The process by which RVUs are assigned — through the AMA's Specialty Society Relative Value Scale Update Committee (RUC) — has been characterized as dominated by procedural specialists, contributing to income disparities across specialties and distorting medical student specialty choice toward procedure-heavy fields.</w:t>
      </w:r>
    </w:p>
    <w:p>
      <w:pPr>
        <w:pStyle w:val="Heading3"/>
        <w:spacing w:before="200" w:after="100"/>
      </w:pPr>
      <w:r>
        <w:rPr>
          <w:b/>
          <w:bCs/>
          <w:sz w:val="26"/>
          <w:szCs w:val="26"/>
          <w:rFonts w:ascii="Arial" w:cs="Arial" w:eastAsia="Arial" w:hAnsi="Arial"/>
        </w:rPr>
        <w:t xml:space="preserve">Prospective Payment and DRGs</w:t>
      </w:r>
    </w:p>
    <w:p>
      <w:pPr>
        <w:spacing w:after="120"/>
      </w:pPr>
      <w:r>
        <w:rPr>
          <w:sz w:val="24"/>
          <w:szCs w:val="24"/>
          <w:rFonts w:ascii="Arial" w:cs="Arial" w:eastAsia="Arial" w:hAnsi="Arial"/>
        </w:rPr>
        <w:t xml:space="preserve">Medicare's Inpatient Prospective Payment System (IPPS), implemented in 1983, represented a fundamental shift from retrospective cost-based reimbursement to prospective fixed payment per hospital discharge. Under IPPS, each inpatient admission is classified into a Medicare Severity Diagnosis-Related Group (MS-DRG) based on the principal diagnosis, procedures performed, comorbidities, and complications. The hospital receives a predetermined payment for the MS-DRG regardless of the actual costs incurred, creating an incentive to reduce length of stay and the intensity of services provided during the hospitalization.</w:t>
      </w:r>
    </w:p>
    <w:p>
      <w:pPr>
        <w:spacing w:after="120"/>
      </w:pPr>
      <w:r>
        <w:rPr>
          <w:sz w:val="24"/>
          <w:szCs w:val="24"/>
          <w:rFonts w:ascii="Arial" w:cs="Arial" w:eastAsia="Arial" w:hAnsi="Arial"/>
        </w:rPr>
        <w:t xml:space="preserve">The DRG payment for each case is calculated as:</w:t>
      </w:r>
    </w:p>
    <w:p>
      <w:pPr>
        <w:spacing w:after="120"/>
      </w:pPr>
      <w:r>
        <w:rPr>
          <w:sz w:val="24"/>
          <w:szCs w:val="24"/>
          <w:rFonts w:ascii="Arial" w:cs="Arial" w:eastAsia="Arial" w:hAnsi="Arial"/>
        </w:rPr>
        <w:t xml:space="preserve">Payment = Base Rate × DRG Weight × Wage Index Adjustment + Outlier Payment + Policy Adjustments</w:t>
      </w:r>
    </w:p>
    <w:p>
      <w:pPr>
        <w:spacing w:after="120"/>
      </w:pPr>
      <w:r>
        <w:rPr>
          <w:sz w:val="24"/>
          <w:szCs w:val="24"/>
          <w:rFonts w:ascii="Arial" w:cs="Arial" w:eastAsia="Arial" w:hAnsi="Arial"/>
        </w:rPr>
        <w:t xml:space="preserve">where the base rate is a national standardized amount, the DRG weight reflects the expected resource intensity of the case type, and the wage index adjusts for geographic variation in labor costs. Policy adjustments include add-on payments for teaching hospitals (IME and DGME), disproportionate share hospitals (DSH), and new technology.</w:t>
      </w:r>
    </w:p>
    <w:p>
      <w:pPr>
        <w:spacing w:after="120"/>
      </w:pPr>
      <w:r>
        <w:rPr>
          <w:sz w:val="24"/>
          <w:szCs w:val="24"/>
          <w:rFonts w:ascii="Arial" w:cs="Arial" w:eastAsia="Arial" w:hAnsi="Arial"/>
        </w:rPr>
        <w:t xml:space="preserve">The economic effects of the shift to prospective payment have been extensively studied. Length of stay declined substantially following IPPS implementation, falling from an average of 9.5 days in 1982 to 6.4 days by 1990 for Medicare patients. However, there is evidence that the DRG system created incentives for upcoding (classifying patients into higher-paying DRGs), patient selection (avoiding high-cost patients), and early discharge to post-acute care settings (skilled nursing facilities, home health), which shifted costs rather than reducing them.</w:t>
      </w:r>
    </w:p>
    <w:p>
      <w:pPr>
        <w:pStyle w:val="Heading3"/>
        <w:spacing w:before="200" w:after="100"/>
      </w:pPr>
      <w:r>
        <w:rPr>
          <w:b/>
          <w:bCs/>
          <w:sz w:val="26"/>
          <w:szCs w:val="26"/>
          <w:rFonts w:ascii="Arial" w:cs="Arial" w:eastAsia="Arial" w:hAnsi="Arial"/>
        </w:rPr>
        <w:t xml:space="preserve">Capitation</w:t>
      </w:r>
    </w:p>
    <w:p>
      <w:pPr>
        <w:spacing w:after="120"/>
      </w:pPr>
      <w:r>
        <w:rPr>
          <w:sz w:val="24"/>
          <w:szCs w:val="24"/>
          <w:rFonts w:ascii="Arial" w:cs="Arial" w:eastAsia="Arial" w:hAnsi="Arial"/>
        </w:rPr>
        <w:t xml:space="preserve">Under capitation, providers receive a fixed payment per enrolled patient per period (usually per member per month, or PMPM), regardless of the volume of services the patient uses. Capitation shifts financial risk from the payer to the provider: if the patient requires expensive care, the provider bears the cost; if the patient remains healthy, the provider retains the surplus.</w:t>
      </w:r>
    </w:p>
    <w:p>
      <w:pPr>
        <w:spacing w:after="120"/>
      </w:pPr>
      <w:r>
        <w:rPr>
          <w:sz w:val="24"/>
          <w:szCs w:val="24"/>
          <w:rFonts w:ascii="Arial" w:cs="Arial" w:eastAsia="Arial" w:hAnsi="Arial"/>
        </w:rPr>
        <w:t xml:space="preserve">The economic incentives of capitation are the mirror image of FFS: capitated providers have an incentive to minimize the volume of services, to emphasize prevention and early intervention (which may prevent expensive downstream complications), and to manage care efficiently. However, capitation also creates a risk of underservice — providers may deny or delay necessary care to reduce costs — and may discourage providers from enrolling high-risk patients who are expected to generate costs exceeding the capitation payment.</w:t>
      </w:r>
    </w:p>
    <w:p>
      <w:pPr>
        <w:spacing w:after="120"/>
      </w:pPr>
      <w:r>
        <w:rPr>
          <w:sz w:val="24"/>
          <w:szCs w:val="24"/>
          <w:rFonts w:ascii="Arial" w:cs="Arial" w:eastAsia="Arial" w:hAnsi="Arial"/>
        </w:rPr>
        <w:t xml:space="preserve">Risk adjustment is the key technical mechanism for mitigating the adverse selection and underservice incentives of capitation. If the capitation payment is adjusted to reflect the expected costs of each enrollee based on their risk profile (demographics, diagnoses, prior utilization), the provider has less incentive to avoid high-risk patients and the financial reward for underservice is reduced. The CMS Hierarchical Condition Categories (HCC) model is the most widely used risk adjustment system in the United States, employed for both Medicare Advantage capitation payments and ACA marketplace risk adjustment.</w:t>
      </w:r>
    </w:p>
    <w:p>
      <w:pPr>
        <w:pStyle w:val="Heading3"/>
        <w:spacing w:before="200" w:after="100"/>
      </w:pPr>
      <w:r>
        <w:rPr>
          <w:b/>
          <w:bCs/>
          <w:sz w:val="26"/>
          <w:szCs w:val="26"/>
          <w:rFonts w:ascii="Arial" w:cs="Arial" w:eastAsia="Arial" w:hAnsi="Arial"/>
        </w:rPr>
        <w:t xml:space="preserve">The Target Income Hypothesis</w:t>
      </w:r>
    </w:p>
    <w:p>
      <w:pPr>
        <w:spacing w:after="120"/>
      </w:pPr>
      <w:r>
        <w:rPr>
          <w:sz w:val="24"/>
          <w:szCs w:val="24"/>
          <w:rFonts w:ascii="Arial" w:cs="Arial" w:eastAsia="Arial" w:hAnsi="Arial"/>
        </w:rPr>
        <w:t xml:space="preserve">The target income hypothesis posits that physicians have a target income level and adjust their behavior to approach this target. Under FFS, a fee reduction would be expected to reduce the quantity supplied (standard economic prediction), but the target income hypothesis predicts the opposite: physicians will increase volume to offset the revenue loss from lower per-service fees. Similarly, an increase in physician supply (which reduces each physician's patient base) would be expected to reduce per-physician volume, but target income behavior predicts an increase in volume per patient.</w:t>
      </w:r>
    </w:p>
    <w:p>
      <w:pPr>
        <w:spacing w:after="120"/>
      </w:pPr>
      <w:r>
        <w:rPr>
          <w:sz w:val="24"/>
          <w:szCs w:val="24"/>
          <w:rFonts w:ascii="Arial" w:cs="Arial" w:eastAsia="Arial" w:hAnsi="Arial"/>
        </w:rPr>
        <w:t xml:space="preserve">The empirical evidence for the target income hypothesis is mixed. Nguyen and Derrick (1997) found that Medicare physician services volume increased by approximately 0.5% for each 1% reduction in fees, consistent with modest income targeting. However, other studies have found volume responses more consistent with standard supply behavior. The difficulty is that fee changes are often accompanied by other policy changes, making it hard to isolate the pure behavioral response to fee variation.</w:t>
      </w:r>
    </w:p>
    <w:p>
      <w:pPr>
        <w:spacing w:after="120"/>
      </w:pPr>
      <w:r>
        <w:rPr>
          <w:sz w:val="24"/>
          <w:szCs w:val="24"/>
          <w:rFonts w:ascii="Arial" w:cs="Arial" w:eastAsia="Arial" w:hAnsi="Arial"/>
        </w:rPr>
        <w:t xml:space="preserve">The current consensus views physician behavior as falling between the extremes of pure profit maximization and pure income targeting. Most physicians respond to financial incentives in predictable directions, but the magnitude and speed of response depend on the institutional environment, the strength of professional norms, and the availability of alternative revenue sources.</w:t>
      </w:r>
    </w:p>
    <w:p>
      <w:pPr>
        <w:pStyle w:val="Heading3"/>
        <w:spacing w:before="200" w:after="100"/>
      </w:pPr>
      <w:r>
        <w:rPr>
          <w:b/>
          <w:bCs/>
          <w:sz w:val="26"/>
          <w:szCs w:val="26"/>
          <w:rFonts w:ascii="Arial" w:cs="Arial" w:eastAsia="Arial" w:hAnsi="Arial"/>
        </w:rPr>
        <w:t xml:space="preserve">Bundled Payments and Episode-Based Payment</w:t>
      </w:r>
    </w:p>
    <w:p>
      <w:pPr>
        <w:spacing w:after="120"/>
      </w:pPr>
      <w:r>
        <w:rPr>
          <w:sz w:val="24"/>
          <w:szCs w:val="24"/>
          <w:rFonts w:ascii="Arial" w:cs="Arial" w:eastAsia="Arial" w:hAnsi="Arial"/>
        </w:rPr>
        <w:t xml:space="preserve">Bundled payment models represent a middle ground between FFS (which incentivizes volume) and full capitation (which incentivizes underservice). Under bundled payment, a single payment covers all services related to a defined episode of care — for example, a hip replacement surgery plus all associated pre-operative, inpatient, and post-acute care for 90 days following the procedure.</w:t>
      </w:r>
    </w:p>
    <w:p>
      <w:pPr>
        <w:spacing w:after="120"/>
      </w:pPr>
      <w:r>
        <w:rPr>
          <w:sz w:val="24"/>
          <w:szCs w:val="24"/>
          <w:rFonts w:ascii="Arial" w:cs="Arial" w:eastAsia="Arial" w:hAnsi="Arial"/>
        </w:rPr>
        <w:t xml:space="preserve">Medicare's Bundled Payments for Care Improvement (BPCI) initiative and its successor, BPCI Advanced, have been the largest-scale tests of episode-based payment in the United States. The Comprehensive Care for Joint Replacement (CJR) model, which mandated bundled payment for hip and knee replacement in selected metropolitan areas, provided quasi-experimental evidence on the effects of bundled payment.</w:t>
      </w:r>
    </w:p>
    <w:p>
      <w:pPr>
        <w:spacing w:after="120"/>
      </w:pPr>
      <w:r>
        <w:rPr>
          <w:sz w:val="24"/>
          <w:szCs w:val="24"/>
          <w:rFonts w:ascii="Arial" w:cs="Arial" w:eastAsia="Arial" w:hAnsi="Arial"/>
        </w:rPr>
        <w:t xml:space="preserve">Finkelstein and colleagues evaluating these models have generally found modest reductions in episode spending (2% to 5%), driven primarily by reductions in post-acute care utilization (shorter skilled nursing facility stays, more home health) rather than by changes in the acute hospital episode. Quality effects have been neutral or modestly positive, with no evidence of increased complications or readmissions.</w:t>
      </w:r>
    </w:p>
    <w:p>
      <w:pPr>
        <w:pStyle w:val="Heading3"/>
        <w:spacing w:before="200" w:after="100"/>
      </w:pPr>
      <w:r>
        <w:rPr>
          <w:b/>
          <w:bCs/>
          <w:sz w:val="26"/>
          <w:szCs w:val="26"/>
          <w:rFonts w:ascii="Arial" w:cs="Arial" w:eastAsia="Arial" w:hAnsi="Arial"/>
        </w:rPr>
        <w:t xml:space="preserve">Pay-for-Performance</w:t>
      </w:r>
    </w:p>
    <w:p>
      <w:pPr>
        <w:spacing w:after="120"/>
      </w:pPr>
      <w:r>
        <w:rPr>
          <w:sz w:val="24"/>
          <w:szCs w:val="24"/>
          <w:rFonts w:ascii="Arial" w:cs="Arial" w:eastAsia="Arial" w:hAnsi="Arial"/>
        </w:rPr>
        <w:t xml:space="preserve">Pay-for-performance (P4P) programs link a portion of provider payment to measured quality or efficiency metrics. The theoretical appeal is straightforward: by rewarding quality, P4P aligns financial incentives with the social objective of high-value care.</w:t>
      </w:r>
    </w:p>
    <w:p>
      <w:pPr>
        <w:spacing w:after="120"/>
      </w:pPr>
      <w:r>
        <w:rPr>
          <w:sz w:val="24"/>
          <w:szCs w:val="24"/>
          <w:rFonts w:ascii="Arial" w:cs="Arial" w:eastAsia="Arial" w:hAnsi="Arial"/>
        </w:rPr>
        <w:t xml:space="preserve">Medicare's Hospital Value-Based Purchasing (VBP) Program, implemented in 2012, withholds a percentage of hospital DRG payments (currently 2%) and redistributes the funds based on performance on clinical quality measures, patient experience (HCAHPS), safety indicators, and efficiency metrics. Hospitals that perform well relative to national benchmarks and that show improvement over their own prior performance receive bonus payments; poor performers receive net reductions.</w:t>
      </w:r>
    </w:p>
    <w:p>
      <w:pPr>
        <w:spacing w:after="120"/>
      </w:pPr>
      <w:r>
        <w:rPr>
          <w:sz w:val="24"/>
          <w:szCs w:val="24"/>
          <w:rFonts w:ascii="Arial" w:cs="Arial" w:eastAsia="Arial" w:hAnsi="Arial"/>
        </w:rPr>
        <w:t xml:space="preserve">The empirical evidence on the effectiveness of P4P in healthcare has been disappointing relative to initial expectations. Systematic reviews by Mendelson and colleagues (2017) and others have found that P4P programs produce small or no improvements in quality metrics, and that the improvements that do occur may reflect measurement artifacts (teaching to the test, gaming, coding changes) rather than genuine quality improvement.</w:t>
      </w:r>
    </w:p>
    <w:p>
      <w:pPr>
        <w:spacing w:after="120"/>
      </w:pPr>
      <w:r>
        <w:rPr>
          <w:sz w:val="24"/>
          <w:szCs w:val="24"/>
          <w:rFonts w:ascii="Arial" w:cs="Arial" w:eastAsia="Arial" w:hAnsi="Arial"/>
        </w:rPr>
        <w:t xml:space="preserve">Several economic explanations have been offered for the weak effects of P4P. First, the financial stakes are typically small relative to total revenue (1% to 2% of payments), creating weak incentives for behavioral change. Second, the multitasking problem identified by Holmstrom and Milgrom (1991) predicts that incentivizing measured dimensions of quality will divert effort from unmeasured dimensions, potentially reducing overall quality even as measured quality improves. Third, the quality metrics used in P4P programs may not reflect the dimensions of care that matter most to patients, creating a disconnect between the incentive signal and the desired behavioral response.</w:t>
      </w:r>
    </w:p>
    <w:p>
      <w:pPr>
        <w:pStyle w:val="Heading2"/>
        <w:spacing w:before="300" w:after="150"/>
      </w:pPr>
      <w:r>
        <w:rPr>
          <w:b/>
          <w:bCs/>
          <w:sz w:val="30"/>
          <w:szCs w:val="30"/>
          <w:rFonts w:ascii="Arial" w:cs="Arial" w:eastAsia="Arial" w:hAnsi="Arial"/>
        </w:rPr>
        <w:t xml:space="preserve">Efficiency Measurement in Healthcare</w:t>
      </w:r>
    </w:p>
    <w:p>
      <w:pPr>
        <w:pStyle w:val="Heading3"/>
        <w:spacing w:before="200" w:after="100"/>
      </w:pPr>
      <w:r>
        <w:rPr>
          <w:b/>
          <w:bCs/>
          <w:sz w:val="26"/>
          <w:szCs w:val="26"/>
          <w:rFonts w:ascii="Arial" w:cs="Arial" w:eastAsia="Arial" w:hAnsi="Arial"/>
        </w:rPr>
        <w:t xml:space="preserve">Technical Efficiency vs. Allocative Efficiency</w:t>
      </w:r>
    </w:p>
    <w:p>
      <w:pPr>
        <w:spacing w:after="120"/>
      </w:pPr>
      <w:r>
        <w:rPr>
          <w:sz w:val="24"/>
          <w:szCs w:val="24"/>
          <w:rFonts w:ascii="Arial" w:cs="Arial" w:eastAsia="Arial" w:hAnsi="Arial"/>
        </w:rPr>
        <w:t xml:space="preserve">Healthcare efficiency analysis distinguishes between technical efficiency and allocative efficiency. Technical efficiency refers to producing the maximum output from a given set of inputs — or equivalently, producing a given output with the minimum input use. A technically efficient hospital is one that cannot reduce its resource consumption without reducing its output (patient volume or quality). Allocative efficiency refers to choosing the optimal mix of inputs given their relative prices — for example, substituting lower-cost nurse practitioners for higher-cost physicians where clinical evidence supports equivalent outcomes.</w:t>
      </w:r>
    </w:p>
    <w:p>
      <w:pPr>
        <w:pStyle w:val="Heading3"/>
        <w:spacing w:before="200" w:after="100"/>
      </w:pPr>
      <w:r>
        <w:rPr>
          <w:b/>
          <w:bCs/>
          <w:sz w:val="26"/>
          <w:szCs w:val="26"/>
          <w:rFonts w:ascii="Arial" w:cs="Arial" w:eastAsia="Arial" w:hAnsi="Arial"/>
        </w:rPr>
        <w:t xml:space="preserve">Stochastic Frontier Analysis</w:t>
      </w:r>
    </w:p>
    <w:p>
      <w:pPr>
        <w:spacing w:after="120"/>
      </w:pPr>
      <w:r>
        <w:rPr>
          <w:sz w:val="24"/>
          <w:szCs w:val="24"/>
          <w:rFonts w:ascii="Arial" w:cs="Arial" w:eastAsia="Arial" w:hAnsi="Arial"/>
        </w:rPr>
        <w:t xml:space="preserve">Stochastic frontier analysis (SFA), developed by Aigner, Lovell, and Schmidt (1977) and Meeusen and van den Broeck (1977), estimates a production or cost frontier and decomposes the deviation of each observation from the frontier into a random noise component and an inefficiency component:</w:t>
      </w:r>
    </w:p>
    <w:p>
      <w:pPr>
        <w:spacing w:after="120"/>
      </w:pPr>
      <w:r>
        <w:rPr>
          <w:sz w:val="24"/>
          <w:szCs w:val="24"/>
          <w:rFonts w:ascii="Arial" w:cs="Arial" w:eastAsia="Arial" w:hAnsi="Arial"/>
        </w:rPr>
        <w:t xml:space="preserve">ln(yᵢ) = β'xᵢ + vᵢ - uᵢ</w:t>
      </w:r>
    </w:p>
    <w:p>
      <w:pPr>
        <w:spacing w:after="120"/>
      </w:pPr>
      <w:r>
        <w:rPr>
          <w:sz w:val="24"/>
          <w:szCs w:val="24"/>
          <w:rFonts w:ascii="Arial" w:cs="Arial" w:eastAsia="Arial" w:hAnsi="Arial"/>
        </w:rPr>
        <w:t xml:space="preserve">where yᵢ is output, xᵢ is a vector of inputs, vᵢ is a symmetric random error (measurement error, luck), and uᵢ ≥ 0 is the one-sided inefficiency term. The inefficiency term is typically assumed to follow a half-normal, truncated normal, or exponential distribution, and is estimated by maximum likelihood.</w:t>
      </w:r>
    </w:p>
    <w:p>
      <w:pPr>
        <w:spacing w:after="120"/>
      </w:pPr>
      <w:r>
        <w:rPr>
          <w:sz w:val="24"/>
          <w:szCs w:val="24"/>
          <w:rFonts w:ascii="Arial" w:cs="Arial" w:eastAsia="Arial" w:hAnsi="Arial"/>
        </w:rPr>
        <w:t xml:space="preserve">SFA has been applied extensively to hospital efficiency analysis. Studies consistently find substantial variation in hospital efficiency, with the average hospital estimated to be 10% to 25% above the cost frontier. Factors associated with greater efficiency include larger hospital size (economies of scale), higher occupancy rates, for-profit ownership (modest effect), and location in competitive markets.</w:t>
      </w:r>
    </w:p>
    <w:p>
      <w:pPr>
        <w:pStyle w:val="Heading3"/>
        <w:spacing w:before="200" w:after="100"/>
      </w:pPr>
      <w:r>
        <w:rPr>
          <w:b/>
          <w:bCs/>
          <w:sz w:val="26"/>
          <w:szCs w:val="26"/>
          <w:rFonts w:ascii="Arial" w:cs="Arial" w:eastAsia="Arial" w:hAnsi="Arial"/>
        </w:rPr>
        <w:t xml:space="preserve">Data Envelopment Analysis</w:t>
      </w:r>
    </w:p>
    <w:p>
      <w:pPr>
        <w:spacing w:after="120"/>
      </w:pPr>
      <w:r>
        <w:rPr>
          <w:sz w:val="24"/>
          <w:szCs w:val="24"/>
          <w:rFonts w:ascii="Arial" w:cs="Arial" w:eastAsia="Arial" w:hAnsi="Arial"/>
        </w:rPr>
        <w:t xml:space="preserve">Data Envelopment Analysis (DEA) is a non-parametric alternative to SFA that constructs the efficiency frontier from the data without imposing a functional form on the production or cost function. DEA uses linear programming to identify the set of "best practice" observations that define the frontier, and measures the inefficiency of each observation as its distance from the frontier.</w:t>
      </w:r>
    </w:p>
    <w:p>
      <w:pPr>
        <w:spacing w:after="120"/>
      </w:pPr>
      <w:r>
        <w:rPr>
          <w:sz w:val="24"/>
          <w:szCs w:val="24"/>
          <w:rFonts w:ascii="Arial" w:cs="Arial" w:eastAsia="Arial" w:hAnsi="Arial"/>
        </w:rPr>
        <w:t xml:space="preserve">DEA has the advantage of flexibility — it does not require specification of a production function or distributional assumptions about the error term. However, it is sensitive to outliers (a single extreme observation can shift the frontier) and does not distinguish between inefficiency and random noise. In practice, SFA and DEA often produce broadly similar rankings of hospital efficiency, but the absolute efficiency scores can differ substantially.</w:t>
      </w:r>
    </w:p>
    <w:p>
      <w:pPr>
        <w:pStyle w:val="Heading2"/>
        <w:spacing w:before="300" w:after="150"/>
      </w:pPr>
      <w:r>
        <w:rPr>
          <w:b/>
          <w:bCs/>
          <w:sz w:val="30"/>
          <w:szCs w:val="30"/>
          <w:rFonts w:ascii="Arial" w:cs="Arial" w:eastAsia="Arial" w:hAnsi="Arial"/>
        </w:rPr>
        <w:t xml:space="preserve">Pharmaceutical Industry Economics</w:t>
      </w:r>
    </w:p>
    <w:p>
      <w:pPr>
        <w:pStyle w:val="Heading3"/>
        <w:spacing w:before="200" w:after="100"/>
      </w:pPr>
      <w:r>
        <w:rPr>
          <w:b/>
          <w:bCs/>
          <w:sz w:val="26"/>
          <w:szCs w:val="26"/>
          <w:rFonts w:ascii="Arial" w:cs="Arial" w:eastAsia="Arial" w:hAnsi="Arial"/>
        </w:rPr>
        <w:t xml:space="preserve">R&amp;D Investment Under Patent Protection</w:t>
      </w:r>
    </w:p>
    <w:p>
      <w:pPr>
        <w:spacing w:after="120"/>
      </w:pPr>
      <w:r>
        <w:rPr>
          <w:sz w:val="24"/>
          <w:szCs w:val="24"/>
          <w:rFonts w:ascii="Arial" w:cs="Arial" w:eastAsia="Arial" w:hAnsi="Arial"/>
        </w:rPr>
        <w:t xml:space="preserve">The pharmaceutical industry operates under a distinctive economic structure in which innovation is driven by the prospect of temporary monopoly profits conferred by patent protection. The development of a new drug is extraordinarily expensive — the Tufts Center for the Study of Drug Development estimated the average cost of bringing a new drug to market at approximately $2.6 billion (including opportunity costs of capital), although this figure has been disputed. The high cost reflects both the direct expense of clinical trials and the high failure rate: only about 12% of drugs that enter Phase I clinical trials ultimately receive FDA approval.</w:t>
      </w:r>
    </w:p>
    <w:p>
      <w:pPr>
        <w:spacing w:after="120"/>
      </w:pPr>
      <w:r>
        <w:rPr>
          <w:sz w:val="24"/>
          <w:szCs w:val="24"/>
          <w:rFonts w:ascii="Arial" w:cs="Arial" w:eastAsia="Arial" w:hAnsi="Arial"/>
        </w:rPr>
        <w:t xml:space="preserve">Patent protection (typically 20 years from filing, which translates to approximately 10-12 years of effective market exclusivity after FDA approval) provides the incentive for this risky investment by allowing the innovator to charge prices above marginal cost and recoup development expenses. Without patent protection, generic competitors could replicate the drug at a fraction of the development cost, driving prices toward marginal production cost and eliminating the incentive for innovation.</w:t>
      </w:r>
    </w:p>
    <w:p>
      <w:pPr>
        <w:spacing w:after="120"/>
      </w:pPr>
      <w:r>
        <w:rPr>
          <w:sz w:val="24"/>
          <w:szCs w:val="24"/>
          <w:rFonts w:ascii="Arial" w:cs="Arial" w:eastAsia="Arial" w:hAnsi="Arial"/>
        </w:rPr>
        <w:t xml:space="preserve">The economic tension is between static efficiency (which requires prices near marginal cost to maximize consumer welfare) and dynamic efficiency (which requires prices above marginal cost to incentivize innovation). Patent protection resolves this tension by creating a time-limited period of static inefficiency (monopoly pricing) to promote dynamic efficiency (continued R&amp;D investment).</w:t>
      </w:r>
    </w:p>
    <w:p>
      <w:pPr>
        <w:pStyle w:val="Heading3"/>
        <w:spacing w:before="200" w:after="100"/>
      </w:pPr>
      <w:r>
        <w:rPr>
          <w:b/>
          <w:bCs/>
          <w:sz w:val="26"/>
          <w:szCs w:val="26"/>
          <w:rFonts w:ascii="Arial" w:cs="Arial" w:eastAsia="Arial" w:hAnsi="Arial"/>
        </w:rPr>
        <w:t xml:space="preserve">Generic Entry and Competition</w:t>
      </w:r>
    </w:p>
    <w:p>
      <w:pPr>
        <w:spacing w:after="120"/>
      </w:pPr>
      <w:r>
        <w:rPr>
          <w:sz w:val="24"/>
          <w:szCs w:val="24"/>
          <w:rFonts w:ascii="Arial" w:cs="Arial" w:eastAsia="Arial" w:hAnsi="Arial"/>
        </w:rPr>
        <w:t xml:space="preserve">When patent protection expires, generic manufacturers can enter the market with bioequivalent versions of the branded drug, typically at prices 80% to 90% below the brand-name price. The Hatch-Waxman Act of 1984 established the regulatory framework for generic drug approval in the United States, creating the Abbreviated New Drug Application (ANDA) pathway that allows generic manufacturers to demonstrate bioequivalence without repeating full clinical trials.</w:t>
      </w:r>
    </w:p>
    <w:p>
      <w:pPr>
        <w:spacing w:after="120"/>
      </w:pPr>
      <w:r>
        <w:rPr>
          <w:sz w:val="24"/>
          <w:szCs w:val="24"/>
          <w:rFonts w:ascii="Arial" w:cs="Arial" w:eastAsia="Arial" w:hAnsi="Arial"/>
        </w:rPr>
        <w:t xml:space="preserve">Generic entry following patent expiration produces large consumer welfare gains through price competition. Reiffen and Ward (2005) found that generic drug prices fall rapidly with the number of generic entrants, approaching marginal production cost within two to three years of generic entry in markets with multiple generic competitors.</w:t>
      </w:r>
    </w:p>
    <w:p>
      <w:pPr>
        <w:spacing w:after="120"/>
      </w:pPr>
      <w:r>
        <w:rPr>
          <w:sz w:val="24"/>
          <w:szCs w:val="24"/>
          <w:rFonts w:ascii="Arial" w:cs="Arial" w:eastAsia="Arial" w:hAnsi="Arial"/>
        </w:rPr>
        <w:t xml:space="preserve">However, the transition from branded to generic drugs is not always seamless. "Pay-for-delay" agreements (also called reverse payment settlements), in which the brand-name manufacturer pays the generic competitor to delay market entry, have been challenged as anticompetitive by the Federal Trade Commission. The Supreme Court's 2013 decision in FTC v. Actavis established that such agreements are subject to antitrust scrutiny under a rule-of-reason analysis.</w:t>
      </w:r>
    </w:p>
    <w:p>
      <w:pPr>
        <w:pStyle w:val="Heading3"/>
        <w:spacing w:before="200" w:after="100"/>
      </w:pPr>
      <w:r>
        <w:rPr>
          <w:b/>
          <w:bCs/>
          <w:sz w:val="26"/>
          <w:szCs w:val="26"/>
          <w:rFonts w:ascii="Arial" w:cs="Arial" w:eastAsia="Arial" w:hAnsi="Arial"/>
        </w:rPr>
        <w:t xml:space="preserve">Pharmacy Benefit Managers</w:t>
      </w:r>
    </w:p>
    <w:p>
      <w:pPr>
        <w:spacing w:after="120"/>
      </w:pPr>
      <w:r>
        <w:rPr>
          <w:sz w:val="24"/>
          <w:szCs w:val="24"/>
          <w:rFonts w:ascii="Arial" w:cs="Arial" w:eastAsia="Arial" w:hAnsi="Arial"/>
        </w:rPr>
        <w:t xml:space="preserve">Pharmacy benefit managers (PBMs) are intermediary organizations that manage prescription drug benefits on behalf of health insurers and employers. The three largest PBMs — CVS Caremark, Express Scripts, and OptumRx — manage approximately 80% of all prescription drug claims in the United States. PBMs negotiate rebates from pharmaceutical manufacturers in exchange for favorable formulary placement, process claims, manage pharmacy networks, and operate mail-order pharmacies.</w:t>
      </w:r>
    </w:p>
    <w:p>
      <w:pPr>
        <w:spacing w:after="120"/>
      </w:pPr>
      <w:r>
        <w:rPr>
          <w:sz w:val="24"/>
          <w:szCs w:val="24"/>
          <w:rFonts w:ascii="Arial" w:cs="Arial" w:eastAsia="Arial" w:hAnsi="Arial"/>
        </w:rPr>
        <w:t xml:space="preserve">The economic role of PBMs is debated. Proponents argue that PBMs use their bargaining power to negotiate lower drug prices, saving money for payers and consumers. Critics argue that the rebate system is opaque, that PBMs retain a significant share of negotiated savings rather than passing them through to consumers, and that the rebate structure incentivizes manufacturers to set high list prices (from which rebates are calculated) rather than low net prices. The lack of transparency in PBM operations has attracted increasing regulatory scrutiny, including proposed legislation requiring PBM rebate passthrough and disclosure requirements.</w:t>
      </w:r>
    </w:p>
    <w:p>
      <w:pPr>
        <w:pStyle w:val="Heading2"/>
        <w:spacing w:before="300" w:after="150"/>
      </w:pPr>
      <w:r>
        <w:rPr>
          <w:b/>
          <w:bCs/>
          <w:sz w:val="30"/>
          <w:szCs w:val="30"/>
          <w:rFonts w:ascii="Arial" w:cs="Arial" w:eastAsia="Arial" w:hAnsi="Arial"/>
        </w:rPr>
        <w:t xml:space="preserve">The Healthcare Workforce Beyond Physicians</w:t>
      </w:r>
    </w:p>
    <w:p>
      <w:pPr>
        <w:pStyle w:val="Heading3"/>
        <w:spacing w:before="200" w:after="100"/>
      </w:pPr>
      <w:r>
        <w:rPr>
          <w:b/>
          <w:bCs/>
          <w:sz w:val="26"/>
          <w:szCs w:val="26"/>
          <w:rFonts w:ascii="Arial" w:cs="Arial" w:eastAsia="Arial" w:hAnsi="Arial"/>
        </w:rPr>
        <w:t xml:space="preserve">Nursing Supply and Labor Markets</w:t>
      </w:r>
    </w:p>
    <w:p>
      <w:pPr>
        <w:spacing w:after="120"/>
      </w:pPr>
      <w:r>
        <w:rPr>
          <w:sz w:val="24"/>
          <w:szCs w:val="24"/>
          <w:rFonts w:ascii="Arial" w:cs="Arial" w:eastAsia="Arial" w:hAnsi="Arial"/>
        </w:rPr>
        <w:t xml:space="preserve">Registered nurses constitute the largest segment of the healthcare workforce, with approximately 3.1 million employed RNs in the United States. The nursing labor market has been characterized by recurring cycles of shortage and surplus, driven by the interaction of demographic trends (aging population, aging workforce), educational capacity (nursing school enrollment, faculty availability), working conditions (nurse-to-patient ratios, overtime, burnout), and compensation.</w:t>
      </w:r>
    </w:p>
    <w:p>
      <w:pPr>
        <w:spacing w:after="120"/>
      </w:pPr>
      <w:r>
        <w:rPr>
          <w:sz w:val="24"/>
          <w:szCs w:val="24"/>
          <w:rFonts w:ascii="Arial" w:cs="Arial" w:eastAsia="Arial" w:hAnsi="Arial"/>
        </w:rPr>
        <w:t xml:space="preserve">The economic analysis of nursing labor markets has produced a notable debate about monopsony power. In many local markets, hospitals are the dominant employer of nurses, creating conditions for monopsony — a market structure in which a single buyer (or a small number of buyers) faces an upward-sloping labor supply curve. Under monopsony, the equilibrium wage is below the competitive wage, and employment is below the competitive level.</w:t>
      </w:r>
    </w:p>
    <w:p>
      <w:pPr>
        <w:spacing w:after="120"/>
      </w:pPr>
      <w:r>
        <w:rPr>
          <w:sz w:val="24"/>
          <w:szCs w:val="24"/>
          <w:rFonts w:ascii="Arial" w:cs="Arial" w:eastAsia="Arial" w:hAnsi="Arial"/>
        </w:rPr>
        <w:t xml:space="preserve">Staiger, Spetz, and Phibbs (2010) provided compelling evidence for monopsony in nursing labor markets. Using data from Veterans Administration hospitals, they estimated that the labor supply elasticity facing individual hospitals is very low (approximately 0.1), implying substantial monopsony power. This finding suggests that hospital nurse shortages may be partially self-inflicted: hospitals facing an upward-sloping supply curve choose to employ fewer nurses at a lower wage rather than raise wages to attract additional nurses.</w:t>
      </w:r>
    </w:p>
    <w:p>
      <w:pPr>
        <w:pStyle w:val="Heading3"/>
        <w:spacing w:before="200" w:after="100"/>
      </w:pPr>
      <w:r>
        <w:rPr>
          <w:b/>
          <w:bCs/>
          <w:sz w:val="26"/>
          <w:szCs w:val="26"/>
          <w:rFonts w:ascii="Arial" w:cs="Arial" w:eastAsia="Arial" w:hAnsi="Arial"/>
        </w:rPr>
        <w:t xml:space="preserve">Advanced Practice Providers</w:t>
      </w:r>
    </w:p>
    <w:p>
      <w:pPr>
        <w:spacing w:after="120"/>
      </w:pPr>
      <w:r>
        <w:rPr>
          <w:sz w:val="24"/>
          <w:szCs w:val="24"/>
          <w:rFonts w:ascii="Arial" w:cs="Arial" w:eastAsia="Arial" w:hAnsi="Arial"/>
        </w:rPr>
        <w:t xml:space="preserve">Advanced practice providers (APPs) — nurse practitioners (NPs), physician assistants (PAs), certified registered nurse anesthetists (CRNAs), and certified nurse-midwives (CNMs) — have become an increasingly important component of the healthcare workforce. NP and PA employment has grown at approximately 6% to 8% annually, far outpacing physician workforce growth.</w:t>
      </w:r>
    </w:p>
    <w:p>
      <w:pPr>
        <w:spacing w:after="120"/>
      </w:pPr>
      <w:r>
        <w:rPr>
          <w:sz w:val="24"/>
          <w:szCs w:val="24"/>
          <w:rFonts w:ascii="Arial" w:cs="Arial" w:eastAsia="Arial" w:hAnsi="Arial"/>
        </w:rPr>
        <w:t xml:space="preserve">The economic question central to APP workforce policy is substitutability: to what extent can APPs substitute for physicians in the production of healthcare services? If APPs and physicians are close substitutes for a substantial range of services, then expanding the APP workforce and broadening APP scope of practice can increase access and reduce costs without compromising quality.</w:t>
      </w:r>
    </w:p>
    <w:p>
      <w:pPr>
        <w:spacing w:after="120"/>
      </w:pPr>
      <w:r>
        <w:rPr>
          <w:sz w:val="24"/>
          <w:szCs w:val="24"/>
          <w:rFonts w:ascii="Arial" w:cs="Arial" w:eastAsia="Arial" w:hAnsi="Arial"/>
        </w:rPr>
        <w:t xml:space="preserve">The empirical evidence generally supports a high degree of substitutability between APPs and physicians for primary care and many common acute care presentations. Systematic reviews by the National Academy of Medicine and others have concluded that NP-delivered primary care is comparable to physician-delivered primary care in terms of patient outcomes, patient satisfaction, and cost, for the conditions within the NP scope of practice.</w:t>
      </w:r>
    </w:p>
    <w:p>
      <w:pPr>
        <w:spacing w:after="120"/>
      </w:pPr>
      <w:r>
        <w:rPr>
          <w:sz w:val="24"/>
          <w:szCs w:val="24"/>
          <w:rFonts w:ascii="Arial" w:cs="Arial" w:eastAsia="Arial" w:hAnsi="Arial"/>
        </w:rPr>
        <w:t xml:space="preserve">Scope-of-practice regulations vary dramatically across states. Full-practice states allow NPs to diagnose, treat, and prescribe independently, while restricted-practice states require physician oversight or collaborative agreements. The economic literature suggests that restrictive scope-of-practice regulations reduce healthcare access (particularly in rural areas), increase costs, and do not improve patient safety. Kleiner and colleagues (2016) estimated that restrictive NP scope-of-practice regulations are associated with 3% to 5% fewer primary care visits in affected states.</w:t>
      </w:r>
    </w:p>
    <w:p>
      <w:pPr>
        <w:pStyle w:val="Heading3"/>
        <w:spacing w:before="200" w:after="100"/>
      </w:pPr>
      <w:r>
        <w:rPr>
          <w:b/>
          <w:bCs/>
          <w:sz w:val="26"/>
          <w:szCs w:val="26"/>
          <w:rFonts w:ascii="Arial" w:cs="Arial" w:eastAsia="Arial" w:hAnsi="Arial"/>
        </w:rPr>
        <w:t xml:space="preserve">Team-Based Care and Production Functions</w:t>
      </w:r>
    </w:p>
    <w:p>
      <w:pPr>
        <w:spacing w:after="120"/>
      </w:pPr>
      <w:r>
        <w:rPr>
          <w:sz w:val="24"/>
          <w:szCs w:val="24"/>
          <w:rFonts w:ascii="Arial" w:cs="Arial" w:eastAsia="Arial" w:hAnsi="Arial"/>
        </w:rPr>
        <w:t xml:space="preserve">Modern healthcare delivery increasingly relies on team-based production functions in which multiple provider types contribute complementary inputs. The patient-centered medical home (PCMH), for example, deploys physicians, NPs, PAs, nurses, medical assistants, pharmacists, behavioral health specialists, and care coordinators in an integrated team designed to provide comprehensive primary care.</w:t>
      </w:r>
    </w:p>
    <w:p>
      <w:pPr>
        <w:spacing w:after="120"/>
      </w:pPr>
      <w:r>
        <w:rPr>
          <w:sz w:val="24"/>
          <w:szCs w:val="24"/>
          <w:rFonts w:ascii="Arial" w:cs="Arial" w:eastAsia="Arial" w:hAnsi="Arial"/>
        </w:rPr>
        <w:t xml:space="preserve">The economics of team-based care involve both substitution effects (replacing expensive providers with less expensive ones where appropriate) and complementarity effects (combining providers with different skills to produce outcomes that no single provider type could achieve alone). The empirical evidence on the cost-effectiveness of team-based care is still developing, with some studies finding significant savings from PCMH models and others finding cost-neutral results with modest quality improvements.</w:t>
      </w:r>
    </w:p>
    <w:p>
      <w:pPr>
        <w:pStyle w:val="Heading2"/>
        <w:spacing w:before="300" w:after="150"/>
      </w:pPr>
      <w:r>
        <w:rPr>
          <w:b/>
          <w:bCs/>
          <w:sz w:val="30"/>
          <w:szCs w:val="30"/>
          <w:rFonts w:ascii="Arial" w:cs="Arial" w:eastAsia="Arial" w:hAnsi="Arial"/>
        </w:rPr>
        <w:t xml:space="preserve">Vertical and Horizontal Integration</w:t>
      </w:r>
    </w:p>
    <w:p>
      <w:pPr>
        <w:pStyle w:val="Heading3"/>
        <w:spacing w:before="200" w:after="100"/>
      </w:pPr>
      <w:r>
        <w:rPr>
          <w:b/>
          <w:bCs/>
          <w:sz w:val="26"/>
          <w:szCs w:val="26"/>
          <w:rFonts w:ascii="Arial" w:cs="Arial" w:eastAsia="Arial" w:hAnsi="Arial"/>
        </w:rPr>
        <w:t xml:space="preserve">Physician-Hospital Integration</w:t>
      </w:r>
    </w:p>
    <w:p>
      <w:pPr>
        <w:spacing w:after="120"/>
      </w:pPr>
      <w:r>
        <w:rPr>
          <w:sz w:val="24"/>
          <w:szCs w:val="24"/>
          <w:rFonts w:ascii="Arial" w:cs="Arial" w:eastAsia="Arial" w:hAnsi="Arial"/>
        </w:rPr>
        <w:t xml:space="preserve">The trend toward physician-hospital integration — in which hospitals employ physicians directly or acquire physician practices — has accelerated dramatically since 2010. By 2024, approximately 77% of physicians were employed by hospitals or health systems, up from approximately 25% in 2000.</w:t>
      </w:r>
    </w:p>
    <w:p>
      <w:pPr>
        <w:spacing w:after="120"/>
      </w:pPr>
      <w:r>
        <w:rPr>
          <w:sz w:val="24"/>
          <w:szCs w:val="24"/>
          <w:rFonts w:ascii="Arial" w:cs="Arial" w:eastAsia="Arial" w:hAnsi="Arial"/>
        </w:rPr>
        <w:t xml:space="preserve">The economic motivations for integration are multifaceted. For hospitals, employing physicians provides control over referral patterns, facilitates care coordination, enables participation in risk-bearing payment models (accountable care organizations, bundled payments), and strengthens negotiating position with insurers. For physicians, hospital employment offers guaranteed income, administrative support, malpractice coverage, and relief from the financial pressures of independent practice.</w:t>
      </w:r>
    </w:p>
    <w:p>
      <w:pPr>
        <w:spacing w:after="120"/>
      </w:pPr>
      <w:r>
        <w:rPr>
          <w:sz w:val="24"/>
          <w:szCs w:val="24"/>
          <w:rFonts w:ascii="Arial" w:cs="Arial" w:eastAsia="Arial" w:hAnsi="Arial"/>
        </w:rPr>
        <w:t xml:space="preserve">However, the empirical evidence on the effects of physician-hospital integration raises significant concerns. Studies by Baker, Bundorf, and Kessler (2014) and others have consistently found that physician-hospital integration is associated with higher prices for physician services (10% to 25% increases), with no evidence of improved quality or efficiency. The price increases appear to reflect the application of hospital outpatient facility fees to services previously billed as office-based professional services, as well as enhanced bargaining leverage with insurers.</w:t>
      </w:r>
    </w:p>
    <w:p>
      <w:pPr>
        <w:pStyle w:val="Heading3"/>
        <w:spacing w:before="200" w:after="100"/>
      </w:pPr>
      <w:r>
        <w:rPr>
          <w:b/>
          <w:bCs/>
          <w:sz w:val="26"/>
          <w:szCs w:val="26"/>
          <w:rFonts w:ascii="Arial" w:cs="Arial" w:eastAsia="Arial" w:hAnsi="Arial"/>
        </w:rPr>
        <w:t xml:space="preserve">Accountable Care Organizations</w:t>
      </w:r>
    </w:p>
    <w:p>
      <w:pPr>
        <w:spacing w:after="120"/>
      </w:pPr>
      <w:r>
        <w:rPr>
          <w:sz w:val="24"/>
          <w:szCs w:val="24"/>
          <w:rFonts w:ascii="Arial" w:cs="Arial" w:eastAsia="Arial" w:hAnsi="Arial"/>
        </w:rPr>
        <w:t xml:space="preserve">Accountable care organizations (ACOs) represent a form of virtual integration in which providers share accountability for the total cost and quality of care for a defined patient population without necessarily merging into a single organizational entity. Medicare's Shared Savings Program (MSSP) is the largest ACO program, with over 450 participating ACOs covering approximately 11 million Medicare beneficiaries.</w:t>
      </w:r>
    </w:p>
    <w:p>
      <w:pPr>
        <w:spacing w:after="120"/>
      </w:pPr>
      <w:r>
        <w:rPr>
          <w:sz w:val="24"/>
          <w:szCs w:val="24"/>
          <w:rFonts w:ascii="Arial" w:cs="Arial" w:eastAsia="Arial" w:hAnsi="Arial"/>
        </w:rPr>
        <w:t xml:space="preserve">Under MSSP, ACOs that reduce spending below a risk-adjusted benchmark while meeting quality targets receive a share of the savings (shared savings). Under two-sided risk models, ACOs also bear financial responsibility for spending above the benchmark (shared losses). The economic theory is that shared savings creates an incentive for coordinated care management — reducing unnecessary hospitalizations, avoiding duplicative testing, managing chronic conditions proactively — that FFS payment discourages.</w:t>
      </w:r>
    </w:p>
    <w:p>
      <w:pPr>
        <w:spacing w:after="120"/>
      </w:pPr>
      <w:r>
        <w:rPr>
          <w:sz w:val="24"/>
          <w:szCs w:val="24"/>
          <w:rFonts w:ascii="Arial" w:cs="Arial" w:eastAsia="Arial" w:hAnsi="Arial"/>
        </w:rPr>
        <w:t xml:space="preserve">The empirical evidence on ACO performance is mixed but cautiously positive. McWilliams and colleagues (2016) found that MSSP ACOs generated modest savings (1% to 2% of total spending) that grew over time, with savings concentrated among ACOs that were physician-led rather than hospital-led. Quality metrics have generally improved or remained stable. However, the magnitude of savings has been smaller than proponents hoped, and the selection of low-cost providers into the ACO program complicates the interpretation of spending reductions.</w:t>
      </w:r>
    </w:p>
    <w:p>
      <w:pPr>
        <w:spacing w:after="120"/>
      </w:pPr>
      <w:r>
        <w:rPr>
          <w:sz w:val="24"/>
          <w:szCs w:val="24"/>
          <w:rFonts w:ascii="Arial" w:cs="Arial" w:eastAsia="Arial" w:hAnsi="Arial"/>
        </w:rPr>
      </w:r>
      <w:r>
        <w:rPr>
          <w:b/>
          <w:bCs/>
          <w:sz w:val="24"/>
          <w:szCs w:val="24"/>
          <w:rFonts w:ascii="Arial" w:cs="Arial" w:eastAsia="Arial" w:hAnsi="Arial"/>
        </w:rPr>
        <w:t xml:space="preserve">Table 3.1: Provider Payment Mechanisms and Incentive Effects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Payment Model</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Unit of Payment</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Volume Incentive</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Quality Incentive</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Risk Bearer</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Fee-for-service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Individual service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Increase volume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None (weak)</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Payer</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DRG prospective payment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Hospital discharge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LOS, intensity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readmissions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Hospital</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Capitation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Enrolled member/month</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volume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Prevent costly events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Provider</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Bundled payment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Episode of care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post-acute use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Coordinate across settings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Provider group</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Pay-for-performance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Quality metric bonus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Varies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Direct (measured metrics)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Shared</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Shared savings (ACO)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Population spending target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total spending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Quality gates required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Shared</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supply side of healthcare markets is shaped by institutional structures, regulatory frameworks, and behavioral incentives that produce outcomes far removed from the competitive ideal. Physicians make specialty and location choices that create persistent workforce imbalances. Hospitals — operating under varied ownership structures and within increasingly concentrated markets — respond to payment incentives in ways that may improve efficiency or may simply shift costs and game measurement systems. The pharmaceutical industry balances the need for innovation incentives against the welfare costs of monopoly pricing. And the growing healthcare workforce of advanced practice providers, nurses, and allied health professionals operates within scope-of-practice regulations that are often driven more by professional politics than by evidence on patient outcomes.</w:t>
      </w:r>
    </w:p>
    <w:p>
      <w:pPr>
        <w:spacing w:after="120"/>
      </w:pPr>
      <w:r>
        <w:rPr>
          <w:sz w:val="24"/>
          <w:szCs w:val="24"/>
          <w:rFonts w:ascii="Arial" w:cs="Arial" w:eastAsia="Arial" w:hAnsi="Arial"/>
        </w:rPr>
        <w:t xml:space="preserve">Understanding these supply-side dynamics is essential for designing payment systems, regulatory frameworks, and market structures that align provider incentives with the social objectives of high-quality, efficient, equitable healthcare. The payment reform models discussed in this chapter — bundled payments, capitation, pay-for-performance, shared savings — represent ongoing experiments in incentive design, the empirical evaluation of which requires the econometric methods developed in subsequent chapters (particularly the difference-in-differences methods of Chapter 11 and the structural estimation approaches of Chapter 17). The Julia implementations in Chapters 19-26 provide the computational tools for conducting this evaluation.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Aigner, D., Lovell, C. A. K., &amp; Schmidt, P. (1977). Formulation and estimation of stochastic frontier production function models. </w:t>
      </w:r>
      <w:r>
        <w:rPr>
          <w:i/>
          <w:iCs/>
          <w:sz w:val="24"/>
          <w:szCs w:val="24"/>
          <w:rFonts w:ascii="Arial" w:cs="Arial" w:eastAsia="Arial" w:hAnsi="Arial"/>
        </w:rPr>
        <w:t xml:space="preserve">Journal of Econometrics</w:t>
      </w:r>
      <w:r>
        <w:rPr>
          <w:sz w:val="24"/>
          <w:szCs w:val="24"/>
          <w:rFonts w:ascii="Arial" w:cs="Arial" w:eastAsia="Arial" w:hAnsi="Arial"/>
        </w:rPr>
        <w:t xml:space="preserve">, 6(1), 21-37.</w:t>
      </w:r>
    </w:p>
    <w:p>
      <w:pPr>
        <w:spacing w:after="120"/>
      </w:pPr>
      <w:r>
        <w:rPr>
          <w:sz w:val="24"/>
          <w:szCs w:val="24"/>
          <w:rFonts w:ascii="Arial" w:cs="Arial" w:eastAsia="Arial" w:hAnsi="Arial"/>
        </w:rPr>
        <w:t xml:space="preserve">2. Baker, L. C., Bundorf, M. K., &amp; Kessler, D. P. (2014). Vertical integration: Hospital ownership of physician practices is associated with higher prices and spending. </w:t>
      </w:r>
      <w:r>
        <w:rPr>
          <w:i/>
          <w:iCs/>
          <w:sz w:val="24"/>
          <w:szCs w:val="24"/>
          <w:rFonts w:ascii="Arial" w:cs="Arial" w:eastAsia="Arial" w:hAnsi="Arial"/>
        </w:rPr>
        <w:t xml:space="preserve">Health Affairs</w:t>
      </w:r>
      <w:r>
        <w:rPr>
          <w:sz w:val="24"/>
          <w:szCs w:val="24"/>
          <w:rFonts w:ascii="Arial" w:cs="Arial" w:eastAsia="Arial" w:hAnsi="Arial"/>
        </w:rPr>
        <w:t xml:space="preserve">, 33(5), 756-763.</w:t>
      </w:r>
    </w:p>
    <w:p>
      <w:pPr>
        <w:spacing w:after="120"/>
      </w:pPr>
      <w:r>
        <w:rPr>
          <w:sz w:val="24"/>
          <w:szCs w:val="24"/>
          <w:rFonts w:ascii="Arial" w:cs="Arial" w:eastAsia="Arial" w:hAnsi="Arial"/>
        </w:rPr>
        <w:t xml:space="preserve">3. Bhattacharya, J. (2005). Specialty selection and lifetime returns to specialization within medicine. </w:t>
      </w:r>
      <w:r>
        <w:rPr>
          <w:i/>
          <w:iCs/>
          <w:sz w:val="24"/>
          <w:szCs w:val="24"/>
          <w:rFonts w:ascii="Arial" w:cs="Arial" w:eastAsia="Arial" w:hAnsi="Arial"/>
        </w:rPr>
        <w:t xml:space="preserve">Journal of Human Resources</w:t>
      </w:r>
      <w:r>
        <w:rPr>
          <w:sz w:val="24"/>
          <w:szCs w:val="24"/>
          <w:rFonts w:ascii="Arial" w:cs="Arial" w:eastAsia="Arial" w:hAnsi="Arial"/>
        </w:rPr>
        <w:t xml:space="preserve">, 40(1), 115-143.</w:t>
      </w:r>
    </w:p>
    <w:p>
      <w:pPr>
        <w:spacing w:after="120"/>
      </w:pPr>
      <w:r>
        <w:rPr>
          <w:sz w:val="24"/>
          <w:szCs w:val="24"/>
          <w:rFonts w:ascii="Arial" w:cs="Arial" w:eastAsia="Arial" w:hAnsi="Arial"/>
        </w:rPr>
        <w:t xml:space="preserve">4. Dafny, L. S. (2005). How do hospitals respond to price changes? </w:t>
      </w:r>
      <w:r>
        <w:rPr>
          <w:i/>
          <w:iCs/>
          <w:sz w:val="24"/>
          <w:szCs w:val="24"/>
          <w:rFonts w:ascii="Arial" w:cs="Arial" w:eastAsia="Arial" w:hAnsi="Arial"/>
        </w:rPr>
        <w:t xml:space="preserve">American Economic Review</w:t>
      </w:r>
      <w:r>
        <w:rPr>
          <w:sz w:val="24"/>
          <w:szCs w:val="24"/>
          <w:rFonts w:ascii="Arial" w:cs="Arial" w:eastAsia="Arial" w:hAnsi="Arial"/>
        </w:rPr>
        <w:t xml:space="preserve">, 95(5), 1525-1547.</w:t>
      </w:r>
    </w:p>
    <w:p>
      <w:pPr>
        <w:spacing w:after="120"/>
      </w:pPr>
      <w:r>
        <w:rPr>
          <w:sz w:val="24"/>
          <w:szCs w:val="24"/>
          <w:rFonts w:ascii="Arial" w:cs="Arial" w:eastAsia="Arial" w:hAnsi="Arial"/>
        </w:rPr>
        <w:t xml:space="preserve">5. Finkelstein, A., Ji, Y., Mahoney, N., &amp; Skinner, J. (2016). Mandatory Medicare bundled payment program for lower extremity joint replacement and discharge to institutional postacute care. </w:t>
      </w:r>
      <w:r>
        <w:rPr>
          <w:i/>
          <w:iCs/>
          <w:sz w:val="24"/>
          <w:szCs w:val="24"/>
          <w:rFonts w:ascii="Arial" w:cs="Arial" w:eastAsia="Arial" w:hAnsi="Arial"/>
        </w:rPr>
        <w:t xml:space="preserve">JAMA</w:t>
      </w:r>
      <w:r>
        <w:rPr>
          <w:sz w:val="24"/>
          <w:szCs w:val="24"/>
          <w:rFonts w:ascii="Arial" w:cs="Arial" w:eastAsia="Arial" w:hAnsi="Arial"/>
        </w:rPr>
        <w:t xml:space="preserve">, 316(12), 1267-1278.</w:t>
      </w:r>
    </w:p>
    <w:p>
      <w:pPr>
        <w:spacing w:after="120"/>
      </w:pPr>
      <w:r>
        <w:rPr>
          <w:sz w:val="24"/>
          <w:szCs w:val="24"/>
          <w:rFonts w:ascii="Arial" w:cs="Arial" w:eastAsia="Arial" w:hAnsi="Arial"/>
        </w:rPr>
        <w:t xml:space="preserve">6. Gaynor, M., Moreno-Serra, R., &amp; Propper, C. (2013). Death by market power: Reform, competition, and patient outcomes in the National Health Service. </w:t>
      </w:r>
      <w:r>
        <w:rPr>
          <w:i/>
          <w:iCs/>
          <w:sz w:val="24"/>
          <w:szCs w:val="24"/>
          <w:rFonts w:ascii="Arial" w:cs="Arial" w:eastAsia="Arial" w:hAnsi="Arial"/>
        </w:rPr>
        <w:t xml:space="preserve">American Economic Journal: Economic Policy</w:t>
      </w:r>
      <w:r>
        <w:rPr>
          <w:sz w:val="24"/>
          <w:szCs w:val="24"/>
          <w:rFonts w:ascii="Arial" w:cs="Arial" w:eastAsia="Arial" w:hAnsi="Arial"/>
        </w:rPr>
        <w:t xml:space="preserve">, 5(4), 134-166.</w:t>
      </w:r>
    </w:p>
    <w:p>
      <w:pPr>
        <w:spacing w:after="120"/>
      </w:pPr>
      <w:r>
        <w:rPr>
          <w:sz w:val="24"/>
          <w:szCs w:val="24"/>
          <w:rFonts w:ascii="Arial" w:cs="Arial" w:eastAsia="Arial" w:hAnsi="Arial"/>
        </w:rPr>
        <w:t xml:space="preserve">7. Gaynor, M., &amp; Town, R. (2012). The impact of hospital consolidation—Update. </w:t>
      </w:r>
      <w:r>
        <w:rPr>
          <w:i/>
          <w:iCs/>
          <w:sz w:val="24"/>
          <w:szCs w:val="24"/>
          <w:rFonts w:ascii="Arial" w:cs="Arial" w:eastAsia="Arial" w:hAnsi="Arial"/>
        </w:rPr>
        <w:t xml:space="preserve">Robert Wood Johnson Foundation Synthesis Report</w:t>
      </w:r>
      <w:r>
        <w:rPr>
          <w:sz w:val="24"/>
          <w:szCs w:val="24"/>
          <w:rFonts w:ascii="Arial" w:cs="Arial" w:eastAsia="Arial" w:hAnsi="Arial"/>
        </w:rPr>
        <w:t xml:space="preserve">.</w:t>
      </w:r>
    </w:p>
    <w:p>
      <w:pPr>
        <w:spacing w:after="120"/>
      </w:pPr>
      <w:r>
        <w:rPr>
          <w:sz w:val="24"/>
          <w:szCs w:val="24"/>
          <w:rFonts w:ascii="Arial" w:cs="Arial" w:eastAsia="Arial" w:hAnsi="Arial"/>
        </w:rPr>
        <w:t xml:space="preserve">8. Holmstrom, B., &amp; Milgrom, P. (1991). Multitask principal-agent analyses: Incentive contracts, asset ownership, and job design. </w:t>
      </w:r>
      <w:r>
        <w:rPr>
          <w:i/>
          <w:iCs/>
          <w:sz w:val="24"/>
          <w:szCs w:val="24"/>
          <w:rFonts w:ascii="Arial" w:cs="Arial" w:eastAsia="Arial" w:hAnsi="Arial"/>
        </w:rPr>
        <w:t xml:space="preserve">Journal of Law, Economics, and Organization</w:t>
      </w:r>
      <w:r>
        <w:rPr>
          <w:sz w:val="24"/>
          <w:szCs w:val="24"/>
          <w:rFonts w:ascii="Arial" w:cs="Arial" w:eastAsia="Arial" w:hAnsi="Arial"/>
        </w:rPr>
        <w:t xml:space="preserve">, 7(Special Issue), 24-52.</w:t>
      </w:r>
    </w:p>
    <w:p>
      <w:pPr>
        <w:spacing w:after="120"/>
      </w:pPr>
      <w:r>
        <w:rPr>
          <w:sz w:val="24"/>
          <w:szCs w:val="24"/>
          <w:rFonts w:ascii="Arial" w:cs="Arial" w:eastAsia="Arial" w:hAnsi="Arial"/>
        </w:rPr>
        <w:t xml:space="preserve">9. Kessler, D. P., &amp; McClellan, M. B. (2000). Is hospital competition socially wasteful? </w:t>
      </w:r>
      <w:r>
        <w:rPr>
          <w:i/>
          <w:iCs/>
          <w:sz w:val="24"/>
          <w:szCs w:val="24"/>
          <w:rFonts w:ascii="Arial" w:cs="Arial" w:eastAsia="Arial" w:hAnsi="Arial"/>
        </w:rPr>
        <w:t xml:space="preserve">Quarterly Journal of Economics</w:t>
      </w:r>
      <w:r>
        <w:rPr>
          <w:sz w:val="24"/>
          <w:szCs w:val="24"/>
          <w:rFonts w:ascii="Arial" w:cs="Arial" w:eastAsia="Arial" w:hAnsi="Arial"/>
        </w:rPr>
        <w:t xml:space="preserve">, 115(2), 577-615.</w:t>
      </w:r>
    </w:p>
    <w:p>
      <w:pPr>
        <w:spacing w:after="120"/>
      </w:pPr>
      <w:r>
        <w:rPr>
          <w:sz w:val="24"/>
          <w:szCs w:val="24"/>
          <w:rFonts w:ascii="Arial" w:cs="Arial" w:eastAsia="Arial" w:hAnsi="Arial"/>
        </w:rPr>
        <w:t xml:space="preserve">10. Kleiner, M. M., Marier, A., Park, K. W., &amp; Wing, C. (2016). Relaxing occupational licensing requirements: Analyzing wages and prices for a medical service. </w:t>
      </w:r>
      <w:r>
        <w:rPr>
          <w:i/>
          <w:iCs/>
          <w:sz w:val="24"/>
          <w:szCs w:val="24"/>
          <w:rFonts w:ascii="Arial" w:cs="Arial" w:eastAsia="Arial" w:hAnsi="Arial"/>
        </w:rPr>
        <w:t xml:space="preserve">Journal of Law and Economics</w:t>
      </w:r>
      <w:r>
        <w:rPr>
          <w:sz w:val="24"/>
          <w:szCs w:val="24"/>
          <w:rFonts w:ascii="Arial" w:cs="Arial" w:eastAsia="Arial" w:hAnsi="Arial"/>
        </w:rPr>
        <w:t xml:space="preserve">, 59(2), 261-291.</w:t>
      </w:r>
    </w:p>
    <w:p>
      <w:pPr>
        <w:spacing w:after="120"/>
      </w:pPr>
      <w:r>
        <w:rPr>
          <w:sz w:val="24"/>
          <w:szCs w:val="24"/>
          <w:rFonts w:ascii="Arial" w:cs="Arial" w:eastAsia="Arial" w:hAnsi="Arial"/>
        </w:rPr>
        <w:t xml:space="preserve">11. Lakdawalla, D., &amp; Philipson, T. (2006). The nonprofit sector and industry performance. </w:t>
      </w:r>
      <w:r>
        <w:rPr>
          <w:i/>
          <w:iCs/>
          <w:sz w:val="24"/>
          <w:szCs w:val="24"/>
          <w:rFonts w:ascii="Arial" w:cs="Arial" w:eastAsia="Arial" w:hAnsi="Arial"/>
        </w:rPr>
        <w:t xml:space="preserve">Journal of Public Economics</w:t>
      </w:r>
      <w:r>
        <w:rPr>
          <w:sz w:val="24"/>
          <w:szCs w:val="24"/>
          <w:rFonts w:ascii="Arial" w:cs="Arial" w:eastAsia="Arial" w:hAnsi="Arial"/>
        </w:rPr>
        <w:t xml:space="preserve">, 90(8-9), 1681-1698.</w:t>
      </w:r>
    </w:p>
    <w:p>
      <w:pPr>
        <w:spacing w:after="120"/>
      </w:pPr>
      <w:r>
        <w:rPr>
          <w:sz w:val="24"/>
          <w:szCs w:val="24"/>
          <w:rFonts w:ascii="Arial" w:cs="Arial" w:eastAsia="Arial" w:hAnsi="Arial"/>
        </w:rPr>
        <w:t xml:space="preserve">12. McWilliams, J. M., Hatfield, L. A., Chernew, M. E., Landon, B. E., &amp; Schwartz, A. L. (2016). Early performance of accountable care organizations in Medicare. </w:t>
      </w:r>
      <w:r>
        <w:rPr>
          <w:i/>
          <w:iCs/>
          <w:sz w:val="24"/>
          <w:szCs w:val="24"/>
          <w:rFonts w:ascii="Arial" w:cs="Arial" w:eastAsia="Arial" w:hAnsi="Arial"/>
        </w:rPr>
        <w:t xml:space="preserve">New England Journal of Medicine</w:t>
      </w:r>
      <w:r>
        <w:rPr>
          <w:sz w:val="24"/>
          <w:szCs w:val="24"/>
          <w:rFonts w:ascii="Arial" w:cs="Arial" w:eastAsia="Arial" w:hAnsi="Arial"/>
        </w:rPr>
        <w:t xml:space="preserve">, 374(24), 2357-2366.</w:t>
      </w:r>
    </w:p>
    <w:p>
      <w:pPr>
        <w:spacing w:after="120"/>
      </w:pPr>
      <w:r>
        <w:rPr>
          <w:sz w:val="24"/>
          <w:szCs w:val="24"/>
          <w:rFonts w:ascii="Arial" w:cs="Arial" w:eastAsia="Arial" w:hAnsi="Arial"/>
        </w:rPr>
        <w:t xml:space="preserve">13. Mendelson, A., Kondo, K., Damberg, C., Low, A., Motúapuaka, M., Freeman, M., ... &amp; Kansagara, D. (2017). The effects of pay-for-performance programs on health, health care use, and processes of care: A systematic review. </w:t>
      </w:r>
      <w:r>
        <w:rPr>
          <w:i/>
          <w:iCs/>
          <w:sz w:val="24"/>
          <w:szCs w:val="24"/>
          <w:rFonts w:ascii="Arial" w:cs="Arial" w:eastAsia="Arial" w:hAnsi="Arial"/>
        </w:rPr>
        <w:t xml:space="preserve">Annals of Internal Medicine</w:t>
      </w:r>
      <w:r>
        <w:rPr>
          <w:sz w:val="24"/>
          <w:szCs w:val="24"/>
          <w:rFonts w:ascii="Arial" w:cs="Arial" w:eastAsia="Arial" w:hAnsi="Arial"/>
        </w:rPr>
        <w:t xml:space="preserve">, 166(5), 341-353.</w:t>
      </w:r>
    </w:p>
    <w:p>
      <w:pPr>
        <w:spacing w:after="120"/>
      </w:pPr>
      <w:r>
        <w:rPr>
          <w:sz w:val="24"/>
          <w:szCs w:val="24"/>
          <w:rFonts w:ascii="Arial" w:cs="Arial" w:eastAsia="Arial" w:hAnsi="Arial"/>
        </w:rPr>
        <w:t xml:space="preserve">14. Newhouse, J. P. (1970). Toward a theory of nonprofit institutions: An economic model of a hospital. </w:t>
      </w:r>
      <w:r>
        <w:rPr>
          <w:i/>
          <w:iCs/>
          <w:sz w:val="24"/>
          <w:szCs w:val="24"/>
          <w:rFonts w:ascii="Arial" w:cs="Arial" w:eastAsia="Arial" w:hAnsi="Arial"/>
        </w:rPr>
        <w:t xml:space="preserve">American Economic Review</w:t>
      </w:r>
      <w:r>
        <w:rPr>
          <w:sz w:val="24"/>
          <w:szCs w:val="24"/>
          <w:rFonts w:ascii="Arial" w:cs="Arial" w:eastAsia="Arial" w:hAnsi="Arial"/>
        </w:rPr>
        <w:t xml:space="preserve">, 60(1), 64-74.</w:t>
      </w:r>
    </w:p>
    <w:p>
      <w:pPr>
        <w:spacing w:after="120"/>
      </w:pPr>
      <w:r>
        <w:rPr>
          <w:sz w:val="24"/>
          <w:szCs w:val="24"/>
          <w:rFonts w:ascii="Arial" w:cs="Arial" w:eastAsia="Arial" w:hAnsi="Arial"/>
        </w:rPr>
        <w:t xml:space="preserve">15. Nguyen, N. X., &amp; Derrick, F. W. (1997). Physician behavioral response to a Medicare price reduction. </w:t>
      </w:r>
      <w:r>
        <w:rPr>
          <w:i/>
          <w:iCs/>
          <w:sz w:val="24"/>
          <w:szCs w:val="24"/>
          <w:rFonts w:ascii="Arial" w:cs="Arial" w:eastAsia="Arial" w:hAnsi="Arial"/>
        </w:rPr>
        <w:t xml:space="preserve">Health Services Research</w:t>
      </w:r>
      <w:r>
        <w:rPr>
          <w:sz w:val="24"/>
          <w:szCs w:val="24"/>
          <w:rFonts w:ascii="Arial" w:cs="Arial" w:eastAsia="Arial" w:hAnsi="Arial"/>
        </w:rPr>
        <w:t xml:space="preserve">, 32(3), 283-298.</w:t>
      </w:r>
    </w:p>
    <w:p>
      <w:pPr>
        <w:spacing w:after="120"/>
      </w:pPr>
      <w:r>
        <w:rPr>
          <w:sz w:val="24"/>
          <w:szCs w:val="24"/>
          <w:rFonts w:ascii="Arial" w:cs="Arial" w:eastAsia="Arial" w:hAnsi="Arial"/>
        </w:rPr>
        <w:t xml:space="preserve">16. Nicholson, S. (2002). Physician specialty choice under uncertainty. </w:t>
      </w:r>
      <w:r>
        <w:rPr>
          <w:i/>
          <w:iCs/>
          <w:sz w:val="24"/>
          <w:szCs w:val="24"/>
          <w:rFonts w:ascii="Arial" w:cs="Arial" w:eastAsia="Arial" w:hAnsi="Arial"/>
        </w:rPr>
        <w:t xml:space="preserve">Journal of Labor Economics</w:t>
      </w:r>
      <w:r>
        <w:rPr>
          <w:sz w:val="24"/>
          <w:szCs w:val="24"/>
          <w:rFonts w:ascii="Arial" w:cs="Arial" w:eastAsia="Arial" w:hAnsi="Arial"/>
        </w:rPr>
        <w:t xml:space="preserve">, 20(4), 816-847.</w:t>
      </w:r>
    </w:p>
    <w:p>
      <w:pPr>
        <w:spacing w:after="120"/>
      </w:pPr>
      <w:r>
        <w:rPr>
          <w:sz w:val="24"/>
          <w:szCs w:val="24"/>
          <w:rFonts w:ascii="Arial" w:cs="Arial" w:eastAsia="Arial" w:hAnsi="Arial"/>
        </w:rPr>
        <w:t xml:space="preserve">17. Nicholson, S., &amp; Souleles, N. S. (2001). Physician income expectations and specialty choice. </w:t>
      </w:r>
      <w:r>
        <w:rPr>
          <w:i/>
          <w:iCs/>
          <w:sz w:val="24"/>
          <w:szCs w:val="24"/>
          <w:rFonts w:ascii="Arial" w:cs="Arial" w:eastAsia="Arial" w:hAnsi="Arial"/>
        </w:rPr>
        <w:t xml:space="preserve">NBER Working Paper No. 8536</w:t>
      </w:r>
      <w:r>
        <w:rPr>
          <w:sz w:val="24"/>
          <w:szCs w:val="24"/>
          <w:rFonts w:ascii="Arial" w:cs="Arial" w:eastAsia="Arial" w:hAnsi="Arial"/>
        </w:rPr>
        <w:t xml:space="preserve">.</w:t>
      </w:r>
    </w:p>
    <w:p>
      <w:pPr>
        <w:spacing w:after="120"/>
      </w:pPr>
      <w:r>
        <w:rPr>
          <w:sz w:val="24"/>
          <w:szCs w:val="24"/>
          <w:rFonts w:ascii="Arial" w:cs="Arial" w:eastAsia="Arial" w:hAnsi="Arial"/>
        </w:rPr>
        <w:t xml:space="preserve">18. Pauly, M. V., &amp; Redisch, M. (1973). The not-for-profit hospital as a physicians' cooperative. </w:t>
      </w:r>
      <w:r>
        <w:rPr>
          <w:i/>
          <w:iCs/>
          <w:sz w:val="24"/>
          <w:szCs w:val="24"/>
          <w:rFonts w:ascii="Arial" w:cs="Arial" w:eastAsia="Arial" w:hAnsi="Arial"/>
        </w:rPr>
        <w:t xml:space="preserve">American Economic Review</w:t>
      </w:r>
      <w:r>
        <w:rPr>
          <w:sz w:val="24"/>
          <w:szCs w:val="24"/>
          <w:rFonts w:ascii="Arial" w:cs="Arial" w:eastAsia="Arial" w:hAnsi="Arial"/>
        </w:rPr>
        <w:t xml:space="preserve">, 63(1), 87-99.</w:t>
      </w:r>
    </w:p>
    <w:p>
      <w:pPr>
        <w:spacing w:after="120"/>
      </w:pPr>
      <w:r>
        <w:rPr>
          <w:sz w:val="24"/>
          <w:szCs w:val="24"/>
          <w:rFonts w:ascii="Arial" w:cs="Arial" w:eastAsia="Arial" w:hAnsi="Arial"/>
        </w:rPr>
        <w:t xml:space="preserve">19. Reiffen, D., &amp; Ward, M. R. (2005). Generic drug industry dynamics. </w:t>
      </w:r>
      <w:r>
        <w:rPr>
          <w:i/>
          <w:iCs/>
          <w:sz w:val="24"/>
          <w:szCs w:val="24"/>
          <w:rFonts w:ascii="Arial" w:cs="Arial" w:eastAsia="Arial" w:hAnsi="Arial"/>
        </w:rPr>
        <w:t xml:space="preserve">Review of Economics and Statistics</w:t>
      </w:r>
      <w:r>
        <w:rPr>
          <w:sz w:val="24"/>
          <w:szCs w:val="24"/>
          <w:rFonts w:ascii="Arial" w:cs="Arial" w:eastAsia="Arial" w:hAnsi="Arial"/>
        </w:rPr>
        <w:t xml:space="preserve">, 87(1), 37-49.</w:t>
      </w:r>
    </w:p>
    <w:p>
      <w:pPr>
        <w:spacing w:after="120"/>
      </w:pPr>
      <w:r>
        <w:rPr>
          <w:sz w:val="24"/>
          <w:szCs w:val="24"/>
          <w:rFonts w:ascii="Arial" w:cs="Arial" w:eastAsia="Arial" w:hAnsi="Arial"/>
        </w:rPr>
        <w:t xml:space="preserve">20. Sloan, F. A., Ostermann, J., &amp; Conover, C. J. (2001). </w:t>
      </w:r>
      <w:r>
        <w:rPr>
          <w:i/>
          <w:iCs/>
          <w:sz w:val="24"/>
          <w:szCs w:val="24"/>
          <w:rFonts w:ascii="Arial" w:cs="Arial" w:eastAsia="Arial" w:hAnsi="Arial"/>
        </w:rPr>
        <w:t xml:space="preserve">Not-for-Profit Hospital Conversions</w:t>
      </w:r>
      <w:r>
        <w:rPr>
          <w:sz w:val="24"/>
          <w:szCs w:val="24"/>
          <w:rFonts w:ascii="Arial" w:cs="Arial" w:eastAsia="Arial" w:hAnsi="Arial"/>
        </w:rPr>
        <w:t xml:space="preserve">. In F. A. Sloan (Ed.), </w:t>
      </w:r>
      <w:r>
        <w:rPr>
          <w:i/>
          <w:iCs/>
          <w:sz w:val="24"/>
          <w:szCs w:val="24"/>
          <w:rFonts w:ascii="Arial" w:cs="Arial" w:eastAsia="Arial" w:hAnsi="Arial"/>
        </w:rPr>
        <w:t xml:space="preserve">Commercialism in Health Care</w:t>
      </w:r>
      <w:r>
        <w:rPr>
          <w:sz w:val="24"/>
          <w:szCs w:val="24"/>
          <w:rFonts w:ascii="Arial" w:cs="Arial" w:eastAsia="Arial" w:hAnsi="Arial"/>
        </w:rPr>
        <w:t xml:space="preserve">. Cambridge University Press.</w:t>
      </w:r>
    </w:p>
    <w:p>
      <w:pPr>
        <w:spacing w:after="120"/>
      </w:pPr>
      <w:r>
        <w:rPr>
          <w:sz w:val="24"/>
          <w:szCs w:val="24"/>
          <w:rFonts w:ascii="Arial" w:cs="Arial" w:eastAsia="Arial" w:hAnsi="Arial"/>
        </w:rPr>
        <w:t xml:space="preserve">21. Staiger, D. O., Spetz, J., &amp; Phibbs, C. S. (2010). Is there monopsony in the labor market? Evidence from a natural experiment. </w:t>
      </w:r>
      <w:r>
        <w:rPr>
          <w:i/>
          <w:iCs/>
          <w:sz w:val="24"/>
          <w:szCs w:val="24"/>
          <w:rFonts w:ascii="Arial" w:cs="Arial" w:eastAsia="Arial" w:hAnsi="Arial"/>
        </w:rPr>
        <w:t xml:space="preserve">Journal of Labor Economics</w:t>
      </w:r>
      <w:r>
        <w:rPr>
          <w:sz w:val="24"/>
          <w:szCs w:val="24"/>
          <w:rFonts w:ascii="Arial" w:cs="Arial" w:eastAsia="Arial" w:hAnsi="Arial"/>
        </w:rPr>
        <w:t xml:space="preserve">, 28(2), 211-236.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3: Healthcare Supply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2026-04-13T16:05:40.426Z</dcterms:created>
  <dcterms:modified xsi:type="dcterms:W3CDTF">2026-04-13T16:05:40.427Z</dcterms:modified>
</cp:coreProperties>
</file>

<file path=docProps/custom.xml><?xml version="1.0" encoding="utf-8"?>
<Properties xmlns="http://schemas.openxmlformats.org/officeDocument/2006/custom-properties" xmlns:vt="http://schemas.openxmlformats.org/officeDocument/2006/docPropsVTypes"/>
</file>