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17</w:t>
      </w:r>
    </w:p>
    <w:p>
      <w:pPr>
        <w:jc w:val="center"/>
      </w:pPr>
      <w:r>
        <w:rPr>
          <w:i/>
          <w:iCs/>
          <w:sz w:val="32"/>
          <w:szCs w:val="32"/>
          <w:rFonts w:ascii="Arial" w:cs="Arial" w:eastAsia="Arial" w:hAnsi="Arial"/>
        </w:rPr>
        <w:t xml:space="preserve">Structural Estimation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Structural econometric models specify the economic primitives — utility functions, production functions, equilibrium conditions, constraints — that generate observed behavior, then estimate the parameters of these primitives from data. Unlike reduced-form methods that estimate the net effect of a policy without specifying the mechanism, structural models make the mechanism explicit, enabling counterfactual policy simulations that go beyond the variation observed in the data. In health economics, structural estimation has been applied to insurance market design, hospital-insurer bargaining, physician behavior under alternative payment contracts, dynamic treatment decisions, and technology adoption.</w:t>
      </w:r>
    </w:p>
    <w:p>
      <w:pPr>
        <w:pStyle w:val="Heading2"/>
        <w:spacing w:before="300" w:after="150"/>
      </w:pPr>
      <w:r>
        <w:rPr>
          <w:b/>
          <w:bCs/>
          <w:sz w:val="30"/>
          <w:szCs w:val="30"/>
          <w:rFonts w:ascii="Arial" w:cs="Arial" w:eastAsia="Arial" w:hAnsi="Arial"/>
        </w:rPr>
        <w:t xml:space="preserve">Reduced-Form vs. Structural Approaches</w:t>
      </w:r>
    </w:p>
    <w:p>
      <w:pPr>
        <w:spacing w:after="120"/>
      </w:pPr>
      <w:r>
        <w:rPr>
          <w:sz w:val="24"/>
          <w:szCs w:val="24"/>
          <w:rFonts w:ascii="Arial" w:cs="Arial" w:eastAsia="Arial" w:hAnsi="Arial"/>
        </w:rPr>
        <w:t xml:space="preserve">The distinction is practical. A reduced-form DiD study of Medicaid expansion estimates the average effect of expansion on utilization, but cannot predict the effect of a different expansion design (partial expansion, different income threshold, different benefit package). A structural model of insurance demand, adverse selection, and utilization response can simulate any alternative design by modifying the model's parameters and re-solving the equilibrium.</w:t>
      </w:r>
    </w:p>
    <w:p>
      <w:pPr>
        <w:spacing w:after="120"/>
      </w:pPr>
      <w:r>
        <w:rPr>
          <w:sz w:val="24"/>
          <w:szCs w:val="24"/>
          <w:rFonts w:ascii="Arial" w:cs="Arial" w:eastAsia="Arial" w:hAnsi="Arial"/>
        </w:rPr>
        <w:t xml:space="preserve">The cost of structural estimation is the additional assumptions required. Structural models impose functional forms (utility functions, production functions), distributional assumptions (for unobserved heterogeneity), and equilibrium concepts (Nash bargaining, competitive equilibrium) that reduced-form methods avoid. If these assumptions are wrong, the structural estimates and counterfactual predictions may be misleading. The field has therefore developed a pragmatic division of labor: reduced-form methods for credible estimation of specific treatment effects; structural methods for understanding mechanisms and simulating counterfactual policies.</w:t>
      </w:r>
    </w:p>
    <w:p>
      <w:pPr>
        <w:pStyle w:val="Heading2"/>
        <w:spacing w:before="300" w:after="150"/>
      </w:pPr>
      <w:r>
        <w:rPr>
          <w:b/>
          <w:bCs/>
          <w:sz w:val="30"/>
          <w:szCs w:val="30"/>
          <w:rFonts w:ascii="Arial" w:cs="Arial" w:eastAsia="Arial" w:hAnsi="Arial"/>
        </w:rPr>
        <w:t xml:space="preserve">Static Structural Models</w:t>
      </w:r>
    </w:p>
    <w:p>
      <w:pPr>
        <w:pStyle w:val="Heading3"/>
        <w:spacing w:before="200" w:after="100"/>
      </w:pPr>
      <w:r>
        <w:rPr>
          <w:b/>
          <w:bCs/>
          <w:sz w:val="26"/>
          <w:szCs w:val="26"/>
          <w:rFonts w:ascii="Arial" w:cs="Arial" w:eastAsia="Arial" w:hAnsi="Arial"/>
        </w:rPr>
        <w:t xml:space="preserve">Hospital Demand and Merger Simulation</w:t>
      </w:r>
    </w:p>
    <w:p>
      <w:pPr>
        <w:spacing w:after="120"/>
      </w:pPr>
      <w:r>
        <w:rPr>
          <w:sz w:val="24"/>
          <w:szCs w:val="24"/>
          <w:rFonts w:ascii="Arial" w:cs="Arial" w:eastAsia="Arial" w:hAnsi="Arial"/>
        </w:rPr>
        <w:t xml:space="preserve">BLP-type discrete choice demand models (Chapter 14) combined with supply-side models of hospital pricing constitute the structural framework for hospital merger analysis. Gowrisankaran, Nevo, and Town (2015) estimated a model in which hospitals and insurers bargain over prices using Nash bargaining, with the hospital's bargaining leverage determined by its contribution to the insurer's network value (which depends on the demand model). Merger simulation involves re-solving the bargaining game after combining the merging hospitals' bargaining positions, predicting the post-merger price change.</w:t>
      </w:r>
    </w:p>
    <w:p>
      <w:pPr>
        <w:pStyle w:val="Heading3"/>
        <w:spacing w:before="200" w:after="100"/>
      </w:pPr>
      <w:r>
        <w:rPr>
          <w:b/>
          <w:bCs/>
          <w:sz w:val="26"/>
          <w:szCs w:val="26"/>
          <w:rFonts w:ascii="Arial" w:cs="Arial" w:eastAsia="Arial" w:hAnsi="Arial"/>
        </w:rPr>
        <w:t xml:space="preserve">Insurance Market Equilibrium</w:t>
      </w:r>
    </w:p>
    <w:p>
      <w:pPr>
        <w:spacing w:after="120"/>
      </w:pPr>
      <w:r>
        <w:rPr>
          <w:sz w:val="24"/>
          <w:szCs w:val="24"/>
          <w:rFonts w:ascii="Arial" w:cs="Arial" w:eastAsia="Arial" w:hAnsi="Arial"/>
        </w:rPr>
        <w:t xml:space="preserve">Einav, Finkelstein, and Cullen (2010) developed a structural framework for welfare analysis in insurance markets. Their model estimates the demand curve for insurance and the cost curve (average cost of insured individuals as a function of the price), identifies the equilibrium (intersection of demand and average cost), and computes the welfare loss from adverse selection as the deadweight loss triangle between the competitive equilibrium and the efficient allocation.</w:t>
      </w:r>
    </w:p>
    <w:p>
      <w:pPr>
        <w:pStyle w:val="Heading2"/>
        <w:spacing w:before="300" w:after="150"/>
      </w:pPr>
      <w:r>
        <w:rPr>
          <w:b/>
          <w:bCs/>
          <w:sz w:val="30"/>
          <w:szCs w:val="30"/>
          <w:rFonts w:ascii="Arial" w:cs="Arial" w:eastAsia="Arial" w:hAnsi="Arial"/>
        </w:rPr>
        <w:t xml:space="preserve">Dynamic Structural Models</w:t>
      </w:r>
    </w:p>
    <w:p>
      <w:pPr>
        <w:pStyle w:val="Heading3"/>
        <w:spacing w:before="200" w:after="100"/>
      </w:pPr>
      <w:r>
        <w:rPr>
          <w:b/>
          <w:bCs/>
          <w:sz w:val="26"/>
          <w:szCs w:val="26"/>
          <w:rFonts w:ascii="Arial" w:cs="Arial" w:eastAsia="Arial" w:hAnsi="Arial"/>
        </w:rPr>
        <w:t xml:space="preserve">Dynamic Discrete Choice</w:t>
      </w:r>
    </w:p>
    <w:p>
      <w:pPr>
        <w:spacing w:after="120"/>
      </w:pPr>
      <w:r>
        <w:rPr>
          <w:sz w:val="24"/>
          <w:szCs w:val="24"/>
          <w:rFonts w:ascii="Arial" w:cs="Arial" w:eastAsia="Arial" w:hAnsi="Arial"/>
        </w:rPr>
        <w:t xml:space="preserve">Dynamic discrete choice (DDC) models extend static choice models to settings where current decisions affect future states and payoffs. The agent maximizes expected discounted lifetime utility:</w:t>
      </w:r>
    </w:p>
    <w:p>
      <w:pPr>
        <w:spacing w:after="120"/>
      </w:pPr>
      <w:r>
        <w:rPr>
          <w:sz w:val="24"/>
          <w:szCs w:val="24"/>
          <w:rFonts w:ascii="Arial" w:cs="Arial" w:eastAsia="Arial" w:hAnsi="Arial"/>
        </w:rPr>
        <w:t xml:space="preserve">max E[Σₜ βᵗ u(dₜ, sₜ, εₜ)]</w:t>
      </w:r>
    </w:p>
    <w:p>
      <w:pPr>
        <w:spacing w:after="120"/>
      </w:pPr>
      <w:r>
        <w:rPr>
          <w:sz w:val="24"/>
          <w:szCs w:val="24"/>
          <w:rFonts w:ascii="Arial" w:cs="Arial" w:eastAsia="Arial" w:hAnsi="Arial"/>
        </w:rPr>
        <w:t xml:space="preserve">subject to the state transition sₜ₊₁ = f(sₜ, dₜ, ηₜ). The solution involves the Bellman equation:</w:t>
      </w:r>
    </w:p>
    <w:p>
      <w:pPr>
        <w:spacing w:after="120"/>
      </w:pPr>
      <w:r>
        <w:rPr>
          <w:sz w:val="24"/>
          <w:szCs w:val="24"/>
          <w:rFonts w:ascii="Arial" w:cs="Arial" w:eastAsia="Arial" w:hAnsi="Arial"/>
        </w:rPr>
        <w:t xml:space="preserve">V(s, ε) = max_d {u(d, s, ε) + β E[V(s', ε') | s, d]}</w:t>
      </w:r>
    </w:p>
    <w:p>
      <w:pPr>
        <w:spacing w:after="120"/>
      </w:pPr>
      <w:r>
        <w:rPr>
          <w:sz w:val="24"/>
          <w:szCs w:val="24"/>
          <w:rFonts w:ascii="Arial" w:cs="Arial" w:eastAsia="Arial" w:hAnsi="Arial"/>
        </w:rPr>
        <w:t xml:space="preserve">Rust (1987) developed the nested fixed point (NFXP) algorithm for estimating DDC models: an inner loop solves the dynamic programming problem for given parameter values, and an outer loop searches over parameter values to maximize the likelihood.</w:t>
      </w:r>
    </w:p>
    <w:p>
      <w:pPr>
        <w:spacing w:after="120"/>
      </w:pPr>
      <w:r>
        <w:rPr>
          <w:sz w:val="24"/>
          <w:szCs w:val="24"/>
          <w:rFonts w:ascii="Arial" w:cs="Arial" w:eastAsia="Arial" w:hAnsi="Arial"/>
        </w:rPr>
        <w:t xml:space="preserve">In health economics, DDC models have been applied to physician practice location decisions (physicians choose locations considering current income and future career prospects), patient medication adherence (patients trade off current costs and side effects against future health benefits), and hospital technology adoption (hospitals invest in new technology considering current patient demand and future competitive dynamics).</w:t>
      </w:r>
    </w:p>
    <w:p>
      <w:pPr>
        <w:pStyle w:val="Heading3"/>
        <w:spacing w:before="200" w:after="100"/>
      </w:pPr>
      <w:r>
        <w:rPr>
          <w:b/>
          <w:bCs/>
          <w:sz w:val="26"/>
          <w:szCs w:val="26"/>
          <w:rFonts w:ascii="Arial" w:cs="Arial" w:eastAsia="Arial" w:hAnsi="Arial"/>
        </w:rPr>
        <w:t xml:space="preserve">Computational Methods</w:t>
      </w:r>
    </w:p>
    <w:p>
      <w:pPr>
        <w:spacing w:after="120"/>
      </w:pPr>
      <w:r>
        <w:rPr>
          <w:sz w:val="24"/>
          <w:szCs w:val="24"/>
          <w:rFonts w:ascii="Arial" w:cs="Arial" w:eastAsia="Arial" w:hAnsi="Arial"/>
        </w:rPr>
        <w:t xml:space="preserve">Solving DDC models is computationally intensive due to the "curse of dimensionality" — the state space grows exponentially with the number of state variables. Solution methods include backward induction (feasible for finite-horizon problems with small state spaces), conditional choice probability (CCP) estimation (Hotz and Miller, 1993, which avoids solving the full dynamic program by using observed choice probabilities to construct the value function), and simulation-based estimation (simulated MLE, method of simulated moments).</w:t>
      </w:r>
    </w:p>
    <w:p>
      <w:pPr>
        <w:pStyle w:val="Heading2"/>
        <w:spacing w:before="300" w:after="150"/>
      </w:pPr>
      <w:r>
        <w:rPr>
          <w:b/>
          <w:bCs/>
          <w:sz w:val="30"/>
          <w:szCs w:val="30"/>
          <w:rFonts w:ascii="Arial" w:cs="Arial" w:eastAsia="Arial" w:hAnsi="Arial"/>
        </w:rPr>
        <w:t xml:space="preserve">Bargaining Models</w:t>
      </w:r>
    </w:p>
    <w:p>
      <w:pPr>
        <w:spacing w:after="120"/>
      </w:pPr>
      <w:r>
        <w:rPr>
          <w:sz w:val="24"/>
          <w:szCs w:val="24"/>
          <w:rFonts w:ascii="Arial" w:cs="Arial" w:eastAsia="Arial" w:hAnsi="Arial"/>
        </w:rPr>
        <w:t xml:space="preserve">Nash bargaining between hospitals and insurers determines negotiated prices in commercial insurance markets. The Nash bargaining solution maximizes the product of the parties' gains from agreement:</w:t>
      </w:r>
    </w:p>
    <w:p>
      <w:pPr>
        <w:spacing w:after="120"/>
      </w:pPr>
      <w:r>
        <w:rPr>
          <w:sz w:val="24"/>
          <w:szCs w:val="24"/>
          <w:rFonts w:ascii="Arial" w:cs="Arial" w:eastAsia="Arial" w:hAnsi="Arial"/>
        </w:rPr>
        <w:t xml:space="preserve">max (πH - dH)^α × (πI - dI)^(1-α)</w:t>
      </w:r>
    </w:p>
    <w:p>
      <w:pPr>
        <w:spacing w:after="120"/>
      </w:pPr>
      <w:r>
        <w:rPr>
          <w:sz w:val="24"/>
          <w:szCs w:val="24"/>
          <w:rFonts w:ascii="Arial" w:cs="Arial" w:eastAsia="Arial" w:hAnsi="Arial"/>
        </w:rPr>
        <w:t xml:space="preserve">where πH and πI are the hospital's and insurer's payoffs from agreement, dH and dI are the disagreement payoffs (payoffs if negotiation fails), and α is the hospital's bargaining power.</w:t>
      </w:r>
    </w:p>
    <w:p>
      <w:pPr>
        <w:spacing w:after="120"/>
      </w:pPr>
      <w:r>
        <w:rPr>
          <w:sz w:val="24"/>
          <w:szCs w:val="24"/>
          <w:rFonts w:ascii="Arial" w:cs="Arial" w:eastAsia="Arial" w:hAnsi="Arial"/>
        </w:rPr>
        <w:t xml:space="preserve">The hospital's disagreement payoff depends on its outside options (revenue from other insurers and Medicare). The insurer's disagreement payoff depends on the value of its network without the hospital (determined by patient demand and the availability of substitute hospitals). Hospital mergers increase the hospital's bargaining power by making its network participation more valuable and by reducing the insurer's substitute options — the mechanism through which mergers lead to price increases.</w:t>
      </w:r>
    </w:p>
    <w:p>
      <w:pPr>
        <w:spacing w:after="120"/>
      </w:pPr>
      <w:r>
        <w:rPr>
          <w:sz w:val="24"/>
          <w:szCs w:val="24"/>
          <w:rFonts w:ascii="Arial" w:cs="Arial" w:eastAsia="Arial" w:hAnsi="Arial"/>
        </w:rPr>
        <w:t xml:space="preserve">Ho and Lee (2017) estimated a comprehensive model of insurer-hospital bargaining that incorporates both price negotiation and network formation, providing a structural framework for evaluating the welfare effects of hospital market consolidation and insurance market regulation.</w:t>
      </w:r>
    </w:p>
    <w:p>
      <w:pPr>
        <w:spacing w:after="120"/>
      </w:pPr>
      <w:r>
        <w:rPr>
          <w:sz w:val="24"/>
          <w:szCs w:val="24"/>
          <w:rFonts w:ascii="Arial" w:cs="Arial" w:eastAsia="Arial" w:hAnsi="Arial"/>
        </w:rPr>
      </w:r>
      <w:r>
        <w:rPr>
          <w:b/>
          <w:bCs/>
          <w:sz w:val="24"/>
          <w:szCs w:val="24"/>
          <w:rFonts w:ascii="Arial" w:cs="Arial" w:eastAsia="Arial" w:hAnsi="Arial"/>
        </w:rPr>
        <w:t xml:space="preserve">Table 17.1: Structural Models in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 Class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Papers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Application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Computational Method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Demand + bargaining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Gowrisankaran-Nevo-Town (2015)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 merger simulation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BLP + Nash bargaining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Insurance market equilibrium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Einav-Finkelstein-Cullen (2010)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Adverse selection welfare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Sufficient statistics / structural</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Dynamic discrete choice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Crawford-Shum (2005)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Prescription drug choice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NFXP, CCP estimation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Physician behavior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Clemens-Gottlieb (2014)</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Payment reform response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Supply-side structural</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Network formation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Ho-Lee (2017)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Hospital-insurer networks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Bargaining + network model</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Structural estimation provides the tools for understanding economic mechanisms and simulating counterfactual policies that reduced-form methods cannot address. The cost is additional modeling assumptions, and the field has developed a productive division of labor: reduced-form methods for credible causal estimation, structural methods for mechanism analysis and policy simulation. Julia's computational strengths — fast optimization, easy parallelism, multiple dispatch for model composition — make it well-suited for structural estimation, as demonstrated in Chapter 21.</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Einav, L., Finkelstein, A., &amp; Cullen, M. R. (2010). Estimating welfare in insurance markets using variation in prices. </w:t>
      </w:r>
      <w:r>
        <w:rPr>
          <w:i/>
          <w:iCs/>
          <w:sz w:val="24"/>
          <w:szCs w:val="24"/>
          <w:rFonts w:ascii="Arial" w:cs="Arial" w:eastAsia="Arial" w:hAnsi="Arial"/>
        </w:rPr>
        <w:t xml:space="preserve">QJE</w:t>
      </w:r>
      <w:r>
        <w:rPr>
          <w:sz w:val="24"/>
          <w:szCs w:val="24"/>
          <w:rFonts w:ascii="Arial" w:cs="Arial" w:eastAsia="Arial" w:hAnsi="Arial"/>
        </w:rPr>
        <w:t xml:space="preserve">, 125(3), 877-921.</w:t>
      </w:r>
    </w:p>
    <w:p>
      <w:pPr>
        <w:spacing w:after="120"/>
      </w:pPr>
      <w:r>
        <w:rPr>
          <w:sz w:val="24"/>
          <w:szCs w:val="24"/>
          <w:rFonts w:ascii="Arial" w:cs="Arial" w:eastAsia="Arial" w:hAnsi="Arial"/>
        </w:rPr>
        <w:t xml:space="preserve">2. Gowrisankaran, G., Nevo, A., &amp; Town, R. (2015). Mergers when prices are negotiated. </w:t>
      </w:r>
      <w:r>
        <w:rPr>
          <w:i/>
          <w:iCs/>
          <w:sz w:val="24"/>
          <w:szCs w:val="24"/>
          <w:rFonts w:ascii="Arial" w:cs="Arial" w:eastAsia="Arial" w:hAnsi="Arial"/>
        </w:rPr>
        <w:t xml:space="preserve">AER</w:t>
      </w:r>
      <w:r>
        <w:rPr>
          <w:sz w:val="24"/>
          <w:szCs w:val="24"/>
          <w:rFonts w:ascii="Arial" w:cs="Arial" w:eastAsia="Arial" w:hAnsi="Arial"/>
        </w:rPr>
        <w:t xml:space="preserve">, 105(1), 172-203.</w:t>
      </w:r>
    </w:p>
    <w:p>
      <w:pPr>
        <w:spacing w:after="120"/>
      </w:pPr>
      <w:r>
        <w:rPr>
          <w:sz w:val="24"/>
          <w:szCs w:val="24"/>
          <w:rFonts w:ascii="Arial" w:cs="Arial" w:eastAsia="Arial" w:hAnsi="Arial"/>
        </w:rPr>
        <w:t xml:space="preserve">3. Ho, K., &amp; Lee, R. S. (2017). Insurer competition in health care markets. </w:t>
      </w:r>
      <w:r>
        <w:rPr>
          <w:i/>
          <w:iCs/>
          <w:sz w:val="24"/>
          <w:szCs w:val="24"/>
          <w:rFonts w:ascii="Arial" w:cs="Arial" w:eastAsia="Arial" w:hAnsi="Arial"/>
        </w:rPr>
        <w:t xml:space="preserve">Econometrica</w:t>
      </w:r>
      <w:r>
        <w:rPr>
          <w:sz w:val="24"/>
          <w:szCs w:val="24"/>
          <w:rFonts w:ascii="Arial" w:cs="Arial" w:eastAsia="Arial" w:hAnsi="Arial"/>
        </w:rPr>
        <w:t xml:space="preserve">, 85(2), 379-417.</w:t>
      </w:r>
    </w:p>
    <w:p>
      <w:pPr>
        <w:spacing w:after="120"/>
      </w:pPr>
      <w:r>
        <w:rPr>
          <w:sz w:val="24"/>
          <w:szCs w:val="24"/>
          <w:rFonts w:ascii="Arial" w:cs="Arial" w:eastAsia="Arial" w:hAnsi="Arial"/>
        </w:rPr>
        <w:t xml:space="preserve">4. Hotz, V. J., &amp; Miller, R. A. (1993). Conditional choice probabilities and the estimation of dynamic models. </w:t>
      </w:r>
      <w:r>
        <w:rPr>
          <w:i/>
          <w:iCs/>
          <w:sz w:val="24"/>
          <w:szCs w:val="24"/>
          <w:rFonts w:ascii="Arial" w:cs="Arial" w:eastAsia="Arial" w:hAnsi="Arial"/>
        </w:rPr>
        <w:t xml:space="preserve">RES</w:t>
      </w:r>
      <w:r>
        <w:rPr>
          <w:sz w:val="24"/>
          <w:szCs w:val="24"/>
          <w:rFonts w:ascii="Arial" w:cs="Arial" w:eastAsia="Arial" w:hAnsi="Arial"/>
        </w:rPr>
        <w:t xml:space="preserve">, 60(3), 497-529.</w:t>
      </w:r>
    </w:p>
    <w:p>
      <w:pPr>
        <w:spacing w:after="120"/>
      </w:pPr>
      <w:r>
        <w:rPr>
          <w:sz w:val="24"/>
          <w:szCs w:val="24"/>
          <w:rFonts w:ascii="Arial" w:cs="Arial" w:eastAsia="Arial" w:hAnsi="Arial"/>
        </w:rPr>
        <w:t xml:space="preserve">5. Rust, J. (1987). Optimal replacement of GMC bus engines. </w:t>
      </w:r>
      <w:r>
        <w:rPr>
          <w:i/>
          <w:iCs/>
          <w:sz w:val="24"/>
          <w:szCs w:val="24"/>
          <w:rFonts w:ascii="Arial" w:cs="Arial" w:eastAsia="Arial" w:hAnsi="Arial"/>
        </w:rPr>
        <w:t xml:space="preserve">Econometrica</w:t>
      </w:r>
      <w:r>
        <w:rPr>
          <w:sz w:val="24"/>
          <w:szCs w:val="24"/>
          <w:rFonts w:ascii="Arial" w:cs="Arial" w:eastAsia="Arial" w:hAnsi="Arial"/>
        </w:rPr>
        <w:t xml:space="preserve">, 55(5), 999-1033.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17: Structural Estimation in Health Economic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2026-04-15T22:36:02.745Z</dcterms:created>
  <dcterms:modified xsi:type="dcterms:W3CDTF">2026-04-15T22:36:02.745Z</dcterms:modified>
</cp:coreProperties>
</file>

<file path=docProps/custom.xml><?xml version="1.0" encoding="utf-8"?>
<Properties xmlns="http://schemas.openxmlformats.org/officeDocument/2006/custom-properties" xmlns:vt="http://schemas.openxmlformats.org/officeDocument/2006/docPropsVTypes"/>
</file>