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18</w:t>
      </w:r>
    </w:p>
    <w:p>
      <w:pPr>
        <w:jc w:val="center"/>
      </w:pPr>
      <w:r>
        <w:rPr>
          <w:i/>
          <w:iCs/>
          <w:sz w:val="32"/>
          <w:szCs w:val="32"/>
          <w:rFonts w:ascii="Arial" w:cs="Arial" w:eastAsia="Arial" w:hAnsi="Arial"/>
        </w:rPr>
        <w:t xml:space="preserve">Healthcare Data Sources and Research Design</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Empirical health economics research is built on data, and the quality, scope, and limitations of available datasets determine what questions can be answered and how credibly. The United States has the richest healthcare data infrastructure in the world — billions of insurance claims records, population-based surveys, clinical registries, electronic health records, hospital cost reports, and provider databases — but navigating this landscape requires detailed knowledge of each data source's construction, strengths, limitations, and access mechanisms. This chapter provides a comprehensive guide to the major US healthcare datasets and the research design considerations for constructing studies from them.</w:t>
      </w:r>
    </w:p>
    <w:p>
      <w:pPr>
        <w:pStyle w:val="Heading2"/>
        <w:spacing w:before="300" w:after="150"/>
      </w:pPr>
      <w:r>
        <w:rPr>
          <w:b/>
          <w:bCs/>
          <w:sz w:val="30"/>
          <w:szCs w:val="30"/>
          <w:rFonts w:ascii="Arial" w:cs="Arial" w:eastAsia="Arial" w:hAnsi="Arial"/>
        </w:rPr>
        <w:t xml:space="preserve">Claims-Based Datasets</w:t>
      </w:r>
    </w:p>
    <w:p>
      <w:pPr>
        <w:pStyle w:val="Heading3"/>
        <w:spacing w:before="200" w:after="100"/>
      </w:pPr>
      <w:r>
        <w:rPr>
          <w:b/>
          <w:bCs/>
          <w:sz w:val="26"/>
          <w:szCs w:val="26"/>
          <w:rFonts w:ascii="Arial" w:cs="Arial" w:eastAsia="Arial" w:hAnsi="Arial"/>
        </w:rPr>
        <w:t xml:space="preserve">Medicare Claims</w:t>
      </w:r>
    </w:p>
    <w:p>
      <w:pPr>
        <w:spacing w:after="120"/>
      </w:pPr>
      <w:r>
        <w:rPr>
          <w:sz w:val="24"/>
          <w:szCs w:val="24"/>
          <w:rFonts w:ascii="Arial" w:cs="Arial" w:eastAsia="Arial" w:hAnsi="Arial"/>
        </w:rPr>
        <w:t xml:space="preserve">Medicare claims data are the most widely used administrative data source in US health economics research. The data are produced as a byproduct of the Medicare payment process: every service billed to Medicare generates a claim record containing patient demographics, diagnoses, procedures, provider identifiers, dates of service, and payment amounts.</w:t>
      </w:r>
    </w:p>
    <w:p>
      <w:pPr>
        <w:spacing w:after="120"/>
      </w:pPr>
      <w:r>
        <w:rPr>
          <w:sz w:val="24"/>
          <w:szCs w:val="24"/>
          <w:rFonts w:ascii="Arial" w:cs="Arial" w:eastAsia="Arial" w:hAnsi="Arial"/>
        </w:rPr>
        <w:t xml:space="preserve">The key Medicare claims files include: MedPAR (inpatient stays — DRG, length of stay, charges, diagnoses, procedures), Carrier (physician services — CPT codes, provider NPI, place of service, allowed charges), Outpatient (hospital outpatient services), Home Health, Hospice, Durable Medical Equipment, and Part D Event files (prescription drug claims — NDC, days supply, pharmacy, plan payment). The Medicare Beneficiary Summary File (MBSF) provides beneficiary demographics, enrollment history, and chronic condition flags.</w:t>
      </w:r>
    </w:p>
    <w:p>
      <w:pPr>
        <w:spacing w:after="120"/>
      </w:pPr>
      <w:r>
        <w:rPr>
          <w:sz w:val="24"/>
          <w:szCs w:val="24"/>
          <w:rFonts w:ascii="Arial" w:cs="Arial" w:eastAsia="Arial" w:hAnsi="Arial"/>
        </w:rPr>
        <w:t xml:space="preserve">Access to Medicare claims requires a Data Use Agreement (DUA) with the CMS Research Data Assistance Center (ResDAC). Researchers at universities, government agencies, and approved research organizations can apply for access to identifiable or limited data sets. The Chronic Conditions Data Warehouse (CCW) provides an integrated research environment with pre-linked claims and enrollment files.</w:t>
      </w:r>
    </w:p>
    <w:p>
      <w:pPr>
        <w:pStyle w:val="Heading3"/>
        <w:spacing w:before="200" w:after="100"/>
      </w:pPr>
      <w:r>
        <w:rPr>
          <w:b/>
          <w:bCs/>
          <w:sz w:val="26"/>
          <w:szCs w:val="26"/>
          <w:rFonts w:ascii="Arial" w:cs="Arial" w:eastAsia="Arial" w:hAnsi="Arial"/>
        </w:rPr>
        <w:t xml:space="preserve">Commercial Claims</w:t>
      </w:r>
    </w:p>
    <w:p>
      <w:pPr>
        <w:spacing w:after="120"/>
      </w:pPr>
      <w:r>
        <w:rPr>
          <w:sz w:val="24"/>
          <w:szCs w:val="24"/>
          <w:rFonts w:ascii="Arial" w:cs="Arial" w:eastAsia="Arial" w:hAnsi="Arial"/>
        </w:rPr>
        <w:t xml:space="preserve">Commercial claims databases — including IBM MarketScan (now Merative), Optum Clinformatics, and IQVIA PharMetrics — provide claims data for commercially insured populations and their dependents. These databases capture employer-sponsored and individual market insurance claims with similar structure to Medicare claims but for younger, working-age populations.</w:t>
      </w:r>
    </w:p>
    <w:p>
      <w:pPr>
        <w:spacing w:after="120"/>
      </w:pPr>
      <w:r>
        <w:rPr>
          <w:sz w:val="24"/>
          <w:szCs w:val="24"/>
          <w:rFonts w:ascii="Arial" w:cs="Arial" w:eastAsia="Arial" w:hAnsi="Arial"/>
        </w:rPr>
        <w:t xml:space="preserve">MarketScan is the most widely used commercial claims database in health services research, covering approximately 30-50 million covered lives annually. The database includes inpatient, outpatient, physician, and pharmacy claims linked to enrollment files with plan design information (deductibles, copayments, plan type). Limitations include lack of geographic detail below the state level (in many versions), potential sample composition changes over time as contributing employers change, and limited clinical detail beyond diagnosis and procedure codes.</w:t>
      </w:r>
    </w:p>
    <w:p>
      <w:pPr>
        <w:pStyle w:val="Heading3"/>
        <w:spacing w:before="200" w:after="100"/>
      </w:pPr>
      <w:r>
        <w:rPr>
          <w:b/>
          <w:bCs/>
          <w:sz w:val="26"/>
          <w:szCs w:val="26"/>
          <w:rFonts w:ascii="Arial" w:cs="Arial" w:eastAsia="Arial" w:hAnsi="Arial"/>
        </w:rPr>
        <w:t xml:space="preserve">All-Payer Claims Databases</w:t>
      </w:r>
    </w:p>
    <w:p>
      <w:pPr>
        <w:spacing w:after="120"/>
      </w:pPr>
      <w:r>
        <w:rPr>
          <w:sz w:val="24"/>
          <w:szCs w:val="24"/>
          <w:rFonts w:ascii="Arial" w:cs="Arial" w:eastAsia="Arial" w:hAnsi="Arial"/>
        </w:rPr>
        <w:t xml:space="preserve">All-payer claims databases (APCDs) aggregate claims from all payers (commercial, Medicare, Medicaid) within a state, providing a comprehensive picture of healthcare utilization and spending for the state's population. As of 2024, approximately 20 states maintain APCDs with varying levels of completeness, data quality, and researcher accessibility. The APCD Council coordinates standardization efforts across state programs.</w:t>
      </w:r>
    </w:p>
    <w:p>
      <w:pPr>
        <w:spacing w:after="120"/>
      </w:pPr>
      <w:r>
        <w:rPr>
          <w:sz w:val="24"/>
          <w:szCs w:val="24"/>
          <w:rFonts w:ascii="Arial" w:cs="Arial" w:eastAsia="Arial" w:hAnsi="Arial"/>
        </w:rPr>
        <w:t xml:space="preserve">APCDs enable research on commercial insurance pricing (capturing negotiated rates that are not available in Medicare or Medicaid data), payer mix analysis, total cost of care measurement, and cross-payer comparisons that single-payer datasets cannot support. The Cooper and colleagues (2019) study of commercial hospital price variation used HCCI (Health Care Cost Institute) data derived from three large commercial insurers — a dataset functionally similar to an APCD.</w:t>
      </w:r>
    </w:p>
    <w:p>
      <w:pPr>
        <w:pStyle w:val="Heading2"/>
        <w:spacing w:before="300" w:after="150"/>
      </w:pPr>
      <w:r>
        <w:rPr>
          <w:b/>
          <w:bCs/>
          <w:sz w:val="30"/>
          <w:szCs w:val="30"/>
          <w:rFonts w:ascii="Arial" w:cs="Arial" w:eastAsia="Arial" w:hAnsi="Arial"/>
        </w:rPr>
        <w:t xml:space="preserve">Survey Datasets</w:t>
      </w:r>
    </w:p>
    <w:p>
      <w:pPr>
        <w:pStyle w:val="Heading3"/>
        <w:spacing w:before="200" w:after="100"/>
      </w:pPr>
      <w:r>
        <w:rPr>
          <w:b/>
          <w:bCs/>
          <w:sz w:val="26"/>
          <w:szCs w:val="26"/>
          <w:rFonts w:ascii="Arial" w:cs="Arial" w:eastAsia="Arial" w:hAnsi="Arial"/>
        </w:rPr>
        <w:t xml:space="preserve">Medical Expenditure Panel Survey (MEPS)</w:t>
      </w:r>
    </w:p>
    <w:p>
      <w:pPr>
        <w:spacing w:after="120"/>
      </w:pPr>
      <w:r>
        <w:rPr>
          <w:sz w:val="24"/>
          <w:szCs w:val="24"/>
          <w:rFonts w:ascii="Arial" w:cs="Arial" w:eastAsia="Arial" w:hAnsi="Arial"/>
        </w:rPr>
        <w:t xml:space="preserve">MEPS is the gold standard survey for healthcare utilization, expenditure, and insurance coverage research in the United States. Conducted by AHRQ, MEPS uses an overlapping panel design in which each sampled household is interviewed five times over a 2.5-year period, with reported healthcare events verified against provider records (the Medical Provider Component). MEPS captures out-of-pocket spending, insurance payments, uncompensated care, and total expenditure for each healthcare event, providing the most comprehensive picture of healthcare spending by source of payment.</w:t>
      </w:r>
    </w:p>
    <w:p>
      <w:pPr>
        <w:pStyle w:val="Heading3"/>
        <w:spacing w:before="200" w:after="100"/>
      </w:pPr>
      <w:r>
        <w:rPr>
          <w:b/>
          <w:bCs/>
          <w:sz w:val="26"/>
          <w:szCs w:val="26"/>
          <w:rFonts w:ascii="Arial" w:cs="Arial" w:eastAsia="Arial" w:hAnsi="Arial"/>
        </w:rPr>
        <w:t xml:space="preserve">Other Key Surveys</w:t>
      </w:r>
    </w:p>
    <w:p>
      <w:pPr>
        <w:spacing w:after="120"/>
      </w:pPr>
      <w:r>
        <w:rPr>
          <w:sz w:val="24"/>
          <w:szCs w:val="24"/>
          <w:rFonts w:ascii="Arial" w:cs="Arial" w:eastAsia="Arial" w:hAnsi="Arial"/>
        </w:rPr>
        <w:t xml:space="preserve">The National Health Interview Survey (NHIS) provides annual data on health status, healthcare access, and insurance coverage for approximately 35,000 households, with linkage to the National Death Index for mortality follow-up. The Behavioral Risk Factor Surveillance System (BRFSS) conducts telephone surveys of approximately 400,000 adults annually, providing state-level estimates of health behaviors and chronic conditions. The Current Population Survey (CPS) Annual Social and Economic Supplement provides the official estimates of health insurance coverage rates. The Health and Retirement Study (HRS) follows a panel of Americans over age 50, providing detailed data on health, wealth, and retirement decisions.</w:t>
      </w:r>
    </w:p>
    <w:p>
      <w:pPr>
        <w:pStyle w:val="Heading2"/>
        <w:spacing w:before="300" w:after="150"/>
      </w:pPr>
      <w:r>
        <w:rPr>
          <w:b/>
          <w:bCs/>
          <w:sz w:val="30"/>
          <w:szCs w:val="30"/>
          <w:rFonts w:ascii="Arial" w:cs="Arial" w:eastAsia="Arial" w:hAnsi="Arial"/>
        </w:rPr>
        <w:t xml:space="preserve">Clinical and EHR Data</w:t>
      </w:r>
    </w:p>
    <w:p>
      <w:pPr>
        <w:spacing w:after="120"/>
      </w:pPr>
      <w:r>
        <w:rPr>
          <w:sz w:val="24"/>
          <w:szCs w:val="24"/>
          <w:rFonts w:ascii="Arial" w:cs="Arial" w:eastAsia="Arial" w:hAnsi="Arial"/>
        </w:rPr>
        <w:t xml:space="preserve">Electronic health record (EHR) data from systems such as PCORnet, TriNetX, Optum, and Flatiron provide clinical detail (vital signs, laboratory values, imaging results, clinical notes) that claims data lack. EHR data enable research on disease progression, treatment response, and clinical outcomes measured at a granularity impossible with claims data alone.</w:t>
      </w:r>
    </w:p>
    <w:p>
      <w:pPr>
        <w:spacing w:after="120"/>
      </w:pPr>
      <w:r>
        <w:rPr>
          <w:sz w:val="24"/>
          <w:szCs w:val="24"/>
          <w:rFonts w:ascii="Arial" w:cs="Arial" w:eastAsia="Arial" w:hAnsi="Arial"/>
        </w:rPr>
        <w:t xml:space="preserve">However, EHR data present significant challenges: data are generated for clinical rather than research purposes, leading to informative missingness (tests are ordered when clinically indicated, not randomly), selection bias (the population captured in any EHR system is not representative), coding inconsistencies across institutions, and difficulty linking across health systems (patients seen at multiple institutions appear in multiple EHR systems without a common identifier).</w:t>
      </w:r>
    </w:p>
    <w:p>
      <w:pPr>
        <w:pStyle w:val="Heading2"/>
        <w:spacing w:before="300" w:after="150"/>
      </w:pPr>
      <w:r>
        <w:rPr>
          <w:b/>
          <w:bCs/>
          <w:sz w:val="30"/>
          <w:szCs w:val="30"/>
          <w:rFonts w:ascii="Arial" w:cs="Arial" w:eastAsia="Arial" w:hAnsi="Arial"/>
        </w:rPr>
        <w:t xml:space="preserve">Hospital and Provider Data</w:t>
      </w:r>
    </w:p>
    <w:p>
      <w:pPr>
        <w:spacing w:after="120"/>
      </w:pPr>
      <w:r>
        <w:rPr>
          <w:sz w:val="24"/>
          <w:szCs w:val="24"/>
          <w:rFonts w:ascii="Arial" w:cs="Arial" w:eastAsia="Arial" w:hAnsi="Arial"/>
        </w:rPr>
        <w:t xml:space="preserve">The AHA Annual Survey provides hospital-level data on organizational characteristics, staffing, services, and finances for virtually all US hospitals. CMS Hospital Cost Reports (HCRIS) provide detailed financial data including costs by cost center, revenue, payer mix, charity care, and bad debt. The Dartmouth Atlas data provide pre-computed measures of healthcare utilization, spending, and workforce at the hospital referral region (HRR) and hospital service area (HSA) levels.</w:t>
      </w:r>
    </w:p>
    <w:p>
      <w:pPr>
        <w:spacing w:after="120"/>
      </w:pPr>
      <w:r>
        <w:rPr>
          <w:sz w:val="24"/>
          <w:szCs w:val="24"/>
          <w:rFonts w:ascii="Arial" w:cs="Arial" w:eastAsia="Arial" w:hAnsi="Arial"/>
        </w:rPr>
        <w:t xml:space="preserve">Provider-level data include the National Plan and Provider Enumeration System (NPPES) for provider identification and specialty classification, Medicare Provider Utilization files for service-level billing data by provider, and the Area Health Resource File (AHRF) for county-level healthcare workforce and socioeconomic characteristics.</w:t>
      </w:r>
    </w:p>
    <w:p>
      <w:pPr>
        <w:pStyle w:val="Heading2"/>
        <w:spacing w:before="300" w:after="150"/>
      </w:pPr>
      <w:r>
        <w:rPr>
          <w:b/>
          <w:bCs/>
          <w:sz w:val="30"/>
          <w:szCs w:val="30"/>
          <w:rFonts w:ascii="Arial" w:cs="Arial" w:eastAsia="Arial" w:hAnsi="Arial"/>
        </w:rPr>
        <w:t xml:space="preserve">Research Design Considerations</w:t>
      </w:r>
    </w:p>
    <w:p>
      <w:pPr>
        <w:pStyle w:val="Heading3"/>
        <w:spacing w:before="200" w:after="100"/>
      </w:pPr>
      <w:r>
        <w:rPr>
          <w:b/>
          <w:bCs/>
          <w:sz w:val="26"/>
          <w:szCs w:val="26"/>
          <w:rFonts w:ascii="Arial" w:cs="Arial" w:eastAsia="Arial" w:hAnsi="Arial"/>
        </w:rPr>
        <w:t xml:space="preserve">Cohort Construction from Claims</w:t>
      </w:r>
    </w:p>
    <w:p>
      <w:pPr>
        <w:spacing w:after="120"/>
      </w:pPr>
      <w:r>
        <w:rPr>
          <w:sz w:val="24"/>
          <w:szCs w:val="24"/>
          <w:rFonts w:ascii="Arial" w:cs="Arial" w:eastAsia="Arial" w:hAnsi="Arial"/>
        </w:rPr>
        <w:t xml:space="preserve">Building a research cohort from claims data requires careful decisions about the study period, the inclusion and exclusion criteria, the exposure definition, the outcome measurement, and the lookback window for baseline covariates.</w:t>
      </w:r>
    </w:p>
    <w:p>
      <w:pPr>
        <w:spacing w:after="120"/>
      </w:pPr>
      <w:r>
        <w:rPr>
          <w:sz w:val="24"/>
          <w:szCs w:val="24"/>
          <w:rFonts w:ascii="Arial" w:cs="Arial" w:eastAsia="Arial" w:hAnsi="Arial"/>
        </w:rPr>
      </w:r>
      <w:r>
        <w:rPr>
          <w:b/>
          <w:bCs/>
          <w:sz w:val="24"/>
          <w:szCs w:val="24"/>
          <w:rFonts w:ascii="Arial" w:cs="Arial" w:eastAsia="Arial" w:hAnsi="Arial"/>
        </w:rPr>
        <w:t xml:space="preserve">Enrollment continuity.</w:t>
      </w:r>
      <w:r>
        <w:rPr>
          <w:sz w:val="24"/>
          <w:szCs w:val="24"/>
          <w:rFonts w:ascii="Arial" w:cs="Arial" w:eastAsia="Arial" w:hAnsi="Arial"/>
        </w:rPr>
        <w:t xml:space="preserve"> Patients who disenroll from insurance during the study period are lost to follow-up, creating potential censoring bias. The standard approach requires continuous enrollment for a specified period before (lookback window, typically 12 months for baseline comorbidity assessment) and after (follow-up period, determined by the outcome) the index event.</w:t>
      </w:r>
    </w:p>
    <w:p>
      <w:pPr>
        <w:spacing w:after="120"/>
      </w:pPr>
      <w:r>
        <w:rPr>
          <w:sz w:val="24"/>
          <w:szCs w:val="24"/>
          <w:rFonts w:ascii="Arial" w:cs="Arial" w:eastAsia="Arial" w:hAnsi="Arial"/>
        </w:rPr>
      </w:r>
      <w:r>
        <w:rPr>
          <w:b/>
          <w:bCs/>
          <w:sz w:val="24"/>
          <w:szCs w:val="24"/>
          <w:rFonts w:ascii="Arial" w:cs="Arial" w:eastAsia="Arial" w:hAnsi="Arial"/>
        </w:rPr>
        <w:t xml:space="preserve">Washout periods.</w:t>
      </w:r>
      <w:r>
        <w:rPr>
          <w:sz w:val="24"/>
          <w:szCs w:val="24"/>
          <w:rFonts w:ascii="Arial" w:cs="Arial" w:eastAsia="Arial" w:hAnsi="Arial"/>
        </w:rPr>
        <w:t xml:space="preserve"> For studies of treatment initiation, a washout period (period without the treatment of interest preceding the index date) ensures that the observed "initiation" represents a true new start rather than a continuation of prior therapy. Washout periods of 6-12 months are typical for medication studies.</w:t>
      </w:r>
    </w:p>
    <w:p>
      <w:pPr>
        <w:spacing w:after="120"/>
      </w:pPr>
      <w:r>
        <w:rPr>
          <w:sz w:val="24"/>
          <w:szCs w:val="24"/>
          <w:rFonts w:ascii="Arial" w:cs="Arial" w:eastAsia="Arial" w:hAnsi="Arial"/>
        </w:rPr>
      </w:r>
      <w:r>
        <w:rPr>
          <w:b/>
          <w:bCs/>
          <w:sz w:val="24"/>
          <w:szCs w:val="24"/>
          <w:rFonts w:ascii="Arial" w:cs="Arial" w:eastAsia="Arial" w:hAnsi="Arial"/>
        </w:rPr>
        <w:t xml:space="preserve">Comorbidity measurement.</w:t>
      </w:r>
      <w:r>
        <w:rPr>
          <w:sz w:val="24"/>
          <w:szCs w:val="24"/>
          <w:rFonts w:ascii="Arial" w:cs="Arial" w:eastAsia="Arial" w:hAnsi="Arial"/>
        </w:rPr>
        <w:t xml:space="preserve"> The Elixhauser Comorbidity Index and the Charlson Comorbidity Index are the two most widely used claims-based comorbidity measures. Both map ICD-10-CM diagnosis codes to comorbidity categories; Elixhauser uses 31 categories while Charlson uses 17. The lookback window (the period of prior claims used to identify comorbidities) affects sensitivity — longer windows capture more conditions but may include resolved diagnoses.</w:t>
      </w:r>
    </w:p>
    <w:p>
      <w:pPr>
        <w:spacing w:after="120"/>
      </w:pPr>
      <w:r>
        <w:rPr>
          <w:sz w:val="24"/>
          <w:szCs w:val="24"/>
          <w:rFonts w:ascii="Arial" w:cs="Arial" w:eastAsia="Arial" w:hAnsi="Arial"/>
        </w:rPr>
      </w:r>
      <w:r>
        <w:rPr>
          <w:b/>
          <w:bCs/>
          <w:sz w:val="24"/>
          <w:szCs w:val="24"/>
          <w:rFonts w:ascii="Arial" w:cs="Arial" w:eastAsia="Arial" w:hAnsi="Arial"/>
        </w:rPr>
        <w:t xml:space="preserve">Outcome algorithms.</w:t>
      </w:r>
      <w:r>
        <w:rPr>
          <w:sz w:val="24"/>
          <w:szCs w:val="24"/>
          <w:rFonts w:ascii="Arial" w:cs="Arial" w:eastAsia="Arial" w:hAnsi="Arial"/>
        </w:rPr>
        <w:t xml:space="preserve"> Claims-based outcome measurement relies on diagnosis and procedure codes whose sensitivity and specificity vary by condition. Validated algorithms for identifying specific conditions (e.g., acute myocardial infarction, stroke, hip fracture) from claims data have been published for many conditions, with sensitivity and specificity typically ranging from 70% to 95%. Researchers should cite the validation literature for any claims-based outcome algorithm and conduct sensitivity analyses with alternative algorithm definitions.</w:t>
      </w:r>
    </w:p>
    <w:p>
      <w:pPr>
        <w:spacing w:after="120"/>
      </w:pPr>
      <w:r>
        <w:rPr>
          <w:sz w:val="24"/>
          <w:szCs w:val="24"/>
          <w:rFonts w:ascii="Arial" w:cs="Arial" w:eastAsia="Arial" w:hAnsi="Arial"/>
        </w:rPr>
      </w:r>
      <w:r>
        <w:rPr>
          <w:b/>
          <w:bCs/>
          <w:sz w:val="24"/>
          <w:szCs w:val="24"/>
          <w:rFonts w:ascii="Arial" w:cs="Arial" w:eastAsia="Arial" w:hAnsi="Arial"/>
        </w:rPr>
        <w:t xml:space="preserve">Table 18.1: Major US Healthcare Datasets</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Dataset</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Population</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Key Variables</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Access</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Medicare Claims (ResDAC)</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65+, disabled, ESRD (~65M)</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Claims, enrollment, death</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DUA with CMS</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MarketScan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Commercially insured (~30-50M)</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Claims, enrollment, plan design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Licensed from Merative</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MEPS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Nationally representative sample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Utilization, expenditure, insurance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Public use files (AHRQ)</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NHIS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~35,000 households/year</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Health status, access, coverage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Public use files (NCHS)</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AHA Annual Survey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All US hospitals (~6,000)</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Structure, staffing, services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Licensed from AHA</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HCRIS Cost Reports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Medicare-participating hospitals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Detailed costs, revenue, payer mix</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CMS.gov (public)</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AHRF</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All US counties (~3,100)</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Workforce, demographics, economics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HRSA (public)</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PCORnet / TriNetX</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Multi-system EHR networks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Clinical data, labs, vitals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Data partner agreements</w:t>
            </w:r>
          </w:p>
        </w:tc>
      </w:tr>
    </w:tbl>
    <w:p>
      <w:pPr>
        <w:spacing w:after="200"/>
      </w:pP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The richness of US healthcare data creates enormous opportunities for health economics research, but realizing these opportunities requires detailed knowledge of each dataset's construction, population, variables, and limitations. The most credible research typically combines multiple data sources — claims for utilization and spending, surveys for self-reported health and insurance coverage, cost reports for institutional finances, and area-level data for contextual characteristics. The Julia data management tools for working with these datasets are covered in Chapter 20.</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AHRQ. Medical Expenditure Panel Survey. https://meps.ahrq.gov</w:t>
      </w:r>
    </w:p>
    <w:p>
      <w:pPr>
        <w:spacing w:after="120"/>
      </w:pPr>
      <w:r>
        <w:rPr>
          <w:sz w:val="24"/>
          <w:szCs w:val="24"/>
          <w:rFonts w:ascii="Arial" w:cs="Arial" w:eastAsia="Arial" w:hAnsi="Arial"/>
        </w:rPr>
        <w:t xml:space="preserve">2. Cooper, Z., Craig, S. V., Gaynor, M., &amp; Van Reenen, J. (2019). The price ain't right? </w:t>
      </w:r>
      <w:r>
        <w:rPr>
          <w:i/>
          <w:iCs/>
          <w:sz w:val="24"/>
          <w:szCs w:val="24"/>
          <w:rFonts w:ascii="Arial" w:cs="Arial" w:eastAsia="Arial" w:hAnsi="Arial"/>
        </w:rPr>
        <w:t xml:space="preserve">QJE</w:t>
      </w:r>
      <w:r>
        <w:rPr>
          <w:sz w:val="24"/>
          <w:szCs w:val="24"/>
          <w:rFonts w:ascii="Arial" w:cs="Arial" w:eastAsia="Arial" w:hAnsi="Arial"/>
        </w:rPr>
        <w:t xml:space="preserve">, 134(1), 51-107.</w:t>
      </w:r>
    </w:p>
    <w:p>
      <w:pPr>
        <w:spacing w:after="120"/>
      </w:pPr>
      <w:r>
        <w:rPr>
          <w:sz w:val="24"/>
          <w:szCs w:val="24"/>
          <w:rFonts w:ascii="Arial" w:cs="Arial" w:eastAsia="Arial" w:hAnsi="Arial"/>
        </w:rPr>
        <w:t xml:space="preserve">3. Elixhauser, A., Steiner, C., Harris, D. R., &amp; Coffey, R. M. (1998). Comorbidity measures for use with administrative data. </w:t>
      </w:r>
      <w:r>
        <w:rPr>
          <w:i/>
          <w:iCs/>
          <w:sz w:val="24"/>
          <w:szCs w:val="24"/>
          <w:rFonts w:ascii="Arial" w:cs="Arial" w:eastAsia="Arial" w:hAnsi="Arial"/>
        </w:rPr>
        <w:t xml:space="preserve">Medical Care</w:t>
      </w:r>
      <w:r>
        <w:rPr>
          <w:sz w:val="24"/>
          <w:szCs w:val="24"/>
          <w:rFonts w:ascii="Arial" w:cs="Arial" w:eastAsia="Arial" w:hAnsi="Arial"/>
        </w:rPr>
        <w:t xml:space="preserve">, 36(1), 8-27.</w:t>
      </w:r>
    </w:p>
    <w:p>
      <w:pPr>
        <w:spacing w:after="120"/>
      </w:pPr>
      <w:r>
        <w:rPr>
          <w:sz w:val="24"/>
          <w:szCs w:val="24"/>
          <w:rFonts w:ascii="Arial" w:cs="Arial" w:eastAsia="Arial" w:hAnsi="Arial"/>
        </w:rPr>
        <w:t xml:space="preserve">4. Quan, H., Sundararajan, V., Halfon, P., et al. (2005). Coding algorithms for defining comorbidities in ICD-9-CM and ICD-10 administrative data. </w:t>
      </w:r>
      <w:r>
        <w:rPr>
          <w:i/>
          <w:iCs/>
          <w:sz w:val="24"/>
          <w:szCs w:val="24"/>
          <w:rFonts w:ascii="Arial" w:cs="Arial" w:eastAsia="Arial" w:hAnsi="Arial"/>
        </w:rPr>
        <w:t xml:space="preserve">Medical Care</w:t>
      </w:r>
      <w:r>
        <w:rPr>
          <w:sz w:val="24"/>
          <w:szCs w:val="24"/>
          <w:rFonts w:ascii="Arial" w:cs="Arial" w:eastAsia="Arial" w:hAnsi="Arial"/>
        </w:rPr>
        <w:t xml:space="preserve">, 43(11), 1130-1139.</w:t>
      </w:r>
    </w:p>
    <w:p>
      <w:pPr>
        <w:spacing w:after="120"/>
      </w:pPr>
      <w:r>
        <w:rPr>
          <w:sz w:val="24"/>
          <w:szCs w:val="24"/>
          <w:rFonts w:ascii="Arial" w:cs="Arial" w:eastAsia="Arial" w:hAnsi="Arial"/>
        </w:rPr>
        <w:t xml:space="preserve">5. ResDAC. Research Data Assistance Center. https://resdac.org</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18: Healthcare Data Sources and Research Des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2026-04-15T22:36:02.757Z</dcterms:created>
  <dcterms:modified xsi:type="dcterms:W3CDTF">2026-04-15T22:36:02.757Z</dcterms:modified>
</cp:coreProperties>
</file>

<file path=docProps/custom.xml><?xml version="1.0" encoding="utf-8"?>
<Properties xmlns="http://schemas.openxmlformats.org/officeDocument/2006/custom-properties" xmlns:vt="http://schemas.openxmlformats.org/officeDocument/2006/docPropsVTypes"/>
</file>