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23</w:t>
      </w:r>
    </w:p>
    <w:p>
      <w:pPr>
        <w:jc w:val="center"/>
      </w:pPr>
      <w:r>
        <w:rPr>
          <w:i/>
          <w:iCs/>
          <w:sz w:val="32"/>
          <w:szCs w:val="32"/>
          <w:rFonts w:ascii="Arial" w:cs="Arial" w:eastAsia="Arial" w:hAnsi="Arial"/>
        </w:rPr>
        <w:t xml:space="preserve">Simulation and Microsimulation for Health Economics in Julia</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Simulation models are the computational backbone of health technology assessment, enabling the evaluation of interventions over time horizons that exceed clinical trial follow-up, the integration of evidence from multiple sources, and the quantification of decision uncertainty through probabilistic sensitivity analysis. This chapter implements decision trees, Markov cohort models, microsimulation, and discrete event simulation in Julia, with complete worked examples for cost-effectiveness analysis.</w:t>
      </w:r>
    </w:p>
    <w:p>
      <w:pPr>
        <w:pStyle w:val="Heading2"/>
        <w:spacing w:before="300" w:after="150"/>
      </w:pPr>
      <w:r>
        <w:rPr>
          <w:b/>
          <w:bCs/>
          <w:sz w:val="30"/>
          <w:szCs w:val="30"/>
          <w:rFonts w:ascii="Arial" w:cs="Arial" w:eastAsia="Arial" w:hAnsi="Arial"/>
        </w:rPr>
        <w:t xml:space="preserve">Monte Carlo Simulation Fundamentals</w:t>
      </w:r>
    </w:p>
    <w:p>
      <w:pPr>
        <w:spacing w:after="120"/>
      </w:pPr>
      <w:r>
        <w:rPr>
          <w:sz w:val="24"/>
          <w:szCs w:val="24"/>
          <w:rFonts w:ascii="Arial" w:cs="Arial" w:eastAsia="Arial" w:hAnsi="Arial"/>
        </w:rPr>
        <w:t xml:space="preserve">Julia's Random standard library and Distributions.jl provide the foundation for simulation. Random number generation with reproducible seeds (Random.seed!(42)), sampling from parameterized distributions (rand(Normal(0,1), 1000)), Latin Hypercube Sampling via QuasiMonteCarlo.jl for efficient parameter space coverage, and correlated multivariate sampling via Cholesky decomposition of correlation matrices.</w:t>
      </w:r>
    </w:p>
    <w:p>
      <w:pPr>
        <w:pStyle w:val="Heading2"/>
        <w:spacing w:before="300" w:after="150"/>
      </w:pPr>
      <w:r>
        <w:rPr>
          <w:b/>
          <w:bCs/>
          <w:sz w:val="30"/>
          <w:szCs w:val="30"/>
          <w:rFonts w:ascii="Arial" w:cs="Arial" w:eastAsia="Arial" w:hAnsi="Arial"/>
        </w:rPr>
        <w:t xml:space="preserve">Decision Tree Models</w:t>
      </w:r>
    </w:p>
    <w:p>
      <w:pPr>
        <w:spacing w:after="120"/>
      </w:pPr>
      <w:r>
        <w:rPr>
          <w:sz w:val="24"/>
          <w:szCs w:val="24"/>
          <w:rFonts w:ascii="Arial" w:cs="Arial" w:eastAsia="Arial" w:hAnsi="Arial"/>
        </w:rPr>
        <w:t xml:space="preserve">Decision trees are implemented as recursive structures with decision nodes (square), chance nodes (circle), and terminal nodes. Expected value calculation via backward induction — rolling back from terminal nodes, weighting outcomes by branch probabilities, and comparing strategies at decision nodes. A complete example implements a CEA of a screening intervention with sensitivity, specificity, disease prevalence, treatment costs, and QALY weights as parameters.</w:t>
      </w:r>
    </w:p>
    <w:p>
      <w:pPr>
        <w:pStyle w:val="Heading2"/>
        <w:spacing w:before="300" w:after="150"/>
      </w:pPr>
      <w:r>
        <w:rPr>
          <w:b/>
          <w:bCs/>
          <w:sz w:val="30"/>
          <w:szCs w:val="30"/>
          <w:rFonts w:ascii="Arial" w:cs="Arial" w:eastAsia="Arial" w:hAnsi="Arial"/>
        </w:rPr>
        <w:t xml:space="preserve">Markov Cohort Models</w:t>
      </w:r>
    </w:p>
    <w:p>
      <w:pPr>
        <w:spacing w:after="120"/>
      </w:pPr>
      <w:r>
        <w:rPr>
          <w:sz w:val="24"/>
          <w:szCs w:val="24"/>
          <w:rFonts w:ascii="Arial" w:cs="Arial" w:eastAsia="Arial" w:hAnsi="Arial"/>
        </w:rPr>
        <w:t xml:space="preserve">The Markov model tracks a cohort through discrete health states over time. Implementation in Julia uses matrix multiplication: the state vector at cycle t+1 equals the state vector at cycle t multiplied by the transition probability matrix P. Costs and QALYs accumulate as the dot product of the state vector and state-specific reward vectors. Half-cycle correction applies to the first and last cycles. Discounting multiplies each cycle's rewards by (1/(1+r))^t.</w:t>
      </w:r>
    </w:p>
    <w:p>
      <w:pPr>
        <w:spacing w:after="120"/>
      </w:pPr>
      <w:r>
        <w:rPr>
          <w:sz w:val="24"/>
          <w:szCs w:val="24"/>
          <w:rFonts w:ascii="Arial" w:cs="Arial" w:eastAsia="Arial" w:hAnsi="Arial"/>
        </w:rPr>
        <w:t xml:space="preserve">Complete worked example: A Markov CEA for a chronic disease treatment with states {Healthy, Mild Disease, Severe Disease, Dead}, transition probabilities derived from clinical literature, cycle length of one year, lifetime time horizon, and treatment effects modeled as hazard ratios applied to disease progression transitions. The output includes total discounted costs and QALYs for each strategy, the ICER, and the incremental net benefit.</w:t>
      </w:r>
    </w:p>
    <w:p>
      <w:pPr>
        <w:pStyle w:val="Heading2"/>
        <w:spacing w:before="300" w:after="150"/>
      </w:pPr>
      <w:r>
        <w:rPr>
          <w:b/>
          <w:bCs/>
          <w:sz w:val="30"/>
          <w:szCs w:val="30"/>
          <w:rFonts w:ascii="Arial" w:cs="Arial" w:eastAsia="Arial" w:hAnsi="Arial"/>
        </w:rPr>
        <w:t xml:space="preserve">Microsimulation</w:t>
      </w:r>
    </w:p>
    <w:p>
      <w:pPr>
        <w:spacing w:after="120"/>
      </w:pPr>
      <w:r>
        <w:rPr>
          <w:sz w:val="24"/>
          <w:szCs w:val="24"/>
          <w:rFonts w:ascii="Arial" w:cs="Arial" w:eastAsia="Arial" w:hAnsi="Arial"/>
        </w:rPr>
        <w:t xml:space="preserve">Individual-level simulation tracks each patient through the model, drawing from distributions at each transition rather than moving a cohort deterministically. Implementation uses a Patient struct with fields for demographics, current state, history, cumulative costs, and cumulative QALYs. The simulation loop advances each patient one cycle at a time, drawing transition outcomes from Bernoulli distributions with individual-specific probabilities.</w:t>
      </w:r>
    </w:p>
    <w:p>
      <w:pPr>
        <w:spacing w:after="120"/>
      </w:pPr>
      <w:r>
        <w:rPr>
          <w:sz w:val="24"/>
          <w:szCs w:val="24"/>
          <w:rFonts w:ascii="Arial" w:cs="Arial" w:eastAsia="Arial" w:hAnsi="Arial"/>
        </w:rPr>
        <w:t xml:space="preserve">Microsimulation advantages over cohort models: individual heterogeneity (transition probabilities vary by patient characteristics), memory (transition probabilities depend on prior events — number of exacerbations, time since diagnosis), and tracking of individual-level outcomes for distributional analysis.</w:t>
      </w:r>
    </w:p>
    <w:p>
      <w:pPr>
        <w:pStyle w:val="Heading2"/>
        <w:spacing w:before="300" w:after="150"/>
      </w:pPr>
      <w:r>
        <w:rPr>
          <w:b/>
          <w:bCs/>
          <w:sz w:val="30"/>
          <w:szCs w:val="30"/>
          <w:rFonts w:ascii="Arial" w:cs="Arial" w:eastAsia="Arial" w:hAnsi="Arial"/>
        </w:rPr>
        <w:t xml:space="preserve">Probabilistic Sensitivity Analysis</w:t>
      </w:r>
    </w:p>
    <w:p>
      <w:pPr>
        <w:spacing w:after="120"/>
      </w:pPr>
      <w:r>
        <w:rPr>
          <w:sz w:val="24"/>
          <w:szCs w:val="24"/>
          <w:rFonts w:ascii="Arial" w:cs="Arial" w:eastAsia="Arial" w:hAnsi="Arial"/>
        </w:rPr>
        <w:t xml:space="preserve">PSA implementation: define parameter distributions (Beta for probabilities, Gamma for costs, LogNormal for hazard ratios), draw N parameter sets (N = 1,000-10,000), run the model for each parameter set, collect the (ΔC, ΔE) pairs, and construct the CEAC as the proportion of iterations where NB &gt; 0 at each WTP threshold. Julia's threading (@threads) enables parallel PSA runs, reducing computation time roughly proportional to the number of available cores.</w:t>
      </w:r>
    </w:p>
    <w:p>
      <w:pPr>
        <w:pStyle w:val="Heading2"/>
        <w:spacing w:before="300" w:after="150"/>
      </w:pPr>
      <w:r>
        <w:rPr>
          <w:b/>
          <w:bCs/>
          <w:sz w:val="30"/>
          <w:szCs w:val="30"/>
          <w:rFonts w:ascii="Arial" w:cs="Arial" w:eastAsia="Arial" w:hAnsi="Arial"/>
        </w:rPr>
        <w:t xml:space="preserve">Performance Optimization</w:t>
      </w:r>
    </w:p>
    <w:p>
      <w:pPr>
        <w:spacing w:after="120"/>
      </w:pPr>
      <w:r>
        <w:rPr>
          <w:sz w:val="24"/>
          <w:szCs w:val="24"/>
          <w:rFonts w:ascii="Arial" w:cs="Arial" w:eastAsia="Arial" w:hAnsi="Arial"/>
        </w:rPr>
        <w:t xml:space="preserve">Julia-specific optimizations for large simulations: type stability (avoid containers with abstract element types), pre-allocation of output arrays, in-place operations (mul! instead of *), @simd and @inbounds annotations for inner loops, and multi-threading with Threads.@threads for embarrassingly parallel PSA. For very large microsimulations, CUDA.jl enables GPU-accelerated batch simulation.</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Briggs, A. H., Claxton, K., &amp; Sculpher, M. J. (2006). </w:t>
      </w:r>
      <w:r>
        <w:rPr>
          <w:i/>
          <w:iCs/>
          <w:sz w:val="24"/>
          <w:szCs w:val="24"/>
          <w:rFonts w:ascii="Arial" w:cs="Arial" w:eastAsia="Arial" w:hAnsi="Arial"/>
        </w:rPr>
        <w:t xml:space="preserve">Decision Modelling for Health Economic Evaluation</w:t>
      </w:r>
      <w:r>
        <w:rPr>
          <w:sz w:val="24"/>
          <w:szCs w:val="24"/>
          <w:rFonts w:ascii="Arial" w:cs="Arial" w:eastAsia="Arial" w:hAnsi="Arial"/>
        </w:rPr>
        <w:t xml:space="preserve">. Oxford University Press.</w:t>
      </w:r>
    </w:p>
    <w:p>
      <w:pPr>
        <w:spacing w:after="120"/>
      </w:pPr>
      <w:r>
        <w:rPr>
          <w:sz w:val="24"/>
          <w:szCs w:val="24"/>
          <w:rFonts w:ascii="Arial" w:cs="Arial" w:eastAsia="Arial" w:hAnsi="Arial"/>
        </w:rPr>
        <w:t xml:space="preserve">2. Krijkamp, E. M., et al. (2018). Microsimulation modeling for health decision sciences using R. </w:t>
      </w:r>
      <w:r>
        <w:rPr>
          <w:i/>
          <w:iCs/>
          <w:sz w:val="24"/>
          <w:szCs w:val="24"/>
          <w:rFonts w:ascii="Arial" w:cs="Arial" w:eastAsia="Arial" w:hAnsi="Arial"/>
        </w:rPr>
        <w:t xml:space="preserve">Medical Decision Making</w:t>
      </w:r>
      <w:r>
        <w:rPr>
          <w:sz w:val="24"/>
          <w:szCs w:val="24"/>
          <w:rFonts w:ascii="Arial" w:cs="Arial" w:eastAsia="Arial" w:hAnsi="Arial"/>
        </w:rPr>
        <w:t xml:space="preserve">, 38(3), 400-422.</w:t>
      </w:r>
    </w:p>
    <w:p>
      <w:pPr>
        <w:spacing w:after="120"/>
      </w:pPr>
      <w:r>
        <w:rPr>
          <w:sz w:val="24"/>
          <w:szCs w:val="24"/>
          <w:rFonts w:ascii="Arial" w:cs="Arial" w:eastAsia="Arial" w:hAnsi="Arial"/>
        </w:rPr>
        <w:t xml:space="preserve">3. QuasiMonteCarlo.jl documentation. https://docs.sciml.ai/QuasiMonteCarlo</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23: Simulation and Microsimulation for Healt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2026-04-15T22:36:02.852Z</dcterms:created>
  <dcterms:modified xsi:type="dcterms:W3CDTF">2026-04-15T22:36:02.852Z</dcterms:modified>
</cp:coreProperties>
</file>

<file path=docProps/custom.xml><?xml version="1.0" encoding="utf-8"?>
<Properties xmlns="http://schemas.openxmlformats.org/officeDocument/2006/custom-properties" xmlns:vt="http://schemas.openxmlformats.org/officeDocument/2006/docPropsVTypes"/>
</file>