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b/>
          <w:bCs/>
          <w:sz w:val="48"/>
          <w:szCs w:val="48"/>
          <w:rFonts w:ascii="Arial" w:cs="Arial" w:eastAsia="Arial" w:hAnsi="Arial"/>
        </w:rPr>
        <w:t xml:space="preserve">Healthcare Economics Research:</w:t>
      </w:r>
    </w:p>
    <w:p>
      <w:pPr>
        <w:spacing w:after="400"/>
        <w:jc w:val="center"/>
      </w:pPr>
      <w:r>
        <w:rPr>
          <w:b/>
          <w:bCs/>
          <w:sz w:val="44"/>
          <w:szCs w:val="44"/>
          <w:rFonts w:ascii="Arial" w:cs="Arial" w:eastAsia="Arial" w:hAnsi="Arial"/>
        </w:rPr>
        <w:t xml:space="preserve">Methodology and Computational Methods in Julia</w:t>
      </w:r>
    </w:p>
    <w:p>
      <w:pPr>
        <w:spacing w:after="200"/>
        <w:jc w:val="center"/>
      </w:pPr>
      <w:r>
        <w:rPr>
          <w:sz w:val="36"/>
          <w:szCs w:val="36"/>
          <w:rFonts w:ascii="Arial" w:cs="Arial" w:eastAsia="Arial" w:hAnsi="Arial"/>
        </w:rPr>
        <w:t xml:space="preserve">Chapter 29</w:t>
      </w:r>
    </w:p>
    <w:p>
      <w:pPr>
        <w:jc w:val="center"/>
      </w:pPr>
      <w:r>
        <w:rPr>
          <w:i/>
          <w:iCs/>
          <w:sz w:val="32"/>
          <w:szCs w:val="32"/>
          <w:rFonts w:ascii="Arial" w:cs="Arial" w:eastAsia="Arial" w:hAnsi="Arial"/>
        </w:rPr>
        <w:t xml:space="preserve">Advanced Topics: Dynamic Models, Optimal Policy, and Mechanism Design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Introduction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This chapter addresses the most theoretically advanced topics in health economics methodology — dynamic optimization, mechanism design, and optimal policy. These methods operate at the research frontier, requiring substantial mathematical sophistication and computational power, but they provide insights that reduced-form and static structural methods cannot: the optimal design of insurance contracts, payment systems, and treatment protocols that account for forward-looking behavior, information asymmetry, and strategic interaction.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Dynamic Optimization in Health Economics</w:t>
      </w:r>
    </w:p>
    <w:p>
      <w:pPr>
        <w:pStyle w:val="Heading3"/>
        <w:spacing w:before="200" w:after="10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The Grossman Model as Optimal Control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The Grossman health capital model (Chapter 1) can be formulated as an optimal control problem: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max ∫₀ᵀ e⁻ʳᵗ U(C(t), H(t)) dt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subject to dH/dt = I(M(t), E) - δ(t)H(t) and the budget constraint. The Hamiltonian is: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ℋ = U(C, H) + λ[I(M, E) - δH] + μ[wφ(H) - pₘM - C]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where λ is the costate variable (shadow price of health capital) and μ is the budget multiplier. The Euler equation characterizes the optimal path of health investment.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Numerical solution in Julia uses value function iteration on a discretized state space or shooting methods for the boundary value problem. DifferentialEquations.jl solves the continuous-time optimal control problem using Pontryagin's maximum principle.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Optimal Insurance Design</w:t>
      </w:r>
    </w:p>
    <w:p>
      <w:pPr>
        <w:pStyle w:val="Heading3"/>
        <w:spacing w:before="200" w:after="10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Mechanism Design Approach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Optimal health insurance design under asymmetric information is a mechanism design problem: the insurer (principal) designs a menu of contracts to screen heterogeneous consumers (agents) who have private information about their risk type, risk aversion, or moral hazard propensity.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The Rothschild-Stiglitz separating equilibrium (Chapter 4) is the classic solution: high-risk types receive full insurance, low-risk types receive partial insurance (with a deductible that makes the contract unattractive to high-risk imitators). The welfare loss is that low-risk types bear more risk than they would under full information.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More sophisticated mechanism design approaches incorporate multidimensional private information (risk type and risk aversion), dynamic contracting (multi-period insurance with reclassification risk), and behavioral considerations (present bias, inattention to cost-sharing).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Dynamic Treatment Regimes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Dynamic treatment regimes (DTRs) formalize the sequential decision problem in personalized medicine: at each decision point, choose a treatment based on the patient's current state and treatment history, to maximize a long-run health outcome. The DTR framework connects health economics to reinforcement learning.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Q-learning estimates the optimal treatment rule by working backward from the final decision point, estimating the Q-function (expected outcome as a function of state and treatment) at each stage, and selecting the treatment that maximizes the Q-function. A-learning provides a more robust alternative that focuses on the treatment contrast rather than the full conditional mean.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Healthcare Market Design</w:t>
      </w:r>
    </w:p>
    <w:p>
      <w:pPr>
        <w:pStyle w:val="Heading3"/>
        <w:spacing w:before="200" w:after="10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Matching Markets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Organ allocation and medical residency matching are examples of healthcare market design — the application of mechanism design and matching theory to allocate scarce healthcare resources. The National Resident Matching Program (NRMP) uses the Gale-Shapley deferred acceptance algorithm to match medical graduates to residency programs, producing a stable matching (no unmatched pair that would prefer each other).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The kidney exchange problem — matching incompatible donor-recipient pairs through chains and cycles of exchanges — has been addressed through algorithmic design (Roth, Sönmez, and Ünver, 2004), demonstrating how economic theory directly improves healthcare delivery.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References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1. Grossman, M. (1972). On the concept of health capital and the demand for health. </w:t>
      </w:r>
      <w:r>
        <w:rPr>
          <w:i/>
          <w:iCs/>
          <w:sz w:val="24"/>
          <w:szCs w:val="24"/>
          <w:rFonts w:ascii="Arial" w:cs="Arial" w:eastAsia="Arial" w:hAnsi="Arial"/>
        </w:rPr>
        <w:t xml:space="preserve">JPE</w:t>
      </w:r>
      <w:r>
        <w:rPr>
          <w:sz w:val="24"/>
          <w:szCs w:val="24"/>
          <w:rFonts w:ascii="Arial" w:cs="Arial" w:eastAsia="Arial" w:hAnsi="Arial"/>
        </w:rPr>
        <w:t xml:space="preserve">, 80(2), 223-255.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2. Rothschild, M., &amp; Stiglitz, J. (1976). Equilibrium in competitive insurance markets. </w:t>
      </w:r>
      <w:r>
        <w:rPr>
          <w:i/>
          <w:iCs/>
          <w:sz w:val="24"/>
          <w:szCs w:val="24"/>
          <w:rFonts w:ascii="Arial" w:cs="Arial" w:eastAsia="Arial" w:hAnsi="Arial"/>
        </w:rPr>
        <w:t xml:space="preserve">QJE</w:t>
      </w:r>
      <w:r>
        <w:rPr>
          <w:sz w:val="24"/>
          <w:szCs w:val="24"/>
          <w:rFonts w:ascii="Arial" w:cs="Arial" w:eastAsia="Arial" w:hAnsi="Arial"/>
        </w:rPr>
        <w:t xml:space="preserve">, 90(4), 629-649.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3. Roth, A. E., Sönmez, T., &amp; Ünver, M. U. (2004). Kidney exchange. </w:t>
      </w:r>
      <w:r>
        <w:rPr>
          <w:i/>
          <w:iCs/>
          <w:sz w:val="24"/>
          <w:szCs w:val="24"/>
          <w:rFonts w:ascii="Arial" w:cs="Arial" w:eastAsia="Arial" w:hAnsi="Arial"/>
        </w:rPr>
        <w:t xml:space="preserve">QJE</w:t>
      </w:r>
      <w:r>
        <w:rPr>
          <w:sz w:val="24"/>
          <w:szCs w:val="24"/>
          <w:rFonts w:ascii="Arial" w:cs="Arial" w:eastAsia="Arial" w:hAnsi="Arial"/>
        </w:rPr>
        <w:t xml:space="preserve">, 119(2), 457-488.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4. Murphy, S. A. (2003). Optimal dynamic treatment regimes. </w:t>
      </w:r>
      <w:r>
        <w:rPr>
          <w:i/>
          <w:iCs/>
          <w:sz w:val="24"/>
          <w:szCs w:val="24"/>
          <w:rFonts w:ascii="Arial" w:cs="Arial" w:eastAsia="Arial" w:hAnsi="Arial"/>
        </w:rPr>
        <w:t xml:space="preserve">JRSS-B</w:t>
      </w:r>
      <w:r>
        <w:rPr>
          <w:sz w:val="24"/>
          <w:szCs w:val="24"/>
          <w:rFonts w:ascii="Arial" w:cs="Arial" w:eastAsia="Arial" w:hAnsi="Arial"/>
        </w:rPr>
        <w:t xml:space="preserve">, 65(2), 331-355.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  <w:rFonts w:ascii="Arial" w:cs="Arial" w:eastAsia="Arial" w:hAnsi="Arial"/>
      </w:rPr>
      <w:t xml:space="preserve">Chapter 29: Advanced Topics: Dynamic Models, Optimal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sz w:val="30"/>
      <w:szCs w:val="30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sz w:val="26"/>
      <w:szCs w:val="26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2026-04-15T22:36:02.982Z</dcterms:created>
  <dcterms:modified xsi:type="dcterms:W3CDTF">2026-04-15T22:36:02.982Z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