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w:t>
      </w:r>
    </w:p>
    <w:p>
      <w:pPr>
        <w:jc w:val="center"/>
      </w:pPr>
      <w:r>
        <w:rPr>
          <w:i/>
          <w:iCs/>
          <w:sz w:val="36"/>
          <w:szCs w:val="36"/>
          <w:rFonts w:ascii="Arial" w:cs="Arial" w:eastAsia="Arial" w:hAnsi="Arial"/>
        </w:rPr>
        <w:t xml:space="preserve">Foundations of Healthcare Economics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Healthcare economics occupies a distinctive position within the broader discipline of economics, distinguished not merely by its subject matter but by the fundamental structural properties that set healthcare apart from virtually all other commodities. The field emerged as a recognized subdiscipline in the early 1960s, catalyzed by Kenneth Arrow's landmark 1963 paper in the </w:t>
      </w:r>
      <w:r>
        <w:rPr>
          <w:i/>
          <w:iCs/>
          <w:sz w:val="24"/>
          <w:szCs w:val="24"/>
          <w:rFonts w:ascii="Arial" w:cs="Arial" w:eastAsia="Arial" w:hAnsi="Arial"/>
        </w:rPr>
        <w:t xml:space="preserve">American Economic Review</w:t>
      </w:r>
      <w:r>
        <w:rPr>
          <w:sz w:val="24"/>
          <w:szCs w:val="24"/>
          <w:rFonts w:ascii="Arial" w:cs="Arial" w:eastAsia="Arial" w:hAnsi="Arial"/>
        </w:rPr>
        <w:t xml:space="preserve">, which systematically enumerated the ways in which healthcare markets deviate from the conditions required for competitive equilibrium. In the decades since, healthcare economics has grown into one of the most active and policy-relevant areas of economic research, driven by the relentless growth of healthcare spending as a share of national income, persistent questions about value and efficiency, and the ongoing challenge of designing institutions that balance access, quality, and cost.</w:t>
      </w:r>
    </w:p>
    <w:p>
      <w:pPr>
        <w:spacing w:after="120"/>
      </w:pPr>
      <w:r>
        <w:rPr>
          <w:sz w:val="24"/>
          <w:szCs w:val="24"/>
          <w:rFonts w:ascii="Arial" w:cs="Arial" w:eastAsia="Arial" w:hAnsi="Arial"/>
        </w:rPr>
        <w:t xml:space="preserve">This chapter establishes the intellectual framework upon which the entire textbook is constructed. We begin with Arrow's foundational analysis of the economic peculiarities of medical care, then proceed to Grossman's human capital model of health demand, the taxonomy of market failures in healthcare, the welfare economics foundations for evaluating health system performance, and the economic rationale for government intervention. We conclude with a classification system for health economics research that orients the reader to the methodological and substantive landscape explored in subsequent chapters. The target audience is graduate-level researchers in health economics, health services research, and health policy who seek a rigorous grounding in the theoretical foundations of the field.</w:t>
      </w:r>
    </w:p>
    <w:p>
      <w:pPr>
        <w:pStyle w:val="Heading2"/>
        <w:spacing w:before="300" w:after="150"/>
      </w:pPr>
      <w:r>
        <w:rPr>
          <w:b/>
          <w:bCs/>
          <w:sz w:val="30"/>
          <w:szCs w:val="30"/>
          <w:rFonts w:ascii="Arial" w:cs="Arial" w:eastAsia="Arial" w:hAnsi="Arial"/>
        </w:rPr>
        <w:t xml:space="preserve">Arrow's Seminal Analysis: Uncertainty, Information, and Agency</w:t>
      </w:r>
    </w:p>
    <w:p>
      <w:pPr>
        <w:pStyle w:val="Heading3"/>
        <w:spacing w:before="200" w:after="100"/>
      </w:pPr>
      <w:r>
        <w:rPr>
          <w:b/>
          <w:bCs/>
          <w:sz w:val="26"/>
          <w:szCs w:val="26"/>
          <w:rFonts w:ascii="Arial" w:cs="Arial" w:eastAsia="Arial" w:hAnsi="Arial"/>
        </w:rPr>
        <w:t xml:space="preserve">The 1963 Paper and Its Enduring Legacy</w:t>
      </w:r>
    </w:p>
    <w:p>
      <w:pPr>
        <w:spacing w:after="120"/>
      </w:pPr>
      <w:r>
        <w:rPr>
          <w:sz w:val="24"/>
          <w:szCs w:val="24"/>
          <w:rFonts w:ascii="Arial" w:cs="Arial" w:eastAsia="Arial" w:hAnsi="Arial"/>
        </w:rPr>
        <w:t xml:space="preserve">Kenneth Arrow's 1963 paper, "Uncertainty and the Welfare Economics of Medical Care," remains the single most influential contribution to healthcare economics. Arrow did not merely observe that healthcare is "different" — he provided a systematic economic framework for understanding </w:t>
      </w:r>
      <w:r>
        <w:rPr>
          <w:i/>
          <w:iCs/>
          <w:sz w:val="24"/>
          <w:szCs w:val="24"/>
          <w:rFonts w:ascii="Arial" w:cs="Arial" w:eastAsia="Arial" w:hAnsi="Arial"/>
        </w:rPr>
        <w:t xml:space="preserve">why</w:t>
      </w:r>
      <w:r>
        <w:rPr>
          <w:sz w:val="24"/>
          <w:szCs w:val="24"/>
          <w:rFonts w:ascii="Arial" w:cs="Arial" w:eastAsia="Arial" w:hAnsi="Arial"/>
        </w:rPr>
        <w:t xml:space="preserve"> it is different and </w:t>
      </w:r>
      <w:r>
        <w:rPr>
          <w:i/>
          <w:iCs/>
          <w:sz w:val="24"/>
          <w:szCs w:val="24"/>
          <w:rFonts w:ascii="Arial" w:cs="Arial" w:eastAsia="Arial" w:hAnsi="Arial"/>
        </w:rPr>
        <w:t xml:space="preserve">what consequences</w:t>
      </w:r>
      <w:r>
        <w:rPr>
          <w:sz w:val="24"/>
          <w:szCs w:val="24"/>
          <w:rFonts w:ascii="Arial" w:cs="Arial" w:eastAsia="Arial" w:hAnsi="Arial"/>
        </w:rPr>
        <w:t xml:space="preserve"> follow from those differences. His analysis identified several interconnected features of medical care that undermine the conditions for competitive market efficiency: uncertainty in the incidence of disease and the efficacy of treatment, asymmetric information between providers and patients, the non-marketability of many relevant risks, barriers to entry in the medical profession, and the pervasive role of trust and agency relationships.</w:t>
      </w:r>
    </w:p>
    <w:p>
      <w:pPr>
        <w:spacing w:after="120"/>
      </w:pPr>
      <w:r>
        <w:rPr>
          <w:sz w:val="24"/>
          <w:szCs w:val="24"/>
          <w:rFonts w:ascii="Arial" w:cs="Arial" w:eastAsia="Arial" w:hAnsi="Arial"/>
        </w:rPr>
        <w:t xml:space="preserve">Arrow's central insight was that the distinctive institutional features of healthcare — licensure, professional ethics, nonprofit organization, insurance — are not arbitrary historical accidents but rather adaptive responses to the market failures created by uncertainty and information asymmetry. The medical profession's ethical codes, for example, can be understood as a second-best solution to the agency problem created when patients cannot evaluate the quality of care they receive. Similarly, the prevalence of nonprofit hospitals can be interpreted as a response to the difficulty consumers face in monitoring for-profit firms in settings where quality is hard to observe.</w:t>
      </w:r>
    </w:p>
    <w:p>
      <w:pPr>
        <w:pStyle w:val="Heading3"/>
        <w:spacing w:before="200" w:after="100"/>
      </w:pPr>
      <w:r>
        <w:rPr>
          <w:b/>
          <w:bCs/>
          <w:sz w:val="26"/>
          <w:szCs w:val="26"/>
          <w:rFonts w:ascii="Arial" w:cs="Arial" w:eastAsia="Arial" w:hAnsi="Arial"/>
        </w:rPr>
        <w:t xml:space="preserve">Uncertainty in Healthcare</w:t>
      </w:r>
    </w:p>
    <w:p>
      <w:pPr>
        <w:spacing w:after="120"/>
      </w:pPr>
      <w:r>
        <w:rPr>
          <w:sz w:val="24"/>
          <w:szCs w:val="24"/>
          <w:rFonts w:ascii="Arial" w:cs="Arial" w:eastAsia="Arial" w:hAnsi="Arial"/>
        </w:rPr>
        <w:t xml:space="preserve">Uncertainty pervades every aspect of healthcare. Individuals face uncertainty about whether they will become ill (the incidence of disease), about the severity of illness when it occurs, about the efficacy of available treatments, and about the costs they will incur. This pervasive uncertainty has several economic consequences.</w:t>
      </w:r>
    </w:p>
    <w:p>
      <w:pPr>
        <w:spacing w:after="120"/>
      </w:pPr>
      <w:r>
        <w:rPr>
          <w:sz w:val="24"/>
          <w:szCs w:val="24"/>
          <w:rFonts w:ascii="Arial" w:cs="Arial" w:eastAsia="Arial" w:hAnsi="Arial"/>
        </w:rPr>
        <w:t xml:space="preserve">First, uncertainty about the incidence and cost of illness creates a demand for insurance. The expected utility framework, formalized by von Neumann and Morgenstern, demonstrates that risk-averse individuals will pay a premium above the actuarially fair price to transfer risk to an insurer. The demand for health insurance is thus a derived demand, flowing directly from the unpredictability of health events. However, the conditions for efficient insurance markets — independent, identifiable risks with low moral hazard — are imperfectly satisfied in healthcare, leading to the market failures discussed below.</w:t>
      </w:r>
    </w:p>
    <w:p>
      <w:pPr>
        <w:spacing w:after="120"/>
      </w:pPr>
      <w:r>
        <w:rPr>
          <w:sz w:val="24"/>
          <w:szCs w:val="24"/>
          <w:rFonts w:ascii="Arial" w:cs="Arial" w:eastAsia="Arial" w:hAnsi="Arial"/>
        </w:rPr>
        <w:t xml:space="preserve">Second, uncertainty about treatment efficacy creates a fundamental challenge for consumer sovereignty. In most markets, consumers can evaluate product quality either before purchase (search goods) or through experience (experience goods). Medical care has significant characteristics of a credence good: even after receiving treatment, patients often cannot determine whether the treatment was appropriate or whether a different treatment would have produced a better outcome. This informational disadvantage is the foundation of the agency relationship between patients and providers.</w:t>
      </w:r>
    </w:p>
    <w:p>
      <w:pPr>
        <w:spacing w:after="120"/>
      </w:pPr>
      <w:r>
        <w:rPr>
          <w:sz w:val="24"/>
          <w:szCs w:val="24"/>
          <w:rFonts w:ascii="Arial" w:cs="Arial" w:eastAsia="Arial" w:hAnsi="Arial"/>
        </w:rPr>
        <w:t xml:space="preserve">Third, uncertainty generates option value for medical knowledge and healthcare capacity. Society values maintaining hospital beds, emergency services, and research capacity even when these resources are not currently needed, because their availability provides insurance against uncertain future health events. This option value has public good characteristics, as one person's benefit from knowing that emergency services are available does not diminish another's benefit.</w:t>
      </w:r>
    </w:p>
    <w:p>
      <w:pPr>
        <w:pStyle w:val="Heading3"/>
        <w:spacing w:before="200" w:after="100"/>
      </w:pPr>
      <w:r>
        <w:rPr>
          <w:b/>
          <w:bCs/>
          <w:sz w:val="26"/>
          <w:szCs w:val="26"/>
          <w:rFonts w:ascii="Arial" w:cs="Arial" w:eastAsia="Arial" w:hAnsi="Arial"/>
        </w:rPr>
        <w:t xml:space="preserve">Asymmetric Information Between Providers and Patients</w:t>
      </w:r>
    </w:p>
    <w:p>
      <w:pPr>
        <w:spacing w:after="120"/>
      </w:pPr>
      <w:r>
        <w:rPr>
          <w:sz w:val="24"/>
          <w:szCs w:val="24"/>
          <w:rFonts w:ascii="Arial" w:cs="Arial" w:eastAsia="Arial" w:hAnsi="Arial"/>
        </w:rPr>
        <w:t xml:space="preserve">The information asymmetry between healthcare providers and patients is arguably the most consequential market failure in healthcare. Physicians possess specialized knowledge — acquired through years of training — about disease processes, diagnostic probabilities, treatment options, and expected outcomes. Patients, by contrast, typically lack the technical knowledge to evaluate whether a recommended treatment is necessary, whether the provider is competent, and whether the price charged is reasonable.</w:t>
      </w:r>
    </w:p>
    <w:p>
      <w:pPr>
        <w:spacing w:after="120"/>
      </w:pPr>
      <w:r>
        <w:rPr>
          <w:sz w:val="24"/>
          <w:szCs w:val="24"/>
          <w:rFonts w:ascii="Arial" w:cs="Arial" w:eastAsia="Arial" w:hAnsi="Arial"/>
        </w:rPr>
        <w:t xml:space="preserve">This asymmetry creates what economists call an agency relationship: the patient delegates decision-making authority to the physician, who is expected to act in the patient's best interest. In the ideal model, the physician serves as a "perfect agent," recommending exactly the care the patient would choose if the patient possessed the physician's knowledge. In practice, however, the agency relationship is complicated by several factors.</w:t>
      </w:r>
    </w:p>
    <w:p>
      <w:pPr>
        <w:spacing w:after="120"/>
      </w:pPr>
      <w:r>
        <w:rPr>
          <w:sz w:val="24"/>
          <w:szCs w:val="24"/>
          <w:rFonts w:ascii="Arial" w:cs="Arial" w:eastAsia="Arial" w:hAnsi="Arial"/>
        </w:rPr>
        <w:t xml:space="preserve">First, physicians face financial incentives that may conflict with perfect agency. Under fee-for-service payment, physicians have a financial incentive to recommend more services than are strictly necessary. Under capitation or salary, physicians may have an incentive to recommend fewer services. The design of payment systems to align physician incentives with patient welfare is a central challenge in healthcare economics, explored in depth in Chapter 5.</w:t>
      </w:r>
    </w:p>
    <w:p>
      <w:pPr>
        <w:spacing w:after="120"/>
      </w:pPr>
      <w:r>
        <w:rPr>
          <w:sz w:val="24"/>
          <w:szCs w:val="24"/>
          <w:rFonts w:ascii="Arial" w:cs="Arial" w:eastAsia="Arial" w:hAnsi="Arial"/>
        </w:rPr>
        <w:t xml:space="preserve">Second, even well-intentioned physicians may be influenced by the local practice environment, training biases, and heuristic decision-making. The extensive literature on geographic variation in healthcare utilization — pioneered by John Wennberg and the Dartmouth Atlas — demonstrates that the volume and type of services patients receive depends heavily on where they live, even after controlling for patient characteristics and preferences.</w:t>
      </w:r>
    </w:p>
    <w:p>
      <w:pPr>
        <w:spacing w:after="120"/>
      </w:pPr>
      <w:r>
        <w:rPr>
          <w:sz w:val="24"/>
          <w:szCs w:val="24"/>
          <w:rFonts w:ascii="Arial" w:cs="Arial" w:eastAsia="Arial" w:hAnsi="Arial"/>
        </w:rPr>
        <w:t xml:space="preserve">Third, information asymmetry operates in both directions. While physicians know more about medicine, patients know more about their own preferences, values, symptoms, and adherence behavior. The patient-physician interaction is therefore a bilateral information problem, in which efficient communication and shared decision-making are important for achieving good outcomes.</w:t>
      </w:r>
    </w:p>
    <w:p>
      <w:pPr>
        <w:pStyle w:val="Heading3"/>
        <w:spacing w:before="200" w:after="100"/>
      </w:pPr>
      <w:r>
        <w:rPr>
          <w:b/>
          <w:bCs/>
          <w:sz w:val="26"/>
          <w:szCs w:val="26"/>
          <w:rFonts w:ascii="Arial" w:cs="Arial" w:eastAsia="Arial" w:hAnsi="Arial"/>
        </w:rPr>
        <w:t xml:space="preserve">The Agency Relationship in Healthcare</w:t>
      </w:r>
    </w:p>
    <w:p>
      <w:pPr>
        <w:spacing w:after="120"/>
      </w:pPr>
      <w:r>
        <w:rPr>
          <w:sz w:val="24"/>
          <w:szCs w:val="24"/>
          <w:rFonts w:ascii="Arial" w:cs="Arial" w:eastAsia="Arial" w:hAnsi="Arial"/>
        </w:rPr>
        <w:t xml:space="preserve">The principal-agent framework provides the formal economic structure for analyzing the provider-patient relationship. The patient (principal) hires the physician (agent) to provide a service that the patient cannot easily evaluate. The classic principal-agent problem arises because the agent's effort and decision quality are imperfectly observable by the principal, and the agent may have preferences (for leisure, income, professional reputation) that diverge from the principal's interests.</w:t>
      </w:r>
    </w:p>
    <w:p>
      <w:pPr>
        <w:spacing w:after="120"/>
      </w:pPr>
      <w:r>
        <w:rPr>
          <w:sz w:val="24"/>
          <w:szCs w:val="24"/>
          <w:rFonts w:ascii="Arial" w:cs="Arial" w:eastAsia="Arial" w:hAnsi="Arial"/>
        </w:rPr>
        <w:t xml:space="preserve">In healthcare, the agency problem is intensified by several factors. The stakes are high — health and life are at risk. The product is heterogeneous — each patient's condition and response to treatment is unique. Repeat purchasing is limited — patients do not frequently shop for surgical procedures in the way they shop for groceries. And the emotional context of illness — fear, vulnerability, urgency — may impair patients' capacity for rational economic decision-making.</w:t>
      </w:r>
    </w:p>
    <w:p>
      <w:pPr>
        <w:spacing w:after="120"/>
      </w:pPr>
      <w:r>
        <w:rPr>
          <w:sz w:val="24"/>
          <w:szCs w:val="24"/>
          <w:rFonts w:ascii="Arial" w:cs="Arial" w:eastAsia="Arial" w:hAnsi="Arial"/>
        </w:rPr>
        <w:t xml:space="preserve">McGuire's (2000) comprehensive review of physician agency models distinguishes between models in which the physician has pure financial motivation (profit maximization) and models incorporating professional ethics as a constraint or objective. The empirical evidence suggests that most physicians are motivated by a combination of financial incentives, professional norms, and patient welfare concerns, but that the relative weights of these motivations vary across physicians and are influenced by the institutional environment.</w:t>
      </w:r>
    </w:p>
    <w:p>
      <w:pPr>
        <w:pStyle w:val="Heading2"/>
        <w:spacing w:before="300" w:after="150"/>
      </w:pPr>
      <w:r>
        <w:rPr>
          <w:b/>
          <w:bCs/>
          <w:sz w:val="30"/>
          <w:szCs w:val="30"/>
          <w:rFonts w:ascii="Arial" w:cs="Arial" w:eastAsia="Arial" w:hAnsi="Arial"/>
        </w:rPr>
        <w:t xml:space="preserve">The Grossman Model: Health as Human Capital</w:t>
      </w:r>
    </w:p>
    <w:p>
      <w:pPr>
        <w:pStyle w:val="Heading3"/>
        <w:spacing w:before="200" w:after="100"/>
      </w:pPr>
      <w:r>
        <w:rPr>
          <w:b/>
          <w:bCs/>
          <w:sz w:val="26"/>
          <w:szCs w:val="26"/>
          <w:rFonts w:ascii="Arial" w:cs="Arial" w:eastAsia="Arial" w:hAnsi="Arial"/>
        </w:rPr>
        <w:t xml:space="preserve">Health Demand vs. Medical Care Demand</w:t>
      </w:r>
    </w:p>
    <w:p>
      <w:pPr>
        <w:spacing w:after="120"/>
      </w:pPr>
      <w:r>
        <w:rPr>
          <w:sz w:val="24"/>
          <w:szCs w:val="24"/>
          <w:rFonts w:ascii="Arial" w:cs="Arial" w:eastAsia="Arial" w:hAnsi="Arial"/>
        </w:rPr>
        <w:t xml:space="preserve">Michael Grossman's 1972 model of the demand for health was a breakthrough in health economics because it shifted the analytical focus from the demand for medical care to the demand for health itself. In Grossman's framework, individuals do not demand medical care for its own sake but rather as an input in the production of health. This distinction has profound implications for understanding healthcare utilization patterns.</w:t>
      </w:r>
    </w:p>
    <w:p>
      <w:pPr>
        <w:spacing w:after="120"/>
      </w:pPr>
      <w:r>
        <w:rPr>
          <w:sz w:val="24"/>
          <w:szCs w:val="24"/>
          <w:rFonts w:ascii="Arial" w:cs="Arial" w:eastAsia="Arial" w:hAnsi="Arial"/>
        </w:rPr>
        <w:t xml:space="preserve">In the Grossman model, individuals are endowed with an initial stock of health capital, </w:t>
      </w:r>
      <w:r>
        <w:rPr>
          <w:i/>
          <w:iCs/>
          <w:sz w:val="24"/>
          <w:szCs w:val="24"/>
          <w:rFonts w:ascii="Arial" w:cs="Arial" w:eastAsia="Arial" w:hAnsi="Arial"/>
        </w:rPr>
        <w:t xml:space="preserve">H₀</w:t>
      </w:r>
      <w:r>
        <w:rPr>
          <w:sz w:val="24"/>
          <w:szCs w:val="24"/>
          <w:rFonts w:ascii="Arial" w:cs="Arial" w:eastAsia="Arial" w:hAnsi="Arial"/>
        </w:rPr>
        <w:t xml:space="preserve">, which depreciates over time at a rate </w:t>
      </w:r>
      <w:r>
        <w:rPr>
          <w:i/>
          <w:iCs/>
          <w:sz w:val="24"/>
          <w:szCs w:val="24"/>
          <w:rFonts w:ascii="Arial" w:cs="Arial" w:eastAsia="Arial" w:hAnsi="Arial"/>
        </w:rPr>
        <w:t xml:space="preserve">δ(t)</w:t>
      </w:r>
      <w:r>
        <w:rPr>
          <w:sz w:val="24"/>
          <w:szCs w:val="24"/>
          <w:rFonts w:ascii="Arial" w:cs="Arial" w:eastAsia="Arial" w:hAnsi="Arial"/>
        </w:rPr>
        <w:t xml:space="preserve"> that increases with age. Individuals can invest in their health capital through medical care, but also through other inputs such as nutrition, exercise, and time devoted to health-producing activities. The health production function can be written as:</w:t>
      </w:r>
    </w:p>
    <w:p>
      <w:pPr>
        <w:spacing w:after="120"/>
      </w:pPr>
      <w:r>
        <w:rPr>
          <w:sz w:val="24"/>
          <w:szCs w:val="24"/>
          <w:rFonts w:ascii="Arial" w:cs="Arial" w:eastAsia="Arial" w:hAnsi="Arial"/>
        </w:rPr>
      </w:r>
      <w:r>
        <w:rPr>
          <w:i/>
          <w:iCs/>
          <w:sz w:val="24"/>
          <w:szCs w:val="24"/>
          <w:rFonts w:ascii="Arial" w:cs="Arial" w:eastAsia="Arial" w:hAnsi="Arial"/>
        </w:rPr>
        <w:t xml:space="preserve">I(t) = I(M(t), TH(t); E)</w:t>
      </w:r>
      <w:r>
        <w:rPr>
          <w:sz w:val="24"/>
          <w:szCs w:val="24"/>
          <w:rFonts w:ascii="Arial" w:cs="Arial" w:eastAsia="Arial" w:hAnsi="Arial"/>
        </w:rPr>
      </w:r>
    </w:p>
    <w:p>
      <w:pPr>
        <w:spacing w:after="120"/>
      </w:pPr>
      <w:r>
        <w:rPr>
          <w:sz w:val="24"/>
          <w:szCs w:val="24"/>
          <w:rFonts w:ascii="Arial" w:cs="Arial" w:eastAsia="Arial" w:hAnsi="Arial"/>
        </w:rPr>
        <w:t xml:space="preserve">where </w:t>
      </w:r>
      <w:r>
        <w:rPr>
          <w:i/>
          <w:iCs/>
          <w:sz w:val="24"/>
          <w:szCs w:val="24"/>
          <w:rFonts w:ascii="Arial" w:cs="Arial" w:eastAsia="Arial" w:hAnsi="Arial"/>
        </w:rPr>
        <w:t xml:space="preserve">I(t)</w:t>
      </w:r>
      <w:r>
        <w:rPr>
          <w:sz w:val="24"/>
          <w:szCs w:val="24"/>
          <w:rFonts w:ascii="Arial" w:cs="Arial" w:eastAsia="Arial" w:hAnsi="Arial"/>
        </w:rPr>
        <w:t xml:space="preserve"> is gross investment in health, </w:t>
      </w:r>
      <w:r>
        <w:rPr>
          <w:i/>
          <w:iCs/>
          <w:sz w:val="24"/>
          <w:szCs w:val="24"/>
          <w:rFonts w:ascii="Arial" w:cs="Arial" w:eastAsia="Arial" w:hAnsi="Arial"/>
        </w:rPr>
        <w:t xml:space="preserve">M(t)</w:t>
      </w:r>
      <w:r>
        <w:rPr>
          <w:sz w:val="24"/>
          <w:szCs w:val="24"/>
          <w:rFonts w:ascii="Arial" w:cs="Arial" w:eastAsia="Arial" w:hAnsi="Arial"/>
        </w:rPr>
        <w:t xml:space="preserve"> is medical care, </w:t>
      </w:r>
      <w:r>
        <w:rPr>
          <w:i/>
          <w:iCs/>
          <w:sz w:val="24"/>
          <w:szCs w:val="24"/>
          <w:rFonts w:ascii="Arial" w:cs="Arial" w:eastAsia="Arial" w:hAnsi="Arial"/>
        </w:rPr>
        <w:t xml:space="preserve">TH(t)</w:t>
      </w:r>
      <w:r>
        <w:rPr>
          <w:sz w:val="24"/>
          <w:szCs w:val="24"/>
          <w:rFonts w:ascii="Arial" w:cs="Arial" w:eastAsia="Arial" w:hAnsi="Arial"/>
        </w:rPr>
        <w:t xml:space="preserve"> is time devoted to health-improving activities, and </w:t>
      </w:r>
      <w:r>
        <w:rPr>
          <w:i/>
          <w:iCs/>
          <w:sz w:val="24"/>
          <w:szCs w:val="24"/>
          <w:rFonts w:ascii="Arial" w:cs="Arial" w:eastAsia="Arial" w:hAnsi="Arial"/>
        </w:rPr>
        <w:t xml:space="preserve">E</w:t>
      </w:r>
      <w:r>
        <w:rPr>
          <w:sz w:val="24"/>
          <w:szCs w:val="24"/>
          <w:rFonts w:ascii="Arial" w:cs="Arial" w:eastAsia="Arial" w:hAnsi="Arial"/>
        </w:rPr>
        <w:t xml:space="preserve"> is the individual's stock of human capital (education), which affects the efficiency of health production.</w:t>
      </w:r>
    </w:p>
    <w:p>
      <w:pPr>
        <w:spacing w:after="120"/>
      </w:pPr>
      <w:r>
        <w:rPr>
          <w:sz w:val="24"/>
          <w:szCs w:val="24"/>
          <w:rFonts w:ascii="Arial" w:cs="Arial" w:eastAsia="Arial" w:hAnsi="Arial"/>
        </w:rPr>
        <w:t xml:space="preserve">The stock of health capital evolves according to:</w:t>
      </w:r>
    </w:p>
    <w:p>
      <w:pPr>
        <w:spacing w:after="120"/>
      </w:pPr>
      <w:r>
        <w:rPr>
          <w:sz w:val="24"/>
          <w:szCs w:val="24"/>
          <w:rFonts w:ascii="Arial" w:cs="Arial" w:eastAsia="Arial" w:hAnsi="Arial"/>
        </w:rPr>
      </w:r>
      <w:r>
        <w:rPr>
          <w:i/>
          <w:iCs/>
          <w:sz w:val="24"/>
          <w:szCs w:val="24"/>
          <w:rFonts w:ascii="Arial" w:cs="Arial" w:eastAsia="Arial" w:hAnsi="Arial"/>
        </w:rPr>
        <w:t xml:space="preserve">H(t+1) = H(t) + I(t) - δ(t) × H(t)</w:t>
      </w:r>
      <w:r>
        <w:rPr>
          <w:sz w:val="24"/>
          <w:szCs w:val="24"/>
          <w:rFonts w:ascii="Arial" w:cs="Arial" w:eastAsia="Arial" w:hAnsi="Arial"/>
        </w:rPr>
      </w:r>
    </w:p>
    <w:p>
      <w:pPr>
        <w:pStyle w:val="Heading3"/>
        <w:spacing w:before="200" w:after="100"/>
      </w:pPr>
      <w:r>
        <w:rPr>
          <w:b/>
          <w:bCs/>
          <w:sz w:val="26"/>
          <w:szCs w:val="26"/>
          <w:rFonts w:ascii="Arial" w:cs="Arial" w:eastAsia="Arial" w:hAnsi="Arial"/>
        </w:rPr>
        <w:t xml:space="preserve">Health as Consumption Good and Investment Good</w:t>
      </w:r>
    </w:p>
    <w:p>
      <w:pPr>
        <w:spacing w:after="120"/>
      </w:pPr>
      <w:r>
        <w:rPr>
          <w:sz w:val="24"/>
          <w:szCs w:val="24"/>
          <w:rFonts w:ascii="Arial" w:cs="Arial" w:eastAsia="Arial" w:hAnsi="Arial"/>
        </w:rPr>
        <w:t xml:space="preserve">Grossman identified two distinct models of the demand for health, corresponding to two reasons individuals value health.</w:t>
      </w:r>
    </w:p>
    <w:p>
      <w:pPr>
        <w:spacing w:after="120"/>
      </w:pPr>
      <w:r>
        <w:rPr>
          <w:sz w:val="24"/>
          <w:szCs w:val="24"/>
          <w:rFonts w:ascii="Arial" w:cs="Arial" w:eastAsia="Arial" w:hAnsi="Arial"/>
        </w:rPr>
        <w:t xml:space="preserve">In the </w:t>
      </w:r>
      <w:r>
        <w:rPr>
          <w:b/>
          <w:bCs/>
          <w:sz w:val="24"/>
          <w:szCs w:val="24"/>
          <w:rFonts w:ascii="Arial" w:cs="Arial" w:eastAsia="Arial" w:hAnsi="Arial"/>
        </w:rPr>
        <w:t xml:space="preserve">pure consumption model</w:t>
      </w:r>
      <w:r>
        <w:rPr>
          <w:sz w:val="24"/>
          <w:szCs w:val="24"/>
          <w:rFonts w:ascii="Arial" w:cs="Arial" w:eastAsia="Arial" w:hAnsi="Arial"/>
        </w:rPr>
        <w:t xml:space="preserve">, health enters the utility function directly. Individuals value health because "healthy days" (days free from illness and disability) are a source of direct utility. In this model, the demand for health capital depends on the individual's rate of time preference, the depreciation rate of health capital, the price of medical care, and the wage rate (which affects the opportunity cost of time devoted to health production).</w:t>
      </w:r>
    </w:p>
    <w:p>
      <w:pPr>
        <w:spacing w:after="120"/>
      </w:pPr>
      <w:r>
        <w:rPr>
          <w:sz w:val="24"/>
          <w:szCs w:val="24"/>
          <w:rFonts w:ascii="Arial" w:cs="Arial" w:eastAsia="Arial" w:hAnsi="Arial"/>
        </w:rPr>
        <w:t xml:space="preserve">In the </w:t>
      </w:r>
      <w:r>
        <w:rPr>
          <w:b/>
          <w:bCs/>
          <w:sz w:val="24"/>
          <w:szCs w:val="24"/>
          <w:rFonts w:ascii="Arial" w:cs="Arial" w:eastAsia="Arial" w:hAnsi="Arial"/>
        </w:rPr>
        <w:t xml:space="preserve">pure investment model</w:t>
      </w:r>
      <w:r>
        <w:rPr>
          <w:sz w:val="24"/>
          <w:szCs w:val="24"/>
          <w:rFonts w:ascii="Arial" w:cs="Arial" w:eastAsia="Arial" w:hAnsi="Arial"/>
        </w:rPr>
        <w:t xml:space="preserve">, health is valued because it determines the total amount of time available for market and non-market activities. Illness reduces the number of healthy days available for work, thereby reducing earnings capacity. In this model, the demand for health capital is determined by the rate of return to health investment: the marginal product of health in generating healthy time, multiplied by the wage rate, minus the cost of health investment.</w:t>
      </w:r>
    </w:p>
    <w:p>
      <w:pPr>
        <w:spacing w:after="120"/>
      </w:pPr>
      <w:r>
        <w:rPr>
          <w:sz w:val="24"/>
          <w:szCs w:val="24"/>
          <w:rFonts w:ascii="Arial" w:cs="Arial" w:eastAsia="Arial" w:hAnsi="Arial"/>
        </w:rPr>
        <w:t xml:space="preserve">In practice, health serves both functions simultaneously, and the full Grossman model incorporates both consumption and investment motives. The model generates several testable predictions:</w:t>
      </w:r>
    </w:p>
    <w:p>
      <w:pPr>
        <w:spacing w:after="120"/>
      </w:pPr>
      <w:r>
        <w:rPr>
          <w:sz w:val="24"/>
          <w:szCs w:val="24"/>
          <w:rFonts w:ascii="Arial" w:cs="Arial" w:eastAsia="Arial" w:hAnsi="Arial"/>
        </w:rPr>
        <w:t xml:space="preserve">1. The demand for health capital decreases with age, as the depreciation rate rises and the remaining period over which to recoup health investments shrinks.</w:t>
      </w:r>
    </w:p>
    <w:p>
      <w:pPr>
        <w:spacing w:after="120"/>
      </w:pPr>
      <w:r>
        <w:rPr>
          <w:sz w:val="24"/>
          <w:szCs w:val="24"/>
          <w:rFonts w:ascii="Arial" w:cs="Arial" w:eastAsia="Arial" w:hAnsi="Arial"/>
        </w:rPr>
        <w:t xml:space="preserve">2. The demand for health capital increases with the wage rate (in the investment model), because the value of healthy time is higher for higher-wage individuals.</w:t>
      </w:r>
    </w:p>
    <w:p>
      <w:pPr>
        <w:spacing w:after="120"/>
      </w:pPr>
      <w:r>
        <w:rPr>
          <w:sz w:val="24"/>
          <w:szCs w:val="24"/>
          <w:rFonts w:ascii="Arial" w:cs="Arial" w:eastAsia="Arial" w:hAnsi="Arial"/>
        </w:rPr>
        <w:t xml:space="preserve">3. Education increases the demand for health capital by improving the efficiency of health production, allowing more health output per unit of medical care input.</w:t>
      </w:r>
    </w:p>
    <w:p>
      <w:pPr>
        <w:spacing w:after="120"/>
      </w:pPr>
      <w:r>
        <w:rPr>
          <w:sz w:val="24"/>
          <w:szCs w:val="24"/>
          <w:rFonts w:ascii="Arial" w:cs="Arial" w:eastAsia="Arial" w:hAnsi="Arial"/>
        </w:rPr>
        <w:t xml:space="preserve">4. The demand for medical care is a derived demand — it increases when the depreciation rate rises (aging, environmental shocks) and when the price of medical care falls.</w:t>
      </w:r>
    </w:p>
    <w:p>
      <w:pPr>
        <w:pStyle w:val="Heading3"/>
        <w:spacing w:before="200" w:after="100"/>
      </w:pPr>
      <w:r>
        <w:rPr>
          <w:b/>
          <w:bCs/>
          <w:sz w:val="26"/>
          <w:szCs w:val="26"/>
          <w:rFonts w:ascii="Arial" w:cs="Arial" w:eastAsia="Arial" w:hAnsi="Arial"/>
        </w:rPr>
        <w:t xml:space="preserve">Critiques and Extensions</w:t>
      </w:r>
    </w:p>
    <w:p>
      <w:pPr>
        <w:spacing w:after="120"/>
      </w:pPr>
      <w:r>
        <w:rPr>
          <w:sz w:val="24"/>
          <w:szCs w:val="24"/>
          <w:rFonts w:ascii="Arial" w:cs="Arial" w:eastAsia="Arial" w:hAnsi="Arial"/>
        </w:rPr>
        <w:t xml:space="preserve">The Grossman model has been extensively critiqued and extended since its initial formulation. Important critiques include:</w:t>
      </w:r>
    </w:p>
    <w:p>
      <w:pPr>
        <w:spacing w:after="120"/>
      </w:pPr>
      <w:r>
        <w:rPr>
          <w:sz w:val="24"/>
          <w:szCs w:val="24"/>
          <w:rFonts w:ascii="Arial" w:cs="Arial" w:eastAsia="Arial" w:hAnsi="Arial"/>
        </w:rPr>
      </w:r>
      <w:r>
        <w:rPr>
          <w:b/>
          <w:bCs/>
          <w:sz w:val="24"/>
          <w:szCs w:val="24"/>
          <w:rFonts w:ascii="Arial" w:cs="Arial" w:eastAsia="Arial" w:hAnsi="Arial"/>
        </w:rPr>
        <w:t xml:space="preserve">Uncertainty.</w:t>
      </w:r>
      <w:r>
        <w:rPr>
          <w:sz w:val="24"/>
          <w:szCs w:val="24"/>
          <w:rFonts w:ascii="Arial" w:cs="Arial" w:eastAsia="Arial" w:hAnsi="Arial"/>
        </w:rPr>
        <w:t xml:space="preserve"> The original model is deterministic — individuals know their depreciation rate and the health production function with certainty. Subsequent extensions by Cropper (1977), Dardanoni and Wagstaff (1987), and others incorporated stochastic health shocks, which fundamentally change the demand for medical care by introducing a precautionary motive and creating demand for insurance.</w:t>
      </w:r>
    </w:p>
    <w:p>
      <w:pPr>
        <w:spacing w:after="120"/>
      </w:pPr>
      <w:r>
        <w:rPr>
          <w:sz w:val="24"/>
          <w:szCs w:val="24"/>
          <w:rFonts w:ascii="Arial" w:cs="Arial" w:eastAsia="Arial" w:hAnsi="Arial"/>
        </w:rPr>
      </w:r>
      <w:r>
        <w:rPr>
          <w:b/>
          <w:bCs/>
          <w:sz w:val="24"/>
          <w:szCs w:val="24"/>
          <w:rFonts w:ascii="Arial" w:cs="Arial" w:eastAsia="Arial" w:hAnsi="Arial"/>
        </w:rPr>
        <w:t xml:space="preserve">The role of healthcare providers.</w:t>
      </w:r>
      <w:r>
        <w:rPr>
          <w:sz w:val="24"/>
          <w:szCs w:val="24"/>
          <w:rFonts w:ascii="Arial" w:cs="Arial" w:eastAsia="Arial" w:hAnsi="Arial"/>
        </w:rPr>
        <w:t xml:space="preserve"> The model treats medical care as a homogeneous input that the individual purchases in a competitive market. It does not account for the agency relationship, information asymmetry, or supply-side influences on utilization.</w:t>
      </w:r>
    </w:p>
    <w:p>
      <w:pPr>
        <w:spacing w:after="120"/>
      </w:pPr>
      <w:r>
        <w:rPr>
          <w:sz w:val="24"/>
          <w:szCs w:val="24"/>
          <w:rFonts w:ascii="Arial" w:cs="Arial" w:eastAsia="Arial" w:hAnsi="Arial"/>
        </w:rPr>
      </w:r>
      <w:r>
        <w:rPr>
          <w:b/>
          <w:bCs/>
          <w:sz w:val="24"/>
          <w:szCs w:val="24"/>
          <w:rFonts w:ascii="Arial" w:cs="Arial" w:eastAsia="Arial" w:hAnsi="Arial"/>
        </w:rPr>
        <w:t xml:space="preserve">Structural estimation challenges.</w:t>
      </w:r>
      <w:r>
        <w:rPr>
          <w:sz w:val="24"/>
          <w:szCs w:val="24"/>
          <w:rFonts w:ascii="Arial" w:cs="Arial" w:eastAsia="Arial" w:hAnsi="Arial"/>
        </w:rPr>
        <w:t xml:space="preserve"> Empirical implementation of the Grossman model has proven difficult because health capital is not directly observable, the depreciation rate is individual-specific, and the health production function is unknown. Despite these challenges, the model's conceptual framework — the distinction between health and medical care, the investment perspective, the role of education — has profoundly influenced health economics research.</w:t>
      </w:r>
    </w:p>
    <w:p>
      <w:pPr>
        <w:pStyle w:val="Heading2"/>
        <w:spacing w:before="300" w:after="150"/>
      </w:pPr>
      <w:r>
        <w:rPr>
          <w:b/>
          <w:bCs/>
          <w:sz w:val="30"/>
          <w:szCs w:val="30"/>
          <w:rFonts w:ascii="Arial" w:cs="Arial" w:eastAsia="Arial" w:hAnsi="Arial"/>
        </w:rPr>
        <w:t xml:space="preserve">Market Failures in Healthcare</w:t>
      </w:r>
    </w:p>
    <w:p>
      <w:pPr>
        <w:pStyle w:val="Heading3"/>
        <w:spacing w:before="200" w:after="100"/>
      </w:pPr>
      <w:r>
        <w:rPr>
          <w:b/>
          <w:bCs/>
          <w:sz w:val="26"/>
          <w:szCs w:val="26"/>
          <w:rFonts w:ascii="Arial" w:cs="Arial" w:eastAsia="Arial" w:hAnsi="Arial"/>
        </w:rPr>
        <w:t xml:space="preserve">Externalities</w:t>
      </w:r>
    </w:p>
    <w:p>
      <w:pPr>
        <w:spacing w:after="120"/>
      </w:pPr>
      <w:r>
        <w:rPr>
          <w:sz w:val="24"/>
          <w:szCs w:val="24"/>
          <w:rFonts w:ascii="Arial" w:cs="Arial" w:eastAsia="Arial" w:hAnsi="Arial"/>
        </w:rPr>
        <w:t xml:space="preserve">Healthcare generates significant externalities — costs or benefits that accrue to parties not directly involved in the transaction. Externalities in healthcare take several forms.</w:t>
      </w:r>
    </w:p>
    <w:p>
      <w:pPr>
        <w:spacing w:after="120"/>
      </w:pPr>
      <w:r>
        <w:rPr>
          <w:sz w:val="24"/>
          <w:szCs w:val="24"/>
          <w:rFonts w:ascii="Arial" w:cs="Arial" w:eastAsia="Arial" w:hAnsi="Arial"/>
        </w:rPr>
      </w:r>
      <w:r>
        <w:rPr>
          <w:b/>
          <w:bCs/>
          <w:sz w:val="24"/>
          <w:szCs w:val="24"/>
          <w:rFonts w:ascii="Arial" w:cs="Arial" w:eastAsia="Arial" w:hAnsi="Arial"/>
        </w:rPr>
        <w:t xml:space="preserve">Infectious disease externalities</w:t>
      </w:r>
      <w:r>
        <w:rPr>
          <w:sz w:val="24"/>
          <w:szCs w:val="24"/>
          <w:rFonts w:ascii="Arial" w:cs="Arial" w:eastAsia="Arial" w:hAnsi="Arial"/>
        </w:rPr>
        <w:t xml:space="preserve"> are the most straightforward. Vaccination against communicable diseases confers benefits not only on the vaccinated individual but on the entire community through herd immunity. The private benefit of vaccination may be less than the social benefit, leading to under-vaccination in the absence of subsidies or mandates. Similarly, appropriate treatment of infectious diseases (such as tuberculosis or HIV) generates positive externalities by reducing transmission risk.</w:t>
      </w:r>
    </w:p>
    <w:p>
      <w:pPr>
        <w:spacing w:after="120"/>
      </w:pPr>
      <w:r>
        <w:rPr>
          <w:sz w:val="24"/>
          <w:szCs w:val="24"/>
          <w:rFonts w:ascii="Arial" w:cs="Arial" w:eastAsia="Arial" w:hAnsi="Arial"/>
        </w:rPr>
      </w:r>
      <w:r>
        <w:rPr>
          <w:b/>
          <w:bCs/>
          <w:sz w:val="24"/>
          <w:szCs w:val="24"/>
          <w:rFonts w:ascii="Arial" w:cs="Arial" w:eastAsia="Arial" w:hAnsi="Arial"/>
        </w:rPr>
        <w:t xml:space="preserve">Antibiotic resistance externalities</w:t>
      </w:r>
      <w:r>
        <w:rPr>
          <w:sz w:val="24"/>
          <w:szCs w:val="24"/>
          <w:rFonts w:ascii="Arial" w:cs="Arial" w:eastAsia="Arial" w:hAnsi="Arial"/>
        </w:rPr>
        <w:t xml:space="preserve"> represent a negative externality of antibiotic consumption. Each individual use of antibiotics accelerates the evolution of resistant bacterial strains, imposing costs on future patients who will face infections that are more difficult and expensive to treat. The individual prescriber and patient do not bear the full social cost of antibiotic use, leading to overuse from a societal perspective.</w:t>
      </w:r>
    </w:p>
    <w:p>
      <w:pPr>
        <w:spacing w:after="120"/>
      </w:pPr>
      <w:r>
        <w:rPr>
          <w:sz w:val="24"/>
          <w:szCs w:val="24"/>
          <w:rFonts w:ascii="Arial" w:cs="Arial" w:eastAsia="Arial" w:hAnsi="Arial"/>
        </w:rPr>
      </w:r>
      <w:r>
        <w:rPr>
          <w:b/>
          <w:bCs/>
          <w:sz w:val="24"/>
          <w:szCs w:val="24"/>
          <w:rFonts w:ascii="Arial" w:cs="Arial" w:eastAsia="Arial" w:hAnsi="Arial"/>
        </w:rPr>
        <w:t xml:space="preserve">Caring externalities</w:t>
      </w:r>
      <w:r>
        <w:rPr>
          <w:sz w:val="24"/>
          <w:szCs w:val="24"/>
          <w:rFonts w:ascii="Arial" w:cs="Arial" w:eastAsia="Arial" w:hAnsi="Arial"/>
        </w:rPr>
        <w:t xml:space="preserve"> describe the utility that individuals derive from knowing that others have access to healthcare. If individuals care about the health and healthcare access of others — a form of interdependent utility — then there is an externality associated with uninsurance and unmet medical need. This caring externality provides an efficiency-based (as opposed to purely equity-based) argument for universal coverage.</w:t>
      </w:r>
    </w:p>
    <w:p>
      <w:pPr>
        <w:spacing w:after="120"/>
      </w:pPr>
      <w:r>
        <w:rPr>
          <w:sz w:val="24"/>
          <w:szCs w:val="24"/>
          <w:rFonts w:ascii="Arial" w:cs="Arial" w:eastAsia="Arial" w:hAnsi="Arial"/>
        </w:rPr>
      </w:r>
      <w:r>
        <w:rPr>
          <w:b/>
          <w:bCs/>
          <w:sz w:val="24"/>
          <w:szCs w:val="24"/>
          <w:rFonts w:ascii="Arial" w:cs="Arial" w:eastAsia="Arial" w:hAnsi="Arial"/>
        </w:rPr>
        <w:t xml:space="preserve">Knowledge externalities</w:t>
      </w:r>
      <w:r>
        <w:rPr>
          <w:sz w:val="24"/>
          <w:szCs w:val="24"/>
          <w:rFonts w:ascii="Arial" w:cs="Arial" w:eastAsia="Arial" w:hAnsi="Arial"/>
        </w:rPr>
        <w:t xml:space="preserve"> arise from medical research and clinical innovation. Medical knowledge has strong public good characteristics: it is non-rivalrous (one physician's use of a treatment protocol does not diminish another's ability to use it) and partially non-excludable (knowledge diffuses through publications, training, and practice). The social return to medical research exceeds the private return, justifying public funding of biomedical research.</w:t>
      </w:r>
    </w:p>
    <w:p>
      <w:pPr>
        <w:pStyle w:val="Heading3"/>
        <w:spacing w:before="200" w:after="100"/>
      </w:pPr>
      <w:r>
        <w:rPr>
          <w:b/>
          <w:bCs/>
          <w:sz w:val="26"/>
          <w:szCs w:val="26"/>
          <w:rFonts w:ascii="Arial" w:cs="Arial" w:eastAsia="Arial" w:hAnsi="Arial"/>
        </w:rPr>
        <w:t xml:space="preserve">Public Goods Characteristics of Medical Knowledge</w:t>
      </w:r>
    </w:p>
    <w:p>
      <w:pPr>
        <w:spacing w:after="120"/>
      </w:pPr>
      <w:r>
        <w:rPr>
          <w:sz w:val="24"/>
          <w:szCs w:val="24"/>
          <w:rFonts w:ascii="Arial" w:cs="Arial" w:eastAsia="Arial" w:hAnsi="Arial"/>
        </w:rPr>
        <w:t xml:space="preserve">Medical knowledge satisfies the two defining properties of public goods to a significant degree. It is </w:t>
      </w:r>
      <w:r>
        <w:rPr>
          <w:b/>
          <w:bCs/>
          <w:sz w:val="24"/>
          <w:szCs w:val="24"/>
          <w:rFonts w:ascii="Arial" w:cs="Arial" w:eastAsia="Arial" w:hAnsi="Arial"/>
        </w:rPr>
        <w:t xml:space="preserve">non-rivalrous</w:t>
      </w:r>
      <w:r>
        <w:rPr>
          <w:sz w:val="24"/>
          <w:szCs w:val="24"/>
          <w:rFonts w:ascii="Arial" w:cs="Arial" w:eastAsia="Arial" w:hAnsi="Arial"/>
        </w:rPr>
        <w:t xml:space="preserve">: the marginal cost of one additional person using an established diagnostic protocol or treatment algorithm is essentially zero. It is </w:t>
      </w:r>
      <w:r>
        <w:rPr>
          <w:b/>
          <w:bCs/>
          <w:sz w:val="24"/>
          <w:szCs w:val="24"/>
          <w:rFonts w:ascii="Arial" w:cs="Arial" w:eastAsia="Arial" w:hAnsi="Arial"/>
        </w:rPr>
        <w:t xml:space="preserve">partially non-excludable</w:t>
      </w:r>
      <w:r>
        <w:rPr>
          <w:sz w:val="24"/>
          <w:szCs w:val="24"/>
          <w:rFonts w:ascii="Arial" w:cs="Arial" w:eastAsia="Arial" w:hAnsi="Arial"/>
        </w:rPr>
        <w:t xml:space="preserve">: while patent protection creates temporary excludability for pharmaceutical innovations, the underlying scientific knowledge eventually enters the public domain, and much clinical knowledge (treatment guidelines, diagnostic criteria) is freely available.</w:t>
      </w:r>
    </w:p>
    <w:p>
      <w:pPr>
        <w:spacing w:after="120"/>
      </w:pPr>
      <w:r>
        <w:rPr>
          <w:sz w:val="24"/>
          <w:szCs w:val="24"/>
          <w:rFonts w:ascii="Arial" w:cs="Arial" w:eastAsia="Arial" w:hAnsi="Arial"/>
        </w:rPr>
        <w:t xml:space="preserve">The public goods nature of medical knowledge creates a market failure: private markets will under-invest in medical research because innovators cannot capture the full social return to their discoveries. This market failure provides the economic justification for substantial public funding of biomedical research through the National Institutes of Health (NIH), which invested approximately $47 billion in medical research in fiscal year 2023.</w:t>
      </w:r>
    </w:p>
    <w:p>
      <w:pPr>
        <w:pStyle w:val="Heading3"/>
        <w:spacing w:before="200" w:after="100"/>
      </w:pPr>
      <w:r>
        <w:rPr>
          <w:b/>
          <w:bCs/>
          <w:sz w:val="26"/>
          <w:szCs w:val="26"/>
          <w:rFonts w:ascii="Arial" w:cs="Arial" w:eastAsia="Arial" w:hAnsi="Arial"/>
        </w:rPr>
        <w:t xml:space="preserve">Non-competitive Market Structures</w:t>
      </w:r>
    </w:p>
    <w:p>
      <w:pPr>
        <w:spacing w:after="120"/>
      </w:pPr>
      <w:r>
        <w:rPr>
          <w:sz w:val="24"/>
          <w:szCs w:val="24"/>
          <w:rFonts w:ascii="Arial" w:cs="Arial" w:eastAsia="Arial" w:hAnsi="Arial"/>
        </w:rPr>
        <w:t xml:space="preserve">Healthcare markets frequently exhibit non-competitive structures that deviate from the conditions required for efficient market outcomes.</w:t>
      </w:r>
    </w:p>
    <w:p>
      <w:pPr>
        <w:spacing w:after="120"/>
      </w:pPr>
      <w:r>
        <w:rPr>
          <w:sz w:val="24"/>
          <w:szCs w:val="24"/>
          <w:rFonts w:ascii="Arial" w:cs="Arial" w:eastAsia="Arial" w:hAnsi="Arial"/>
        </w:rPr>
      </w:r>
      <w:r>
        <w:rPr>
          <w:b/>
          <w:bCs/>
          <w:sz w:val="24"/>
          <w:szCs w:val="24"/>
          <w:rFonts w:ascii="Arial" w:cs="Arial" w:eastAsia="Arial" w:hAnsi="Arial"/>
        </w:rPr>
        <w:t xml:space="preserve">Barriers to entry</w:t>
      </w:r>
      <w:r>
        <w:rPr>
          <w:sz w:val="24"/>
          <w:szCs w:val="24"/>
          <w:rFonts w:ascii="Arial" w:cs="Arial" w:eastAsia="Arial" w:hAnsi="Arial"/>
        </w:rPr>
        <w:t xml:space="preserve"> in the medical profession — licensure requirements, lengthy training, residency bottlenecks — restrict the supply of physicians. While these barriers serve a legitimate quality-assurance function (protecting consumers from incompetent providers), they also create economic rents for incumbent providers and may contribute to physician shortages in some specialties and geographic areas.</w:t>
      </w:r>
    </w:p>
    <w:p>
      <w:pPr>
        <w:spacing w:after="120"/>
      </w:pPr>
      <w:r>
        <w:rPr>
          <w:sz w:val="24"/>
          <w:szCs w:val="24"/>
          <w:rFonts w:ascii="Arial" w:cs="Arial" w:eastAsia="Arial" w:hAnsi="Arial"/>
        </w:rPr>
      </w:r>
      <w:r>
        <w:rPr>
          <w:b/>
          <w:bCs/>
          <w:sz w:val="24"/>
          <w:szCs w:val="24"/>
          <w:rFonts w:ascii="Arial" w:cs="Arial" w:eastAsia="Arial" w:hAnsi="Arial"/>
        </w:rPr>
        <w:t xml:space="preserve">Hospital market concentration</w:t>
      </w:r>
      <w:r>
        <w:rPr>
          <w:sz w:val="24"/>
          <w:szCs w:val="24"/>
          <w:rFonts w:ascii="Arial" w:cs="Arial" w:eastAsia="Arial" w:hAnsi="Arial"/>
        </w:rPr>
        <w:t xml:space="preserve"> has increased dramatically in the United States over the past three decades through mergers and acquisitions. The Herfindahl-Hirschman Index (HHI) for hospital markets has risen substantially, and empirical evidence consistently demonstrates that hospital consolidation leads to higher prices without commensurate quality improvements (Gaynor, Ho, and Town, 2015). This market power allows hospitals to negotiate higher reimbursement rates from private insurers, contributing to healthcare cost growth.</w:t>
      </w:r>
    </w:p>
    <w:p>
      <w:pPr>
        <w:spacing w:after="120"/>
      </w:pPr>
      <w:r>
        <w:rPr>
          <w:sz w:val="24"/>
          <w:szCs w:val="24"/>
          <w:rFonts w:ascii="Arial" w:cs="Arial" w:eastAsia="Arial" w:hAnsi="Arial"/>
        </w:rPr>
      </w:r>
      <w:r>
        <w:rPr>
          <w:b/>
          <w:bCs/>
          <w:sz w:val="24"/>
          <w:szCs w:val="24"/>
          <w:rFonts w:ascii="Arial" w:cs="Arial" w:eastAsia="Arial" w:hAnsi="Arial"/>
        </w:rPr>
        <w:t xml:space="preserve">Insurance market concentration</w:t>
      </w:r>
      <w:r>
        <w:rPr>
          <w:sz w:val="24"/>
          <w:szCs w:val="24"/>
          <w:rFonts w:ascii="Arial" w:cs="Arial" w:eastAsia="Arial" w:hAnsi="Arial"/>
        </w:rPr>
        <w:t xml:space="preserve"> is similarly high in many geographic areas, with a small number of insurers controlling the majority of enrollment. While insurer market power can serve as a countervailing force against provider market power (monopsony vs. monopoly), the net effect on prices and quality depends on the relative bargaining power of the two sides.</w:t>
      </w:r>
    </w:p>
    <w:p>
      <w:pPr>
        <w:pStyle w:val="Heading3"/>
        <w:spacing w:before="200" w:after="100"/>
      </w:pPr>
      <w:r>
        <w:rPr>
          <w:b/>
          <w:bCs/>
          <w:sz w:val="26"/>
          <w:szCs w:val="26"/>
          <w:rFonts w:ascii="Arial" w:cs="Arial" w:eastAsia="Arial" w:hAnsi="Arial"/>
        </w:rPr>
        <w:t xml:space="preserve">Information Asymmetry and Its Consequences</w:t>
      </w:r>
    </w:p>
    <w:p>
      <w:pPr>
        <w:spacing w:after="120"/>
      </w:pPr>
      <w:r>
        <w:rPr>
          <w:sz w:val="24"/>
          <w:szCs w:val="24"/>
          <w:rFonts w:ascii="Arial" w:cs="Arial" w:eastAsia="Arial" w:hAnsi="Arial"/>
        </w:rPr>
        <w:t xml:space="preserve">Information asymmetry in healthcare markets leads to two canonical market failures, identified by Akerlof (1970) and Rothschild and Stiglitz (1976) in the insurance context.</w:t>
      </w:r>
    </w:p>
    <w:p>
      <w:pPr>
        <w:spacing w:after="120"/>
      </w:pPr>
      <w:r>
        <w:rPr>
          <w:sz w:val="24"/>
          <w:szCs w:val="24"/>
          <w:rFonts w:ascii="Arial" w:cs="Arial" w:eastAsia="Arial" w:hAnsi="Arial"/>
        </w:rPr>
      </w:r>
      <w:r>
        <w:rPr>
          <w:b/>
          <w:bCs/>
          <w:sz w:val="24"/>
          <w:szCs w:val="24"/>
          <w:rFonts w:ascii="Arial" w:cs="Arial" w:eastAsia="Arial" w:hAnsi="Arial"/>
        </w:rPr>
        <w:t xml:space="preserve">Adverse selection</w:t>
      </w:r>
      <w:r>
        <w:rPr>
          <w:sz w:val="24"/>
          <w:szCs w:val="24"/>
          <w:rFonts w:ascii="Arial" w:cs="Arial" w:eastAsia="Arial" w:hAnsi="Arial"/>
        </w:rPr>
        <w:t xml:space="preserve"> occurs when individuals with higher expected healthcare costs are disproportionately likely to purchase insurance. If insurers cannot perfectly distinguish high-risk from low-risk individuals, the presence of high-risk individuals in the insurance pool drives up premiums, causing some low-risk individuals to drop coverage. In the extreme case, this process can lead to a "death spiral" in which the insurance market unravels entirely. The Affordable Care Act's combination of individual mandate, community rating, guaranteed issue, and risk adjustment was designed to address adverse selection in individual insurance markets.</w:t>
      </w:r>
    </w:p>
    <w:p>
      <w:pPr>
        <w:spacing w:after="120"/>
      </w:pPr>
      <w:r>
        <w:rPr>
          <w:sz w:val="24"/>
          <w:szCs w:val="24"/>
          <w:rFonts w:ascii="Arial" w:cs="Arial" w:eastAsia="Arial" w:hAnsi="Arial"/>
        </w:rPr>
      </w:r>
      <w:r>
        <w:rPr>
          <w:b/>
          <w:bCs/>
          <w:sz w:val="24"/>
          <w:szCs w:val="24"/>
          <w:rFonts w:ascii="Arial" w:cs="Arial" w:eastAsia="Arial" w:hAnsi="Arial"/>
        </w:rPr>
        <w:t xml:space="preserve">Moral hazard</w:t>
      </w:r>
      <w:r>
        <w:rPr>
          <w:sz w:val="24"/>
          <w:szCs w:val="24"/>
          <w:rFonts w:ascii="Arial" w:cs="Arial" w:eastAsia="Arial" w:hAnsi="Arial"/>
        </w:rPr>
        <w:t xml:space="preserve"> describes the behavioral change that occurs when individuals are insured. Because insurance reduces the out-of-pocket price of care at the point of service, insured individuals consume more healthcare than they would if they bore the full cost. The RAND Health Insurance Experiment (1974-1982), the gold-standard randomized controlled trial of health insurance cost-sharing, demonstrated that individuals randomized to free care consumed approximately 30% more healthcare than those in the highest cost-sharing plan, with modest effects on health outcomes for the average individual (Manning et al., 1987).</w:t>
      </w:r>
    </w:p>
    <w:p>
      <w:pPr>
        <w:spacing w:after="120"/>
      </w:pPr>
      <w:r>
        <w:rPr>
          <w:sz w:val="24"/>
          <w:szCs w:val="24"/>
          <w:rFonts w:ascii="Arial" w:cs="Arial" w:eastAsia="Arial" w:hAnsi="Arial"/>
        </w:rPr>
        <w:t xml:space="preserve">The welfare economics of moral hazard has been the subject of important theoretical debate. The traditional view, articulated by Pauly (1968), treats the additional utilization induced by insurance as a welfare loss — individuals are consuming care whose value to them (as revealed by their willingness to pay out of pocket) is less than its cost. Nyman (2003) challenged this interpretation with his "access value" theory, arguing that insurance enables consumption of high-value treatments that individuals could not otherwise afford, and that this access effect represents a welfare gain rather than a welfare loss. The empirical relevance of these competing interpretations remains an active research question.</w:t>
      </w:r>
    </w:p>
    <w:p>
      <w:pPr>
        <w:spacing w:after="120"/>
      </w:pPr>
      <w:r>
        <w:rPr>
          <w:sz w:val="24"/>
          <w:szCs w:val="24"/>
          <w:rFonts w:ascii="Arial" w:cs="Arial" w:eastAsia="Arial" w:hAnsi="Arial"/>
        </w:rPr>
      </w:r>
      <w:r>
        <w:rPr>
          <w:b/>
          <w:bCs/>
          <w:sz w:val="24"/>
          <w:szCs w:val="24"/>
          <w:rFonts w:ascii="Arial" w:cs="Arial" w:eastAsia="Arial" w:hAnsi="Arial"/>
        </w:rPr>
        <w:t xml:space="preserve">Key Concepts Box: Market Failures in Healthcare</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20"/>
                <w:szCs w:val="20"/>
                <w:rFonts w:ascii="Arial" w:cs="Arial" w:eastAsia="Arial" w:hAnsi="Arial"/>
              </w:rPr>
              <w:t xml:space="preserve">Market Failure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20"/>
                <w:szCs w:val="20"/>
                <w:rFonts w:ascii="Arial" w:cs="Arial" w:eastAsia="Arial" w:hAnsi="Arial"/>
              </w:rPr>
              <w:t xml:space="preserve">Description</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20"/>
                <w:szCs w:val="20"/>
                <w:rFonts w:ascii="Arial" w:cs="Arial" w:eastAsia="Arial" w:hAnsi="Arial"/>
              </w:rPr>
              <w:t xml:space="preserve">Economic Consequence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Externalities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Benefits/costs to third parties (vaccination, antibiotic resistance)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Under/over-provision relative to social optimum</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Public goods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Non-rivalrous, non-excludable medical knowledge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Under-investment in medical research</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Market power</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Hospital/insurer concentration, provider entry barriers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Prices above competitive levels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Adverse selection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High-risk individuals disproportionately purchase insurance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Market unraveling, coverage gaps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Moral hazard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Insurance reduces price sensitivity of demand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Excess utilization, welfare loss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Information asymmetry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Provider-patient knowledge gap, credence good properties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Agency problems, supplier-induced demand</w:t>
            </w:r>
          </w:p>
        </w:tc>
      </w:tr>
    </w:tbl>
    <w:p>
      <w:pPr>
        <w:spacing w:after="200"/>
      </w:pPr>
    </w:p>
    <w:p>
      <w:pPr>
        <w:pStyle w:val="Heading2"/>
        <w:spacing w:before="300" w:after="150"/>
      </w:pPr>
      <w:r>
        <w:rPr>
          <w:b/>
          <w:bCs/>
          <w:sz w:val="30"/>
          <w:szCs w:val="30"/>
          <w:rFonts w:ascii="Arial" w:cs="Arial" w:eastAsia="Arial" w:hAnsi="Arial"/>
        </w:rPr>
        <w:t xml:space="preserve">The Three Fundamental Questions of Health Economics</w:t>
      </w:r>
    </w:p>
    <w:p>
      <w:pPr>
        <w:spacing w:after="120"/>
      </w:pPr>
      <w:r>
        <w:rPr>
          <w:sz w:val="24"/>
          <w:szCs w:val="24"/>
          <w:rFonts w:ascii="Arial" w:cs="Arial" w:eastAsia="Arial" w:hAnsi="Arial"/>
        </w:rPr>
        <w:t xml:space="preserve">Every economic system must address three fundamental allocation questions: what to produce, how to produce it, and for whom to produce it. In healthcare, these questions take distinctive forms.</w:t>
      </w:r>
    </w:p>
    <w:p>
      <w:pPr>
        <w:pStyle w:val="Heading3"/>
        <w:spacing w:before="200" w:after="100"/>
      </w:pPr>
      <w:r>
        <w:rPr>
          <w:b/>
          <w:bCs/>
          <w:sz w:val="26"/>
          <w:szCs w:val="26"/>
          <w:rFonts w:ascii="Arial" w:cs="Arial" w:eastAsia="Arial" w:hAnsi="Arial"/>
        </w:rPr>
        <w:t xml:space="preserve">What Healthcare Services to Produce</w:t>
      </w:r>
    </w:p>
    <w:p>
      <w:pPr>
        <w:spacing w:after="120"/>
      </w:pPr>
      <w:r>
        <w:rPr>
          <w:sz w:val="24"/>
          <w:szCs w:val="24"/>
          <w:rFonts w:ascii="Arial" w:cs="Arial" w:eastAsia="Arial" w:hAnsi="Arial"/>
        </w:rPr>
        <w:t xml:space="preserve">The "what" question in healthcare encompasses both the mix of services (preventive vs. curative, primary vs. specialty, pharmaceutical vs. surgical) and the volume of each type. Markets where consumers are well-informed and prices reflect true social costs generate efficient answers to this question through the price mechanism. In healthcare, however, information asymmetry, insurance-induced moral hazard, and externalities all distort the signals that would guide efficient allocation.</w:t>
      </w:r>
    </w:p>
    <w:p>
      <w:pPr>
        <w:spacing w:after="120"/>
      </w:pPr>
      <w:r>
        <w:rPr>
          <w:sz w:val="24"/>
          <w:szCs w:val="24"/>
          <w:rFonts w:ascii="Arial" w:cs="Arial" w:eastAsia="Arial" w:hAnsi="Arial"/>
        </w:rPr>
        <w:t xml:space="preserve">Cost-effectiveness analysis (CEA) and cost-benefit analysis (CBA) are the primary analytical tools for evaluating the "what" question. CEA compares alternative interventions in terms of their incremental cost per unit of health outcome (typically quality-adjusted life years, or QALYs), allowing decision-makers to identify which interventions provide the greatest health gain per dollar spent. The principles and methods of CEA are covered in depth in Chapter 6.</w:t>
      </w:r>
    </w:p>
    <w:p>
      <w:pPr>
        <w:pStyle w:val="Heading3"/>
        <w:spacing w:before="200" w:after="100"/>
      </w:pPr>
      <w:r>
        <w:rPr>
          <w:b/>
          <w:bCs/>
          <w:sz w:val="26"/>
          <w:szCs w:val="26"/>
          <w:rFonts w:ascii="Arial" w:cs="Arial" w:eastAsia="Arial" w:hAnsi="Arial"/>
        </w:rPr>
        <w:t xml:space="preserve">How to Produce Healthcare Services</w:t>
      </w:r>
    </w:p>
    <w:p>
      <w:pPr>
        <w:spacing w:after="120"/>
      </w:pPr>
      <w:r>
        <w:rPr>
          <w:sz w:val="24"/>
          <w:szCs w:val="24"/>
          <w:rFonts w:ascii="Arial" w:cs="Arial" w:eastAsia="Arial" w:hAnsi="Arial"/>
        </w:rPr>
        <w:t xml:space="preserve">The "how" question concerns the efficient organization and production of healthcare services. This includes the choice of production technology (e.g., in-person vs. telemedicine), the mix of labor inputs (physicians vs. nurse practitioners vs. community health workers), the organizational form (integrated health systems vs. independent practices), and the scale of production (small community hospitals vs. large academic medical centers).</w:t>
      </w:r>
    </w:p>
    <w:p>
      <w:pPr>
        <w:spacing w:after="120"/>
      </w:pPr>
      <w:r>
        <w:rPr>
          <w:sz w:val="24"/>
          <w:szCs w:val="24"/>
          <w:rFonts w:ascii="Arial" w:cs="Arial" w:eastAsia="Arial" w:hAnsi="Arial"/>
        </w:rPr>
        <w:t xml:space="preserve">The production of healthcare services is characterized by significant economies of scale in some activities (complex surgical procedures, specialized diagnostic imaging) and diseconomies of scale or scope in others (primary care, chronic disease management). The optimal organization of healthcare delivery depends on the specific clinical context, patient population, and geographic setting. Rural health economics, discussed in Chapter 8, illustrates how geographic constraints fundamentally alter the efficient production function.</w:t>
      </w:r>
    </w:p>
    <w:p>
      <w:pPr>
        <w:pStyle w:val="Heading3"/>
        <w:spacing w:before="200" w:after="100"/>
      </w:pPr>
      <w:r>
        <w:rPr>
          <w:b/>
          <w:bCs/>
          <w:sz w:val="26"/>
          <w:szCs w:val="26"/>
          <w:rFonts w:ascii="Arial" w:cs="Arial" w:eastAsia="Arial" w:hAnsi="Arial"/>
        </w:rPr>
        <w:t xml:space="preserve">For Whom to Produce Healthcare Services</w:t>
      </w:r>
    </w:p>
    <w:p>
      <w:pPr>
        <w:spacing w:after="120"/>
      </w:pPr>
      <w:r>
        <w:rPr>
          <w:sz w:val="24"/>
          <w:szCs w:val="24"/>
          <w:rFonts w:ascii="Arial" w:cs="Arial" w:eastAsia="Arial" w:hAnsi="Arial"/>
        </w:rPr>
        <w:t xml:space="preserve">The "for whom" question is ultimately about the distribution of healthcare resources across the population. In a purely market-based system, healthcare would be distributed according to willingness and ability to pay. However, most societies reject a purely market-based distribution of healthcare, reflecting a widely held belief that healthcare access should not be determined solely by income. This normative judgment — that healthcare is at least partially a "merit good" or "right" — motivates the extensive public financing and regulation of healthcare in all developed countries.</w:t>
      </w:r>
    </w:p>
    <w:p>
      <w:pPr>
        <w:spacing w:after="120"/>
      </w:pPr>
      <w:r>
        <w:rPr>
          <w:sz w:val="24"/>
          <w:szCs w:val="24"/>
          <w:rFonts w:ascii="Arial" w:cs="Arial" w:eastAsia="Arial" w:hAnsi="Arial"/>
        </w:rPr>
        <w:t xml:space="preserve">The distributional question involves both horizontal equity (equal treatment of equals — individuals with the same health needs should receive the same care regardless of income, race, or geography) and vertical equity (appropriate differences in treatment for individuals with different needs). Measuring and achieving equity in healthcare access and outcomes is a major research area, with methods discussed in Chapter 30.</w:t>
      </w:r>
    </w:p>
    <w:p>
      <w:pPr>
        <w:pStyle w:val="Heading2"/>
        <w:spacing w:before="300" w:after="150"/>
      </w:pPr>
      <w:r>
        <w:rPr>
          <w:b/>
          <w:bCs/>
          <w:sz w:val="30"/>
          <w:szCs w:val="30"/>
          <w:rFonts w:ascii="Arial" w:cs="Arial" w:eastAsia="Arial" w:hAnsi="Arial"/>
        </w:rPr>
        <w:t xml:space="preserve">Welfare Economics Foundations</w:t>
      </w:r>
    </w:p>
    <w:p>
      <w:pPr>
        <w:pStyle w:val="Heading3"/>
        <w:spacing w:before="200" w:after="100"/>
      </w:pPr>
      <w:r>
        <w:rPr>
          <w:b/>
          <w:bCs/>
          <w:sz w:val="26"/>
          <w:szCs w:val="26"/>
          <w:rFonts w:ascii="Arial" w:cs="Arial" w:eastAsia="Arial" w:hAnsi="Arial"/>
        </w:rPr>
        <w:t xml:space="preserve">Pareto Efficiency and Its Limitations</w:t>
      </w:r>
    </w:p>
    <w:p>
      <w:pPr>
        <w:spacing w:after="120"/>
      </w:pPr>
      <w:r>
        <w:rPr>
          <w:sz w:val="24"/>
          <w:szCs w:val="24"/>
          <w:rFonts w:ascii="Arial" w:cs="Arial" w:eastAsia="Arial" w:hAnsi="Arial"/>
        </w:rPr>
        <w:t xml:space="preserve">The concept of Pareto efficiency — a state in which no individual can be made better off without making someone else worse off — provides the foundational criterion for evaluating economic outcomes. In the first fundamental theorem of welfare economics, competitive markets with complete information, no externalities, and no market power produce Pareto-efficient outcomes.</w:t>
      </w:r>
    </w:p>
    <w:p>
      <w:pPr>
        <w:spacing w:after="120"/>
      </w:pPr>
      <w:r>
        <w:rPr>
          <w:sz w:val="24"/>
          <w:szCs w:val="24"/>
          <w:rFonts w:ascii="Arial" w:cs="Arial" w:eastAsia="Arial" w:hAnsi="Arial"/>
        </w:rPr>
        <w:t xml:space="preserve">In healthcare, the conditions for the first welfare theorem are systematically violated. The market failures enumerated above — information asymmetry, externalities, market power, public goods — mean that unregulated healthcare markets will not, in general, produce Pareto-efficient allocations. This is the efficiency-based argument for government intervention in healthcare.</w:t>
      </w:r>
    </w:p>
    <w:p>
      <w:pPr>
        <w:spacing w:after="120"/>
      </w:pPr>
      <w:r>
        <w:rPr>
          <w:sz w:val="24"/>
          <w:szCs w:val="24"/>
          <w:rFonts w:ascii="Arial" w:cs="Arial" w:eastAsia="Arial" w:hAnsi="Arial"/>
        </w:rPr>
        <w:t xml:space="preserve">However, Pareto efficiency has significant limitations as a policy criterion. A Pareto-efficient allocation can be grossly inequitable — an allocation in which one person has all the resources and everyone else has nothing is Pareto efficient, as any redistribution would make the wealthy individual worse off. Moreover, most real-world policy changes create both winners and losers, making the strict Pareto criterion (which requires that no one be made worse off) inapplicable to virtually all practical policy decisions.</w:t>
      </w:r>
    </w:p>
    <w:p>
      <w:pPr>
        <w:pStyle w:val="Heading3"/>
        <w:spacing w:before="200" w:after="100"/>
      </w:pPr>
      <w:r>
        <w:rPr>
          <w:b/>
          <w:bCs/>
          <w:sz w:val="26"/>
          <w:szCs w:val="26"/>
          <w:rFonts w:ascii="Arial" w:cs="Arial" w:eastAsia="Arial" w:hAnsi="Arial"/>
        </w:rPr>
        <w:t xml:space="preserve">Kaldor-Hicks Compensation and Cost-Benefit Analysis</w:t>
      </w:r>
    </w:p>
    <w:p>
      <w:pPr>
        <w:spacing w:after="120"/>
      </w:pPr>
      <w:r>
        <w:rPr>
          <w:sz w:val="24"/>
          <w:szCs w:val="24"/>
          <w:rFonts w:ascii="Arial" w:cs="Arial" w:eastAsia="Arial" w:hAnsi="Arial"/>
        </w:rPr>
        <w:t xml:space="preserve">The Kaldor-Hicks compensation criterion relaxes the Pareto criterion by asking whether the winners from a policy change </w:t>
      </w:r>
      <w:r>
        <w:rPr>
          <w:i/>
          <w:iCs/>
          <w:sz w:val="24"/>
          <w:szCs w:val="24"/>
          <w:rFonts w:ascii="Arial" w:cs="Arial" w:eastAsia="Arial" w:hAnsi="Arial"/>
        </w:rPr>
        <w:t xml:space="preserve">could</w:t>
      </w:r>
      <w:r>
        <w:rPr>
          <w:sz w:val="24"/>
          <w:szCs w:val="24"/>
          <w:rFonts w:ascii="Arial" w:cs="Arial" w:eastAsia="Arial" w:hAnsi="Arial"/>
        </w:rPr>
        <w:t xml:space="preserve"> compensate the losers and still be better off. A policy change satisfies the Kaldor-Hicks criterion if the total benefits exceed the total costs, regardless of whether compensation actually occurs.</w:t>
      </w:r>
    </w:p>
    <w:p>
      <w:pPr>
        <w:spacing w:after="120"/>
      </w:pPr>
      <w:r>
        <w:rPr>
          <w:sz w:val="24"/>
          <w:szCs w:val="24"/>
          <w:rFonts w:ascii="Arial" w:cs="Arial" w:eastAsia="Arial" w:hAnsi="Arial"/>
        </w:rPr>
        <w:t xml:space="preserve">Cost-benefit analysis (CBA) operationalizes the Kaldor-Hicks criterion by measuring all benefits and costs in monetary terms. In healthcare, this requires placing a monetary value on health outcomes — a controversial exercise that involves estimating the value of a statistical life (VSL) or the monetary value of a QALY. Current estimates of the VSL in the United States range from approximately $7 million to $12 million, depending on the methodology and context.</w:t>
      </w:r>
    </w:p>
    <w:p>
      <w:pPr>
        <w:spacing w:after="120"/>
      </w:pPr>
      <w:r>
        <w:rPr>
          <w:sz w:val="24"/>
          <w:szCs w:val="24"/>
          <w:rFonts w:ascii="Arial" w:cs="Arial" w:eastAsia="Arial" w:hAnsi="Arial"/>
        </w:rPr>
        <w:t xml:space="preserve">The Kaldor-Hicks criterion and CBA have been criticized on both theoretical and practical grounds. Theoretically, the Scitovsky paradox demonstrates that the Kaldor-Hicks criterion can produce contradictory rankings of alternatives. Practically, the need to monetize health outcomes raises deep ethical questions about whether health should be traded off against other goods in the way that CBA implies.</w:t>
      </w:r>
    </w:p>
    <w:p>
      <w:pPr>
        <w:pStyle w:val="Heading3"/>
        <w:spacing w:before="200" w:after="100"/>
      </w:pPr>
      <w:r>
        <w:rPr>
          <w:b/>
          <w:bCs/>
          <w:sz w:val="26"/>
          <w:szCs w:val="26"/>
          <w:rFonts w:ascii="Arial" w:cs="Arial" w:eastAsia="Arial" w:hAnsi="Arial"/>
        </w:rPr>
        <w:t xml:space="preserve">The Two Fundamental Theorems Applied to Healthcare</w:t>
      </w:r>
    </w:p>
    <w:p>
      <w:pPr>
        <w:spacing w:after="120"/>
      </w:pPr>
      <w:r>
        <w:rPr>
          <w:sz w:val="24"/>
          <w:szCs w:val="24"/>
          <w:rFonts w:ascii="Arial" w:cs="Arial" w:eastAsia="Arial" w:hAnsi="Arial"/>
        </w:rPr>
        <w:t xml:space="preserve">The </w:t>
      </w:r>
      <w:r>
        <w:rPr>
          <w:b/>
          <w:bCs/>
          <w:sz w:val="24"/>
          <w:szCs w:val="24"/>
          <w:rFonts w:ascii="Arial" w:cs="Arial" w:eastAsia="Arial" w:hAnsi="Arial"/>
        </w:rPr>
        <w:t xml:space="preserve">first fundamental theorem</w:t>
      </w:r>
      <w:r>
        <w:rPr>
          <w:sz w:val="24"/>
          <w:szCs w:val="24"/>
          <w:rFonts w:ascii="Arial" w:cs="Arial" w:eastAsia="Arial" w:hAnsi="Arial"/>
        </w:rPr>
        <w:t xml:space="preserve"> states that every competitive equilibrium is Pareto efficient. As noted above, this theorem does not apply to healthcare because the conditions for competitive equilibrium (complete information, no externalities, no market power) are violated. The practical implication is that there is an efficiency-based case for government intervention to correct market failures.</w:t>
      </w:r>
    </w:p>
    <w:p>
      <w:pPr>
        <w:spacing w:after="120"/>
      </w:pPr>
      <w:r>
        <w:rPr>
          <w:sz w:val="24"/>
          <w:szCs w:val="24"/>
          <w:rFonts w:ascii="Arial" w:cs="Arial" w:eastAsia="Arial" w:hAnsi="Arial"/>
        </w:rPr>
        <w:t xml:space="preserve">The </w:t>
      </w:r>
      <w:r>
        <w:rPr>
          <w:b/>
          <w:bCs/>
          <w:sz w:val="24"/>
          <w:szCs w:val="24"/>
          <w:rFonts w:ascii="Arial" w:cs="Arial" w:eastAsia="Arial" w:hAnsi="Arial"/>
        </w:rPr>
        <w:t xml:space="preserve">second fundamental theorem</w:t>
      </w:r>
      <w:r>
        <w:rPr>
          <w:sz w:val="24"/>
          <w:szCs w:val="24"/>
          <w:rFonts w:ascii="Arial" w:cs="Arial" w:eastAsia="Arial" w:hAnsi="Arial"/>
        </w:rPr>
        <w:t xml:space="preserve"> states that any Pareto-efficient allocation can be achieved as a competitive equilibrium, given appropriate redistribution of initial endowments. This theorem has important implications for healthcare policy: it suggests that efficiency and equity objectives can be pursued independently — the government can redistribute resources to achieve desired equity goals, then allow markets to achieve efficiency. In practice, however, the instruments available for redistribution (taxes, transfers, regulation) have efficiency costs of their own (deadweight losses), so the clean separation of efficiency and equity implied by the second theorem is an idealization.</w:t>
      </w:r>
    </w:p>
    <w:p>
      <w:pPr>
        <w:pStyle w:val="Heading3"/>
        <w:spacing w:before="200" w:after="100"/>
      </w:pPr>
      <w:r>
        <w:rPr>
          <w:b/>
          <w:bCs/>
          <w:sz w:val="26"/>
          <w:szCs w:val="26"/>
          <w:rFonts w:ascii="Arial" w:cs="Arial" w:eastAsia="Arial" w:hAnsi="Arial"/>
        </w:rPr>
        <w:t xml:space="preserve">Social Welfare Functions and Healthcare</w:t>
      </w:r>
    </w:p>
    <w:p>
      <w:pPr>
        <w:spacing w:after="120"/>
      </w:pPr>
      <w:r>
        <w:rPr>
          <w:sz w:val="24"/>
          <w:szCs w:val="24"/>
          <w:rFonts w:ascii="Arial" w:cs="Arial" w:eastAsia="Arial" w:hAnsi="Arial"/>
        </w:rPr>
        <w:t xml:space="preserve">Given the limitations of the Pareto criterion for practical policy evaluation, health economists often employ social welfare functions (SWFs) that explicitly incorporate distributional preferences. A social welfare function aggregates individual utilities into a single measure of social welfare, with the form of the function reflecting society's preferences for equity.</w:t>
      </w:r>
    </w:p>
    <w:p>
      <w:pPr>
        <w:spacing w:after="120"/>
      </w:pPr>
      <w:r>
        <w:rPr>
          <w:sz w:val="24"/>
          <w:szCs w:val="24"/>
          <w:rFonts w:ascii="Arial" w:cs="Arial" w:eastAsia="Arial" w:hAnsi="Arial"/>
        </w:rPr>
        <w:t xml:space="preserve">The utilitarian SWF simply sums individual utilities, weighting all individuals equally. The Rawlsian SWF maximizes the welfare of the worst-off individual. The Atkinson SWF introduces an inequality aversion parameter that allows for a continuum between utilitarian and Rawlsian preferences.</w:t>
      </w:r>
    </w:p>
    <w:p>
      <w:pPr>
        <w:spacing w:after="120"/>
      </w:pPr>
      <w:r>
        <w:rPr>
          <w:sz w:val="24"/>
          <w:szCs w:val="24"/>
          <w:rFonts w:ascii="Arial" w:cs="Arial" w:eastAsia="Arial" w:hAnsi="Arial"/>
        </w:rPr>
        <w:t xml:space="preserve">In health economics, the choice of SWF has practical consequences for policy evaluation. A utilitarian approach to healthcare allocation would direct resources to where they produce the greatest aggregate health gain, regardless of who benefits. A Rawlsian approach would prioritize interventions that benefit the sickest or most disadvantaged individuals, even if the health gains per dollar are smaller. The extended cost-effectiveness analysis (ECEA) framework, developed by Verguet and colleagues, provides a methodology for incorporating distributional considerations into economic evaluation of health interventions.</w:t>
      </w:r>
    </w:p>
    <w:p>
      <w:pPr>
        <w:pStyle w:val="Heading2"/>
        <w:spacing w:before="300" w:after="150"/>
      </w:pPr>
      <w:r>
        <w:rPr>
          <w:b/>
          <w:bCs/>
          <w:sz w:val="30"/>
          <w:szCs w:val="30"/>
          <w:rFonts w:ascii="Arial" w:cs="Arial" w:eastAsia="Arial" w:hAnsi="Arial"/>
        </w:rPr>
        <w:t xml:space="preserve">The Economic Case for Government Intervention</w:t>
      </w:r>
    </w:p>
    <w:p>
      <w:pPr>
        <w:pStyle w:val="Heading3"/>
        <w:spacing w:before="200" w:after="100"/>
      </w:pPr>
      <w:r>
        <w:rPr>
          <w:b/>
          <w:bCs/>
          <w:sz w:val="26"/>
          <w:szCs w:val="26"/>
          <w:rFonts w:ascii="Arial" w:cs="Arial" w:eastAsia="Arial" w:hAnsi="Arial"/>
        </w:rPr>
        <w:t xml:space="preserve">Efficiency-Based Arguments</w:t>
      </w:r>
    </w:p>
    <w:p>
      <w:pPr>
        <w:spacing w:after="120"/>
      </w:pPr>
      <w:r>
        <w:rPr>
          <w:sz w:val="24"/>
          <w:szCs w:val="24"/>
          <w:rFonts w:ascii="Arial" w:cs="Arial" w:eastAsia="Arial" w:hAnsi="Arial"/>
        </w:rPr>
        <w:t xml:space="preserve">The market failures identified above — externalities, public goods, information asymmetry, adverse selection, moral hazard, and market power — provide efficiency-based arguments for government intervention in healthcare. Government intervention can potentially improve upon unregulated market outcomes by:</w:t>
      </w:r>
    </w:p>
    <w:p>
      <w:pPr>
        <w:spacing w:after="120"/>
      </w:pPr>
      <w:r>
        <w:rPr>
          <w:sz w:val="24"/>
          <w:szCs w:val="24"/>
          <w:rFonts w:ascii="Arial" w:cs="Arial" w:eastAsia="Arial" w:hAnsi="Arial"/>
        </w:rPr>
        <w:t xml:space="preserve">1. </w:t>
      </w:r>
      <w:r>
        <w:rPr>
          <w:b/>
          <w:bCs/>
          <w:sz w:val="24"/>
          <w:szCs w:val="24"/>
          <w:rFonts w:ascii="Arial" w:cs="Arial" w:eastAsia="Arial" w:hAnsi="Arial"/>
        </w:rPr>
        <w:t xml:space="preserve">Correcting externalities</w:t>
      </w:r>
      <w:r>
        <w:rPr>
          <w:sz w:val="24"/>
          <w:szCs w:val="24"/>
          <w:rFonts w:ascii="Arial" w:cs="Arial" w:eastAsia="Arial" w:hAnsi="Arial"/>
        </w:rPr>
        <w:t xml:space="preserve"> through subsidies (vaccination programs), taxes (tobacco and sugar taxes), or regulation (antibiotic stewardship requirements).</w:t>
      </w:r>
    </w:p>
    <w:p>
      <w:pPr>
        <w:spacing w:after="120"/>
      </w:pPr>
      <w:r>
        <w:rPr>
          <w:sz w:val="24"/>
          <w:szCs w:val="24"/>
          <w:rFonts w:ascii="Arial" w:cs="Arial" w:eastAsia="Arial" w:hAnsi="Arial"/>
        </w:rPr>
        <w:t xml:space="preserve">2. </w:t>
      </w:r>
      <w:r>
        <w:rPr>
          <w:b/>
          <w:bCs/>
          <w:sz w:val="24"/>
          <w:szCs w:val="24"/>
          <w:rFonts w:ascii="Arial" w:cs="Arial" w:eastAsia="Arial" w:hAnsi="Arial"/>
        </w:rPr>
        <w:t xml:space="preserve">Providing public goods</w:t>
      </w:r>
      <w:r>
        <w:rPr>
          <w:sz w:val="24"/>
          <w:szCs w:val="24"/>
          <w:rFonts w:ascii="Arial" w:cs="Arial" w:eastAsia="Arial" w:hAnsi="Arial"/>
        </w:rPr>
        <w:t xml:space="preserve"> through public funding of medical research (NIH) and public health infrastructure (CDC, state and local health departments).</w:t>
      </w:r>
    </w:p>
    <w:p>
      <w:pPr>
        <w:spacing w:after="120"/>
      </w:pPr>
      <w:r>
        <w:rPr>
          <w:sz w:val="24"/>
          <w:szCs w:val="24"/>
          <w:rFonts w:ascii="Arial" w:cs="Arial" w:eastAsia="Arial" w:hAnsi="Arial"/>
        </w:rPr>
        <w:t xml:space="preserve">3. </w:t>
      </w:r>
      <w:r>
        <w:rPr>
          <w:b/>
          <w:bCs/>
          <w:sz w:val="24"/>
          <w:szCs w:val="24"/>
          <w:rFonts w:ascii="Arial" w:cs="Arial" w:eastAsia="Arial" w:hAnsi="Arial"/>
        </w:rPr>
        <w:t xml:space="preserve">Reducing information asymmetry</w:t>
      </w:r>
      <w:r>
        <w:rPr>
          <w:sz w:val="24"/>
          <w:szCs w:val="24"/>
          <w:rFonts w:ascii="Arial" w:cs="Arial" w:eastAsia="Arial" w:hAnsi="Arial"/>
        </w:rPr>
        <w:t xml:space="preserve"> through quality reporting programs (Hospital Compare), licensure and accreditation requirements, and consumer protection regulation.</w:t>
      </w:r>
    </w:p>
    <w:p>
      <w:pPr>
        <w:spacing w:after="120"/>
      </w:pPr>
      <w:r>
        <w:rPr>
          <w:sz w:val="24"/>
          <w:szCs w:val="24"/>
          <w:rFonts w:ascii="Arial" w:cs="Arial" w:eastAsia="Arial" w:hAnsi="Arial"/>
        </w:rPr>
        <w:t xml:space="preserve">4. </w:t>
      </w:r>
      <w:r>
        <w:rPr>
          <w:b/>
          <w:bCs/>
          <w:sz w:val="24"/>
          <w:szCs w:val="24"/>
          <w:rFonts w:ascii="Arial" w:cs="Arial" w:eastAsia="Arial" w:hAnsi="Arial"/>
        </w:rPr>
        <w:t xml:space="preserve">Addressing adverse selection</w:t>
      </w:r>
      <w:r>
        <w:rPr>
          <w:sz w:val="24"/>
          <w:szCs w:val="24"/>
          <w:rFonts w:ascii="Arial" w:cs="Arial" w:eastAsia="Arial" w:hAnsi="Arial"/>
        </w:rPr>
        <w:t xml:space="preserve"> through insurance market regulation (community rating, guaranteed issue, risk adjustment, individual mandates), public insurance programs (Medicare, Medicaid), or single-payer systems.</w:t>
      </w:r>
    </w:p>
    <w:p>
      <w:pPr>
        <w:spacing w:after="120"/>
      </w:pPr>
      <w:r>
        <w:rPr>
          <w:sz w:val="24"/>
          <w:szCs w:val="24"/>
          <w:rFonts w:ascii="Arial" w:cs="Arial" w:eastAsia="Arial" w:hAnsi="Arial"/>
        </w:rPr>
        <w:t xml:space="preserve">5. </w:t>
      </w:r>
      <w:r>
        <w:rPr>
          <w:b/>
          <w:bCs/>
          <w:sz w:val="24"/>
          <w:szCs w:val="24"/>
          <w:rFonts w:ascii="Arial" w:cs="Arial" w:eastAsia="Arial" w:hAnsi="Arial"/>
        </w:rPr>
        <w:t xml:space="preserve">Mitigating moral hazard</w:t>
      </w:r>
      <w:r>
        <w:rPr>
          <w:sz w:val="24"/>
          <w:szCs w:val="24"/>
          <w:rFonts w:ascii="Arial" w:cs="Arial" w:eastAsia="Arial" w:hAnsi="Arial"/>
        </w:rPr>
        <w:t xml:space="preserve"> through cost-sharing design (deductibles, copayments, coinsurance), utilization management, and value-based insurance design.</w:t>
      </w:r>
    </w:p>
    <w:p>
      <w:pPr>
        <w:spacing w:after="120"/>
      </w:pPr>
      <w:r>
        <w:rPr>
          <w:sz w:val="24"/>
          <w:szCs w:val="24"/>
          <w:rFonts w:ascii="Arial" w:cs="Arial" w:eastAsia="Arial" w:hAnsi="Arial"/>
        </w:rPr>
        <w:t xml:space="preserve">6. </w:t>
      </w:r>
      <w:r>
        <w:rPr>
          <w:b/>
          <w:bCs/>
          <w:sz w:val="24"/>
          <w:szCs w:val="24"/>
          <w:rFonts w:ascii="Arial" w:cs="Arial" w:eastAsia="Arial" w:hAnsi="Arial"/>
        </w:rPr>
        <w:t xml:space="preserve">Controlling market power</w:t>
      </w:r>
      <w:r>
        <w:rPr>
          <w:sz w:val="24"/>
          <w:szCs w:val="24"/>
          <w:rFonts w:ascii="Arial" w:cs="Arial" w:eastAsia="Arial" w:hAnsi="Arial"/>
        </w:rPr>
        <w:t xml:space="preserve"> through antitrust enforcement (FTC/DOJ merger review), price regulation (Medicare fee schedules, rate setting), and competition policy.</w:t>
      </w:r>
    </w:p>
    <w:p>
      <w:pPr>
        <w:pStyle w:val="Heading3"/>
        <w:spacing w:before="200" w:after="100"/>
      </w:pPr>
      <w:r>
        <w:rPr>
          <w:b/>
          <w:bCs/>
          <w:sz w:val="26"/>
          <w:szCs w:val="26"/>
          <w:rFonts w:ascii="Arial" w:cs="Arial" w:eastAsia="Arial" w:hAnsi="Arial"/>
        </w:rPr>
        <w:t xml:space="preserve">Equity-Based Arguments</w:t>
      </w:r>
    </w:p>
    <w:p>
      <w:pPr>
        <w:spacing w:after="120"/>
      </w:pPr>
      <w:r>
        <w:rPr>
          <w:sz w:val="24"/>
          <w:szCs w:val="24"/>
          <w:rFonts w:ascii="Arial" w:cs="Arial" w:eastAsia="Arial" w:hAnsi="Arial"/>
        </w:rPr>
        <w:t xml:space="preserve">Beyond efficiency, there are strong equity-based arguments for government intervention in healthcare. Most societies recognize some degree of right to healthcare access, reflected in the widespread adoption of public insurance programs, safety-net hospitals, and emergency care mandates (EMTALA). The economic argument is straightforward: if healthcare is a merit good — a good that society believes individuals should have access to regardless of ability to pay — then government intervention is needed to ensure universal access.</w:t>
      </w:r>
    </w:p>
    <w:p>
      <w:pPr>
        <w:pStyle w:val="Heading3"/>
        <w:spacing w:before="200" w:after="100"/>
      </w:pPr>
      <w:r>
        <w:rPr>
          <w:b/>
          <w:bCs/>
          <w:sz w:val="26"/>
          <w:szCs w:val="26"/>
          <w:rFonts w:ascii="Arial" w:cs="Arial" w:eastAsia="Arial" w:hAnsi="Arial"/>
        </w:rPr>
        <w:t xml:space="preserve">Regulatory Approaches</w:t>
      </w:r>
    </w:p>
    <w:p>
      <w:pPr>
        <w:spacing w:after="120"/>
      </w:pPr>
      <w:r>
        <w:rPr>
          <w:sz w:val="24"/>
          <w:szCs w:val="24"/>
          <w:rFonts w:ascii="Arial" w:cs="Arial" w:eastAsia="Arial" w:hAnsi="Arial"/>
        </w:rPr>
        <w:t xml:space="preserve">Government regulation of healthcare takes multiple forms:</w:t>
      </w:r>
    </w:p>
    <w:p>
      <w:pPr>
        <w:spacing w:after="120"/>
      </w:pPr>
      <w:r>
        <w:rPr>
          <w:sz w:val="24"/>
          <w:szCs w:val="24"/>
          <w:rFonts w:ascii="Arial" w:cs="Arial" w:eastAsia="Arial" w:hAnsi="Arial"/>
        </w:rPr>
      </w:r>
      <w:r>
        <w:rPr>
          <w:b/>
          <w:bCs/>
          <w:sz w:val="24"/>
          <w:szCs w:val="24"/>
          <w:rFonts w:ascii="Arial" w:cs="Arial" w:eastAsia="Arial" w:hAnsi="Arial"/>
        </w:rPr>
        <w:t xml:space="preserve">Entry regulation</w:t>
      </w:r>
      <w:r>
        <w:rPr>
          <w:sz w:val="24"/>
          <w:szCs w:val="24"/>
          <w:rFonts w:ascii="Arial" w:cs="Arial" w:eastAsia="Arial" w:hAnsi="Arial"/>
        </w:rPr>
        <w:t xml:space="preserve"> through professional licensure (medical boards), facility licensure (state health departments), and certificate of need (CON) programs controls who can provide healthcare services. While these regulations serve quality-assurance purposes, they also restrict competition and may contribute to healthcare cost growth.</w:t>
      </w:r>
    </w:p>
    <w:p>
      <w:pPr>
        <w:spacing w:after="120"/>
      </w:pPr>
      <w:r>
        <w:rPr>
          <w:sz w:val="24"/>
          <w:szCs w:val="24"/>
          <w:rFonts w:ascii="Arial" w:cs="Arial" w:eastAsia="Arial" w:hAnsi="Arial"/>
        </w:rPr>
      </w:r>
      <w:r>
        <w:rPr>
          <w:b/>
          <w:bCs/>
          <w:sz w:val="24"/>
          <w:szCs w:val="24"/>
          <w:rFonts w:ascii="Arial" w:cs="Arial" w:eastAsia="Arial" w:hAnsi="Arial"/>
        </w:rPr>
        <w:t xml:space="preserve">Price regulation</w:t>
      </w:r>
      <w:r>
        <w:rPr>
          <w:sz w:val="24"/>
          <w:szCs w:val="24"/>
          <w:rFonts w:ascii="Arial" w:cs="Arial" w:eastAsia="Arial" w:hAnsi="Arial"/>
        </w:rPr>
        <w:t xml:space="preserve"> through administered fee schedules (Medicare RBRVS, DRG prospective payment) sets prices directly, bypassing market price determination. Price regulation can control costs but may create access problems if regulated prices are set below providers' costs.</w:t>
      </w:r>
    </w:p>
    <w:p>
      <w:pPr>
        <w:spacing w:after="120"/>
      </w:pPr>
      <w:r>
        <w:rPr>
          <w:sz w:val="24"/>
          <w:szCs w:val="24"/>
          <w:rFonts w:ascii="Arial" w:cs="Arial" w:eastAsia="Arial" w:hAnsi="Arial"/>
        </w:rPr>
      </w:r>
      <w:r>
        <w:rPr>
          <w:b/>
          <w:bCs/>
          <w:sz w:val="24"/>
          <w:szCs w:val="24"/>
          <w:rFonts w:ascii="Arial" w:cs="Arial" w:eastAsia="Arial" w:hAnsi="Arial"/>
        </w:rPr>
        <w:t xml:space="preserve">Quality regulation</w:t>
      </w:r>
      <w:r>
        <w:rPr>
          <w:sz w:val="24"/>
          <w:szCs w:val="24"/>
          <w:rFonts w:ascii="Arial" w:cs="Arial" w:eastAsia="Arial" w:hAnsi="Arial"/>
        </w:rPr>
        <w:t xml:space="preserve"> through accreditation (Joint Commission), quality reporting mandates (Hospital Inpatient Quality Reporting Program), and conditions of participation (Medicare CoPs) establishes minimum standards and provides information to consumers.</w:t>
      </w:r>
    </w:p>
    <w:p>
      <w:pPr>
        <w:spacing w:after="120"/>
      </w:pPr>
      <w:r>
        <w:rPr>
          <w:sz w:val="24"/>
          <w:szCs w:val="24"/>
          <w:rFonts w:ascii="Arial" w:cs="Arial" w:eastAsia="Arial" w:hAnsi="Arial"/>
        </w:rPr>
      </w:r>
      <w:r>
        <w:rPr>
          <w:b/>
          <w:bCs/>
          <w:sz w:val="24"/>
          <w:szCs w:val="24"/>
          <w:rFonts w:ascii="Arial" w:cs="Arial" w:eastAsia="Arial" w:hAnsi="Arial"/>
        </w:rPr>
        <w:t xml:space="preserve">Insurance regulation</w:t>
      </w:r>
      <w:r>
        <w:rPr>
          <w:sz w:val="24"/>
          <w:szCs w:val="24"/>
          <w:rFonts w:ascii="Arial" w:cs="Arial" w:eastAsia="Arial" w:hAnsi="Arial"/>
        </w:rPr>
        <w:t xml:space="preserve"> through benefit mandates, rating rules, solvency requirements, and network adequacy standards shapes the insurance products available to consumers.</w:t>
      </w:r>
    </w:p>
    <w:p>
      <w:pPr>
        <w:pStyle w:val="Heading3"/>
        <w:spacing w:before="200" w:after="100"/>
      </w:pPr>
      <w:r>
        <w:rPr>
          <w:b/>
          <w:bCs/>
          <w:sz w:val="26"/>
          <w:szCs w:val="26"/>
          <w:rFonts w:ascii="Arial" w:cs="Arial" w:eastAsia="Arial" w:hAnsi="Arial"/>
        </w:rPr>
        <w:t xml:space="preserve">Public Provision and Financing</w:t>
      </w:r>
    </w:p>
    <w:p>
      <w:pPr>
        <w:spacing w:after="120"/>
      </w:pPr>
      <w:r>
        <w:rPr>
          <w:sz w:val="24"/>
          <w:szCs w:val="24"/>
          <w:rFonts w:ascii="Arial" w:cs="Arial" w:eastAsia="Arial" w:hAnsi="Arial"/>
        </w:rPr>
        <w:t xml:space="preserve">Government directly provides healthcare through the Veterans Health Administration (VHA), military health system (TRICARE), and Indian Health Service (IHS). Government finances healthcare through Medicare (for those 65+, disabled, and ESRD), Medicaid (for low-income individuals and families), and the Children's Health Insurance Program (CHIP). The tax exclusion for employer-sponsored health insurance, valued at approximately $300 billion annually, represents an additional — though indirect — government financing mechanism.</w:t>
      </w:r>
    </w:p>
    <w:p>
      <w:pPr>
        <w:spacing w:after="120"/>
      </w:pPr>
      <w:r>
        <w:rPr>
          <w:sz w:val="24"/>
          <w:szCs w:val="24"/>
          <w:rFonts w:ascii="Arial" w:cs="Arial" w:eastAsia="Arial" w:hAnsi="Arial"/>
        </w:rPr>
        <w:t xml:space="preserve">The choice among government roles — regulator, financier, or direct provider — involves tradeoffs among administrative costs, political control, provider autonomy, and innovation incentives. These tradeoffs are explored in the context of specific programs in Chapters 4 and 5.</w:t>
      </w:r>
    </w:p>
    <w:p>
      <w:pPr>
        <w:pStyle w:val="Heading2"/>
        <w:spacing w:before="300" w:after="150"/>
      </w:pPr>
      <w:r>
        <w:rPr>
          <w:b/>
          <w:bCs/>
          <w:sz w:val="30"/>
          <w:szCs w:val="30"/>
          <w:rFonts w:ascii="Arial" w:cs="Arial" w:eastAsia="Arial" w:hAnsi="Arial"/>
        </w:rPr>
        <w:t xml:space="preserve">A Taxonomy of Health Economics Research</w:t>
      </w:r>
    </w:p>
    <w:p>
      <w:pPr>
        <w:pStyle w:val="Heading3"/>
        <w:spacing w:before="200" w:after="100"/>
      </w:pPr>
      <w:r>
        <w:rPr>
          <w:b/>
          <w:bCs/>
          <w:sz w:val="26"/>
          <w:szCs w:val="26"/>
          <w:rFonts w:ascii="Arial" w:cs="Arial" w:eastAsia="Arial" w:hAnsi="Arial"/>
        </w:rPr>
        <w:t xml:space="preserve">Positive vs. Normative Analysis</w:t>
      </w:r>
    </w:p>
    <w:p>
      <w:pPr>
        <w:spacing w:after="120"/>
      </w:pPr>
      <w:r>
        <w:rPr>
          <w:sz w:val="24"/>
          <w:szCs w:val="24"/>
          <w:rFonts w:ascii="Arial" w:cs="Arial" w:eastAsia="Arial" w:hAnsi="Arial"/>
        </w:rPr>
        <w:t xml:space="preserve">Health economics research can be classified along several dimensions. The most fundamental distinction is between </w:t>
      </w:r>
      <w:r>
        <w:rPr>
          <w:b/>
          <w:bCs/>
          <w:sz w:val="24"/>
          <w:szCs w:val="24"/>
          <w:rFonts w:ascii="Arial" w:cs="Arial" w:eastAsia="Arial" w:hAnsi="Arial"/>
        </w:rPr>
        <w:t xml:space="preserve">positive</w:t>
      </w:r>
      <w:r>
        <w:rPr>
          <w:sz w:val="24"/>
          <w:szCs w:val="24"/>
          <w:rFonts w:ascii="Arial" w:cs="Arial" w:eastAsia="Arial" w:hAnsi="Arial"/>
        </w:rPr>
        <w:t xml:space="preserve"> analysis (describing what </w:t>
      </w:r>
      <w:r>
        <w:rPr>
          <w:i/>
          <w:iCs/>
          <w:sz w:val="24"/>
          <w:szCs w:val="24"/>
          <w:rFonts w:ascii="Arial" w:cs="Arial" w:eastAsia="Arial" w:hAnsi="Arial"/>
        </w:rPr>
        <w:t xml:space="preserve">is</w:t>
      </w:r>
      <w:r>
        <w:rPr>
          <w:sz w:val="24"/>
          <w:szCs w:val="24"/>
          <w:rFonts w:ascii="Arial" w:cs="Arial" w:eastAsia="Arial" w:hAnsi="Arial"/>
        </w:rPr>
        <w:t xml:space="preserve">) and </w:t>
      </w:r>
      <w:r>
        <w:rPr>
          <w:b/>
          <w:bCs/>
          <w:sz w:val="24"/>
          <w:szCs w:val="24"/>
          <w:rFonts w:ascii="Arial" w:cs="Arial" w:eastAsia="Arial" w:hAnsi="Arial"/>
        </w:rPr>
        <w:t xml:space="preserve">normative</w:t>
      </w:r>
      <w:r>
        <w:rPr>
          <w:sz w:val="24"/>
          <w:szCs w:val="24"/>
          <w:rFonts w:ascii="Arial" w:cs="Arial" w:eastAsia="Arial" w:hAnsi="Arial"/>
        </w:rPr>
        <w:t xml:space="preserve"> analysis (evaluating what </w:t>
      </w:r>
      <w:r>
        <w:rPr>
          <w:i/>
          <w:iCs/>
          <w:sz w:val="24"/>
          <w:szCs w:val="24"/>
          <w:rFonts w:ascii="Arial" w:cs="Arial" w:eastAsia="Arial" w:hAnsi="Arial"/>
        </w:rPr>
        <w:t xml:space="preserve">should be</w:t>
      </w:r>
      <w:r>
        <w:rPr>
          <w:sz w:val="24"/>
          <w:szCs w:val="24"/>
          <w:rFonts w:ascii="Arial" w:cs="Arial" w:eastAsia="Arial" w:hAnsi="Arial"/>
        </w:rPr>
        <w:t xml:space="preserve">).</w:t>
      </w:r>
    </w:p>
    <w:p>
      <w:pPr>
        <w:spacing w:after="120"/>
      </w:pPr>
      <w:r>
        <w:rPr>
          <w:sz w:val="24"/>
          <w:szCs w:val="24"/>
          <w:rFonts w:ascii="Arial" w:cs="Arial" w:eastAsia="Arial" w:hAnsi="Arial"/>
        </w:rPr>
        <w:t xml:space="preserve">Positive health economics seeks to understand causal relationships and predict outcomes. Examples include estimating the price elasticity of demand for healthcare (how much does utilization change when copayments increase?), measuring the effect of hospital mergers on prices, or forecasting the fiscal impact of Medicaid expansion. Positive analysis employs the econometric methods covered in Chapters 9-17 and is subject to empirical testing.</w:t>
      </w:r>
    </w:p>
    <w:p>
      <w:pPr>
        <w:spacing w:after="120"/>
      </w:pPr>
      <w:r>
        <w:rPr>
          <w:sz w:val="24"/>
          <w:szCs w:val="24"/>
          <w:rFonts w:ascii="Arial" w:cs="Arial" w:eastAsia="Arial" w:hAnsi="Arial"/>
        </w:rPr>
        <w:t xml:space="preserve">Normative health economics evaluates policies and institutions against explicit value criteria. Examples include cost-effectiveness analysis (is this intervention worth its cost?), welfare analysis of insurance market regulation (does the ACA improve social welfare?), and equity assessment of healthcare financing (is the distribution of healthcare spending fair?). Normative analysis requires both positive empirical findings and explicit value judgments about objectives and tradeoffs.</w:t>
      </w:r>
    </w:p>
    <w:p>
      <w:pPr>
        <w:pStyle w:val="Heading3"/>
        <w:spacing w:before="200" w:after="100"/>
      </w:pPr>
      <w:r>
        <w:rPr>
          <w:b/>
          <w:bCs/>
          <w:sz w:val="26"/>
          <w:szCs w:val="26"/>
          <w:rFonts w:ascii="Arial" w:cs="Arial" w:eastAsia="Arial" w:hAnsi="Arial"/>
        </w:rPr>
        <w:t xml:space="preserve">Microeconomic vs. Macroeconomic Perspectives</w:t>
      </w:r>
    </w:p>
    <w:p>
      <w:pPr>
        <w:spacing w:after="120"/>
      </w:pPr>
      <w:r>
        <w:rPr>
          <w:sz w:val="24"/>
          <w:szCs w:val="24"/>
          <w:rFonts w:ascii="Arial" w:cs="Arial" w:eastAsia="Arial" w:hAnsi="Arial"/>
        </w:rPr>
      </w:r>
      <w:r>
        <w:rPr>
          <w:b/>
          <w:bCs/>
          <w:sz w:val="24"/>
          <w:szCs w:val="24"/>
          <w:rFonts w:ascii="Arial" w:cs="Arial" w:eastAsia="Arial" w:hAnsi="Arial"/>
        </w:rPr>
        <w:t xml:space="preserve">Microeconomic</w:t>
      </w:r>
      <w:r>
        <w:rPr>
          <w:sz w:val="24"/>
          <w:szCs w:val="24"/>
          <w:rFonts w:ascii="Arial" w:cs="Arial" w:eastAsia="Arial" w:hAnsi="Arial"/>
        </w:rPr>
        <w:t xml:space="preserve"> health economics analyzes the behavior of individual agents — patients, providers, insurers, firms — and the markets in which they interact. Most of this textbook operates at the microeconomic level: demand theory (Chapter 2), provider behavior (Chapter 3), insurance markets (Chapter 4), and econometric methods for causal inference (Chapters 9-12) are all microeconomic in orientation.</w:t>
      </w:r>
    </w:p>
    <w:p>
      <w:pPr>
        <w:spacing w:after="120"/>
      </w:pPr>
      <w:r>
        <w:rPr>
          <w:sz w:val="24"/>
          <w:szCs w:val="24"/>
          <w:rFonts w:ascii="Arial" w:cs="Arial" w:eastAsia="Arial" w:hAnsi="Arial"/>
        </w:rPr>
      </w:r>
      <w:r>
        <w:rPr>
          <w:b/>
          <w:bCs/>
          <w:sz w:val="24"/>
          <w:szCs w:val="24"/>
          <w:rFonts w:ascii="Arial" w:cs="Arial" w:eastAsia="Arial" w:hAnsi="Arial"/>
        </w:rPr>
        <w:t xml:space="preserve">Macroeconomic</w:t>
      </w:r>
      <w:r>
        <w:rPr>
          <w:sz w:val="24"/>
          <w:szCs w:val="24"/>
          <w:rFonts w:ascii="Arial" w:cs="Arial" w:eastAsia="Arial" w:hAnsi="Arial"/>
        </w:rPr>
        <w:t xml:space="preserve"> health economics examines the aggregate relationship between healthcare and the broader economy: the determinants of national health expenditure growth, the effect of population aging on fiscal sustainability, the macroeconomic consequences of pandemics, and the relationship between healthcare spending and economic output. While this textbook does not devote a standalone chapter to macro health economics, macroeconomic considerations inform the discussions of healthcare financing (Chapter 5) and emerging frontiers (Chapter 30).</w:t>
      </w:r>
    </w:p>
    <w:p>
      <w:pPr>
        <w:pStyle w:val="Heading3"/>
        <w:spacing w:before="200" w:after="100"/>
      </w:pPr>
      <w:r>
        <w:rPr>
          <w:b/>
          <w:bCs/>
          <w:sz w:val="26"/>
          <w:szCs w:val="26"/>
          <w:rFonts w:ascii="Arial" w:cs="Arial" w:eastAsia="Arial" w:hAnsi="Arial"/>
        </w:rPr>
        <w:t xml:space="preserve">Demand-Side vs. Supply-Side Analysis</w:t>
      </w:r>
    </w:p>
    <w:p>
      <w:pPr>
        <w:spacing w:after="120"/>
      </w:pPr>
      <w:r>
        <w:rPr>
          <w:sz w:val="24"/>
          <w:szCs w:val="24"/>
          <w:rFonts w:ascii="Arial" w:cs="Arial" w:eastAsia="Arial" w:hAnsi="Arial"/>
        </w:rPr>
        <w:t xml:space="preserve">Health economics research can be organized by whether it focuses on the </w:t>
      </w:r>
      <w:r>
        <w:rPr>
          <w:b/>
          <w:bCs/>
          <w:sz w:val="24"/>
          <w:szCs w:val="24"/>
          <w:rFonts w:ascii="Arial" w:cs="Arial" w:eastAsia="Arial" w:hAnsi="Arial"/>
        </w:rPr>
        <w:t xml:space="preserve">demand side</w:t>
      </w:r>
      <w:r>
        <w:rPr>
          <w:sz w:val="24"/>
          <w:szCs w:val="24"/>
          <w:rFonts w:ascii="Arial" w:cs="Arial" w:eastAsia="Arial" w:hAnsi="Arial"/>
        </w:rPr>
        <w:t xml:space="preserve"> (consumer and patient behavior, insurance coverage effects, moral hazard) or the </w:t>
      </w:r>
      <w:r>
        <w:rPr>
          <w:b/>
          <w:bCs/>
          <w:sz w:val="24"/>
          <w:szCs w:val="24"/>
          <w:rFonts w:ascii="Arial" w:cs="Arial" w:eastAsia="Arial" w:hAnsi="Arial"/>
        </w:rPr>
        <w:t xml:space="preserve">supply side</w:t>
      </w:r>
      <w:r>
        <w:rPr>
          <w:sz w:val="24"/>
          <w:szCs w:val="24"/>
          <w:rFonts w:ascii="Arial" w:cs="Arial" w:eastAsia="Arial" w:hAnsi="Arial"/>
        </w:rPr>
        <w:t xml:space="preserve"> (provider behavior, market structure, payment system effects, technology diffusion).</w:t>
      </w:r>
    </w:p>
    <w:p>
      <w:pPr>
        <w:spacing w:after="120"/>
      </w:pPr>
      <w:r>
        <w:rPr>
          <w:sz w:val="24"/>
          <w:szCs w:val="24"/>
          <w:rFonts w:ascii="Arial" w:cs="Arial" w:eastAsia="Arial" w:hAnsi="Arial"/>
        </w:rPr>
        <w:t xml:space="preserve">Demand-side research asks questions such as: How does insurance coverage affect healthcare utilization and health outcomes? How do individuals choose among health insurance plans? What is the effect of cost-sharing on the use of high-value vs. low-value care? The landmark studies in this area include the RAND Health Insurance Experiment and the Oregon Health Insurance Experiment (discussed in Chapter 2).</w:t>
      </w:r>
    </w:p>
    <w:p>
      <w:pPr>
        <w:spacing w:after="120"/>
      </w:pPr>
      <w:r>
        <w:rPr>
          <w:sz w:val="24"/>
          <w:szCs w:val="24"/>
          <w:rFonts w:ascii="Arial" w:cs="Arial" w:eastAsia="Arial" w:hAnsi="Arial"/>
        </w:rPr>
        <w:t xml:space="preserve">Supply-side research asks questions such as: How do payment incentives affect physician behavior? What is the effect of hospital market concentration on prices and quality? How does the diffusion of new medical technologies affect costs and outcomes? Why does healthcare spending vary so dramatically across geographic areas? These questions are addressed in Chapters 3, 5, and 7.</w:t>
      </w:r>
    </w:p>
    <w:p>
      <w:pPr>
        <w:pStyle w:val="Heading3"/>
        <w:spacing w:before="200" w:after="100"/>
      </w:pPr>
      <w:r>
        <w:rPr>
          <w:b/>
          <w:bCs/>
          <w:sz w:val="26"/>
          <w:szCs w:val="26"/>
          <w:rFonts w:ascii="Arial" w:cs="Arial" w:eastAsia="Arial" w:hAnsi="Arial"/>
        </w:rPr>
        <w:t xml:space="preserve">The Applied Health Economics Research Pipeline</w:t>
      </w:r>
    </w:p>
    <w:p>
      <w:pPr>
        <w:spacing w:after="120"/>
      </w:pPr>
      <w:r>
        <w:rPr>
          <w:sz w:val="24"/>
          <w:szCs w:val="24"/>
          <w:rFonts w:ascii="Arial" w:cs="Arial" w:eastAsia="Arial" w:hAnsi="Arial"/>
        </w:rPr>
        <w:t xml:space="preserve">A useful way to orient the beginning researcher is to outline the typical pipeline of an applied health economics study:</w:t>
      </w:r>
    </w:p>
    <w:p>
      <w:pPr>
        <w:spacing w:after="120"/>
      </w:pPr>
      <w:r>
        <w:rPr>
          <w:sz w:val="24"/>
          <w:szCs w:val="24"/>
          <w:rFonts w:ascii="Arial" w:cs="Arial" w:eastAsia="Arial" w:hAnsi="Arial"/>
        </w:rPr>
        <w:t xml:space="preserve">1. </w:t>
      </w:r>
      <w:r>
        <w:rPr>
          <w:b/>
          <w:bCs/>
          <w:sz w:val="24"/>
          <w:szCs w:val="24"/>
          <w:rFonts w:ascii="Arial" w:cs="Arial" w:eastAsia="Arial" w:hAnsi="Arial"/>
        </w:rPr>
        <w:t xml:space="preserve">Research question formulation:</w:t>
      </w:r>
      <w:r>
        <w:rPr>
          <w:sz w:val="24"/>
          <w:szCs w:val="24"/>
          <w:rFonts w:ascii="Arial" w:cs="Arial" w:eastAsia="Arial" w:hAnsi="Arial"/>
        </w:rPr>
        <w:t xml:space="preserve"> Identify a well-defined economic question motivated by theory, policy, or clinical observation.</w:t>
      </w:r>
    </w:p>
    <w:p>
      <w:pPr>
        <w:spacing w:after="120"/>
      </w:pPr>
      <w:r>
        <w:rPr>
          <w:sz w:val="24"/>
          <w:szCs w:val="24"/>
          <w:rFonts w:ascii="Arial" w:cs="Arial" w:eastAsia="Arial" w:hAnsi="Arial"/>
        </w:rPr>
        <w:t xml:space="preserve">2. </w:t>
      </w:r>
      <w:r>
        <w:rPr>
          <w:b/>
          <w:bCs/>
          <w:sz w:val="24"/>
          <w:szCs w:val="24"/>
          <w:rFonts w:ascii="Arial" w:cs="Arial" w:eastAsia="Arial" w:hAnsi="Arial"/>
        </w:rPr>
        <w:t xml:space="preserve">Literature review and positioning:</w:t>
      </w:r>
      <w:r>
        <w:rPr>
          <w:sz w:val="24"/>
          <w:szCs w:val="24"/>
          <w:rFonts w:ascii="Arial" w:cs="Arial" w:eastAsia="Arial" w:hAnsi="Arial"/>
        </w:rPr>
        <w:t xml:space="preserve"> Situate the question within the existing evidence base and identify the specific contribution.</w:t>
      </w:r>
    </w:p>
    <w:p>
      <w:pPr>
        <w:spacing w:after="120"/>
      </w:pPr>
      <w:r>
        <w:rPr>
          <w:sz w:val="24"/>
          <w:szCs w:val="24"/>
          <w:rFonts w:ascii="Arial" w:cs="Arial" w:eastAsia="Arial" w:hAnsi="Arial"/>
        </w:rPr>
        <w:t xml:space="preserve">3. </w:t>
      </w:r>
      <w:r>
        <w:rPr>
          <w:b/>
          <w:bCs/>
          <w:sz w:val="24"/>
          <w:szCs w:val="24"/>
          <w:rFonts w:ascii="Arial" w:cs="Arial" w:eastAsia="Arial" w:hAnsi="Arial"/>
        </w:rPr>
        <w:t xml:space="preserve">Theoretical framework:</w:t>
      </w:r>
      <w:r>
        <w:rPr>
          <w:sz w:val="24"/>
          <w:szCs w:val="24"/>
          <w:rFonts w:ascii="Arial" w:cs="Arial" w:eastAsia="Arial" w:hAnsi="Arial"/>
        </w:rPr>
        <w:t xml:space="preserve"> Articulate the economic model that generates testable predictions (even if the empirical work is reduced-form).</w:t>
      </w:r>
    </w:p>
    <w:p>
      <w:pPr>
        <w:spacing w:after="120"/>
      </w:pPr>
      <w:r>
        <w:rPr>
          <w:sz w:val="24"/>
          <w:szCs w:val="24"/>
          <w:rFonts w:ascii="Arial" w:cs="Arial" w:eastAsia="Arial" w:hAnsi="Arial"/>
        </w:rPr>
        <w:t xml:space="preserve">4. </w:t>
      </w:r>
      <w:r>
        <w:rPr>
          <w:b/>
          <w:bCs/>
          <w:sz w:val="24"/>
          <w:szCs w:val="24"/>
          <w:rFonts w:ascii="Arial" w:cs="Arial" w:eastAsia="Arial" w:hAnsi="Arial"/>
        </w:rPr>
        <w:t xml:space="preserve">Data identification:</w:t>
      </w:r>
      <w:r>
        <w:rPr>
          <w:sz w:val="24"/>
          <w:szCs w:val="24"/>
          <w:rFonts w:ascii="Arial" w:cs="Arial" w:eastAsia="Arial" w:hAnsi="Arial"/>
        </w:rPr>
        <w:t xml:space="preserve"> Select the appropriate dataset(s) from the sources described in Chapter 18.</w:t>
      </w:r>
    </w:p>
    <w:p>
      <w:pPr>
        <w:spacing w:after="120"/>
      </w:pPr>
      <w:r>
        <w:rPr>
          <w:sz w:val="24"/>
          <w:szCs w:val="24"/>
          <w:rFonts w:ascii="Arial" w:cs="Arial" w:eastAsia="Arial" w:hAnsi="Arial"/>
        </w:rPr>
        <w:t xml:space="preserve">5. </w:t>
      </w:r>
      <w:r>
        <w:rPr>
          <w:b/>
          <w:bCs/>
          <w:sz w:val="24"/>
          <w:szCs w:val="24"/>
          <w:rFonts w:ascii="Arial" w:cs="Arial" w:eastAsia="Arial" w:hAnsi="Arial"/>
        </w:rPr>
        <w:t xml:space="preserve">Empirical strategy:</w:t>
      </w:r>
      <w:r>
        <w:rPr>
          <w:sz w:val="24"/>
          <w:szCs w:val="24"/>
          <w:rFonts w:ascii="Arial" w:cs="Arial" w:eastAsia="Arial" w:hAnsi="Arial"/>
        </w:rPr>
        <w:t xml:space="preserve"> Choose and justify the econometric method (Chapters 9-17) that addresses the identification challenges specific to the research question.</w:t>
      </w:r>
    </w:p>
    <w:p>
      <w:pPr>
        <w:spacing w:after="120"/>
      </w:pPr>
      <w:r>
        <w:rPr>
          <w:sz w:val="24"/>
          <w:szCs w:val="24"/>
          <w:rFonts w:ascii="Arial" w:cs="Arial" w:eastAsia="Arial" w:hAnsi="Arial"/>
        </w:rPr>
        <w:t xml:space="preserve">6. </w:t>
      </w:r>
      <w:r>
        <w:rPr>
          <w:b/>
          <w:bCs/>
          <w:sz w:val="24"/>
          <w:szCs w:val="24"/>
          <w:rFonts w:ascii="Arial" w:cs="Arial" w:eastAsia="Arial" w:hAnsi="Arial"/>
        </w:rPr>
        <w:t xml:space="preserve">Implementation:</w:t>
      </w:r>
      <w:r>
        <w:rPr>
          <w:sz w:val="24"/>
          <w:szCs w:val="24"/>
          <w:rFonts w:ascii="Arial" w:cs="Arial" w:eastAsia="Arial" w:hAnsi="Arial"/>
        </w:rPr>
        <w:t xml:space="preserve"> Analyze the data using computational tools (Chapters 19-26, using Julia).</w:t>
      </w:r>
    </w:p>
    <w:p>
      <w:pPr>
        <w:spacing w:after="120"/>
      </w:pPr>
      <w:r>
        <w:rPr>
          <w:sz w:val="24"/>
          <w:szCs w:val="24"/>
          <w:rFonts w:ascii="Arial" w:cs="Arial" w:eastAsia="Arial" w:hAnsi="Arial"/>
        </w:rPr>
        <w:t xml:space="preserve">7. </w:t>
      </w:r>
      <w:r>
        <w:rPr>
          <w:b/>
          <w:bCs/>
          <w:sz w:val="24"/>
          <w:szCs w:val="24"/>
          <w:rFonts w:ascii="Arial" w:cs="Arial" w:eastAsia="Arial" w:hAnsi="Arial"/>
        </w:rPr>
        <w:t xml:space="preserve">Robustness and sensitivity:</w:t>
      </w:r>
      <w:r>
        <w:rPr>
          <w:sz w:val="24"/>
          <w:szCs w:val="24"/>
          <w:rFonts w:ascii="Arial" w:cs="Arial" w:eastAsia="Arial" w:hAnsi="Arial"/>
        </w:rPr>
        <w:t xml:space="preserve"> Test the stability of findings across alternative specifications, samples, and methods.</w:t>
      </w:r>
    </w:p>
    <w:p>
      <w:pPr>
        <w:spacing w:after="120"/>
      </w:pPr>
      <w:r>
        <w:rPr>
          <w:sz w:val="24"/>
          <w:szCs w:val="24"/>
          <w:rFonts w:ascii="Arial" w:cs="Arial" w:eastAsia="Arial" w:hAnsi="Arial"/>
        </w:rPr>
        <w:t xml:space="preserve">8. </w:t>
      </w:r>
      <w:r>
        <w:rPr>
          <w:b/>
          <w:bCs/>
          <w:sz w:val="24"/>
          <w:szCs w:val="24"/>
          <w:rFonts w:ascii="Arial" w:cs="Arial" w:eastAsia="Arial" w:hAnsi="Arial"/>
        </w:rPr>
        <w:t xml:space="preserve">Policy interpretation:</w:t>
      </w:r>
      <w:r>
        <w:rPr>
          <w:sz w:val="24"/>
          <w:szCs w:val="24"/>
          <w:rFonts w:ascii="Arial" w:cs="Arial" w:eastAsia="Arial" w:hAnsi="Arial"/>
        </w:rPr>
        <w:t xml:space="preserve"> Translate the findings into actionable insights for policymakers, clinicians, or health system leaders.</w:t>
      </w:r>
    </w:p>
    <w:p>
      <w:pPr>
        <w:spacing w:after="120"/>
      </w:pPr>
      <w:r>
        <w:rPr>
          <w:sz w:val="24"/>
          <w:szCs w:val="24"/>
          <w:rFonts w:ascii="Arial" w:cs="Arial" w:eastAsia="Arial" w:hAnsi="Arial"/>
        </w:rPr>
        <w:t xml:space="preserve">This pipeline is demonstrated end-to-end in the integrated case study of Chapter 27.</w:t>
      </w:r>
    </w:p>
    <w:p>
      <w:pPr>
        <w:spacing w:after="120"/>
      </w:pPr>
      <w:r>
        <w:rPr>
          <w:sz w:val="24"/>
          <w:szCs w:val="24"/>
          <w:rFonts w:ascii="Arial" w:cs="Arial" w:eastAsia="Arial" w:hAnsi="Arial"/>
        </w:rPr>
      </w:r>
      <w:r>
        <w:rPr>
          <w:b/>
          <w:bCs/>
          <w:sz w:val="24"/>
          <w:szCs w:val="24"/>
          <w:rFonts w:ascii="Arial" w:cs="Arial" w:eastAsia="Arial" w:hAnsi="Arial"/>
        </w:rPr>
        <w:t xml:space="preserve">Table 1.1: Foundational Papers in Healthcare Economics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20"/>
                <w:szCs w:val="20"/>
                <w:rFonts w:ascii="Arial" w:cs="Arial" w:eastAsia="Arial" w:hAnsi="Arial"/>
              </w:rPr>
              <w:t xml:space="preserve">Author(s)</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20"/>
                <w:szCs w:val="20"/>
                <w:rFonts w:ascii="Arial" w:cs="Arial" w:eastAsia="Arial" w:hAnsi="Arial"/>
              </w:rPr>
              <w:t xml:space="preserve">Year</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20"/>
                <w:szCs w:val="20"/>
                <w:rFonts w:ascii="Arial" w:cs="Arial" w:eastAsia="Arial" w:hAnsi="Arial"/>
              </w:rPr>
              <w:t xml:space="preserve">Title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20"/>
                <w:szCs w:val="20"/>
                <w:rFonts w:ascii="Arial" w:cs="Arial" w:eastAsia="Arial" w:hAnsi="Arial"/>
              </w:rPr>
              <w:t xml:space="preserve">Key Contribution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Arrow</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1963</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Uncertainty and the Welfare Economics of Medical Care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Systematic enumeration of healthcare market failures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Grossman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1972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On the Concept of Health Capital and the Demand for Health</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Human capital model: health as investment and consumption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Pauly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1968</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The Economics of Moral Hazard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Welfare loss from insurance-induced overconsumption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Akerlof</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1970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The Market for "Lemons"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Information asymmetry and adverse selection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Rothschild-Stiglitz</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1976</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Equilibrium in Competitive Insurance Markets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Adverse selection equilibrium with separating contracts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Manning et 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1987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Health Insurance and the Demand for Medical Care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RAND HIE results: price elasticity of healthcare demand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Newhouse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1970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Toward a Theory of Nonprofit Institutions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Not-for-profit hospital behavior model</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McGuire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2000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Physician Agency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Comprehensive review of physician agency models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Nyman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2003</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The Theory of Demand for Health Insurance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Access value theory challenging traditional moral hazard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Einav-Finkelstein-Cullen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2010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Estimating Welfare in Insurance Markets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20"/>
                <w:szCs w:val="20"/>
                <w:rFonts w:ascii="Arial" w:cs="Arial" w:eastAsia="Arial" w:hAnsi="Arial"/>
              </w:rPr>
              <w:t xml:space="preserve">Sufficient statistics approach to adverse selection welfare</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Healthcare economics is built on a distinctive foundation: the recognition that healthcare markets deviate fundamentally and systematically from the conditions required for competitive efficiency. Arrow's 1963 analysis identified the core sources of these deviations — uncertainty, information asymmetry, externalities, and non-competitive market structures — and subsequent work by Grossman, Pauly, Akerlof, Rothschild and Stiglitz, and many others formalized these insights into rigorous economic models.</w:t>
      </w:r>
    </w:p>
    <w:p>
      <w:pPr>
        <w:spacing w:after="120"/>
      </w:pPr>
      <w:r>
        <w:rPr>
          <w:sz w:val="24"/>
          <w:szCs w:val="24"/>
          <w:rFonts w:ascii="Arial" w:cs="Arial" w:eastAsia="Arial" w:hAnsi="Arial"/>
        </w:rPr>
        <w:t xml:space="preserve">The theoretical foundations established in this chapter — the Grossman model of health demand, the taxonomy of market failures, the welfare economics framework for policy evaluation, and the economic rationale for government intervention — provide the conceptual scaffolding for the entire textbook. Chapters 2-8 build on this foundation to analyze specific healthcare markets and institutions. Chapters 9-17 develop the econometric methodology required for empirical research. Chapter 18 surveys the data infrastructure. And Chapters 19-26 implement these methods computationally in Julia, culminating in the integrated case study of Chapter 27 and the advanced topics and frontiers of Chapters 28-30.</w:t>
      </w:r>
    </w:p>
    <w:p>
      <w:pPr>
        <w:spacing w:after="120"/>
      </w:pPr>
      <w:r>
        <w:rPr>
          <w:sz w:val="24"/>
          <w:szCs w:val="24"/>
          <w:rFonts w:ascii="Arial" w:cs="Arial" w:eastAsia="Arial" w:hAnsi="Arial"/>
        </w:rPr>
        <w:t xml:space="preserve">The overarching goal of this textbook is to equip the reader with the theoretical knowledge, methodological skills, and computational tools needed to conduct rigorous, policy-relevant health economics research. The foundations laid in this chapter — understanding why healthcare markets fail, how those failures can be addressed, and what analytical tools are available for evaluating alternative interventions — are the starting point for that journey.</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Akerlof, G. A. (1970). The market for "lemons": Quality uncertainty and the market mechanism. </w:t>
      </w:r>
      <w:r>
        <w:rPr>
          <w:i/>
          <w:iCs/>
          <w:sz w:val="24"/>
          <w:szCs w:val="24"/>
          <w:rFonts w:ascii="Arial" w:cs="Arial" w:eastAsia="Arial" w:hAnsi="Arial"/>
        </w:rPr>
        <w:t xml:space="preserve">Quarterly Journal of Economics</w:t>
      </w:r>
      <w:r>
        <w:rPr>
          <w:sz w:val="24"/>
          <w:szCs w:val="24"/>
          <w:rFonts w:ascii="Arial" w:cs="Arial" w:eastAsia="Arial" w:hAnsi="Arial"/>
        </w:rPr>
        <w:t xml:space="preserve">, 84(3), 488-500.</w:t>
      </w:r>
    </w:p>
    <w:p>
      <w:pPr>
        <w:spacing w:after="120"/>
      </w:pPr>
      <w:r>
        <w:rPr>
          <w:sz w:val="24"/>
          <w:szCs w:val="24"/>
          <w:rFonts w:ascii="Arial" w:cs="Arial" w:eastAsia="Arial" w:hAnsi="Arial"/>
        </w:rPr>
        <w:t xml:space="preserve">2. Arrow, K. J. (1963). Uncertainty and the welfare economics of medical care. </w:t>
      </w:r>
      <w:r>
        <w:rPr>
          <w:i/>
          <w:iCs/>
          <w:sz w:val="24"/>
          <w:szCs w:val="24"/>
          <w:rFonts w:ascii="Arial" w:cs="Arial" w:eastAsia="Arial" w:hAnsi="Arial"/>
        </w:rPr>
        <w:t xml:space="preserve">American Economic Review</w:t>
      </w:r>
      <w:r>
        <w:rPr>
          <w:sz w:val="24"/>
          <w:szCs w:val="24"/>
          <w:rFonts w:ascii="Arial" w:cs="Arial" w:eastAsia="Arial" w:hAnsi="Arial"/>
        </w:rPr>
        <w:t xml:space="preserve">, 53(5), 941-973.</w:t>
      </w:r>
    </w:p>
    <w:p>
      <w:pPr>
        <w:spacing w:after="120"/>
      </w:pPr>
      <w:r>
        <w:rPr>
          <w:sz w:val="24"/>
          <w:szCs w:val="24"/>
          <w:rFonts w:ascii="Arial" w:cs="Arial" w:eastAsia="Arial" w:hAnsi="Arial"/>
        </w:rPr>
        <w:t xml:space="preserve">3. Cropper, M. L. (1977). Health, investment in health, and occupational choice. </w:t>
      </w:r>
      <w:r>
        <w:rPr>
          <w:i/>
          <w:iCs/>
          <w:sz w:val="24"/>
          <w:szCs w:val="24"/>
          <w:rFonts w:ascii="Arial" w:cs="Arial" w:eastAsia="Arial" w:hAnsi="Arial"/>
        </w:rPr>
        <w:t xml:space="preserve">Journal of Political Economy</w:t>
      </w:r>
      <w:r>
        <w:rPr>
          <w:sz w:val="24"/>
          <w:szCs w:val="24"/>
          <w:rFonts w:ascii="Arial" w:cs="Arial" w:eastAsia="Arial" w:hAnsi="Arial"/>
        </w:rPr>
        <w:t xml:space="preserve">, 85(6), 1273-1294.</w:t>
      </w:r>
    </w:p>
    <w:p>
      <w:pPr>
        <w:spacing w:after="120"/>
      </w:pPr>
      <w:r>
        <w:rPr>
          <w:sz w:val="24"/>
          <w:szCs w:val="24"/>
          <w:rFonts w:ascii="Arial" w:cs="Arial" w:eastAsia="Arial" w:hAnsi="Arial"/>
        </w:rPr>
        <w:t xml:space="preserve">4. Dardanoni, V., &amp; Wagstaff, A. (1987). Uncertainty, inequalities in health and the demand for health. </w:t>
      </w:r>
      <w:r>
        <w:rPr>
          <w:i/>
          <w:iCs/>
          <w:sz w:val="24"/>
          <w:szCs w:val="24"/>
          <w:rFonts w:ascii="Arial" w:cs="Arial" w:eastAsia="Arial" w:hAnsi="Arial"/>
        </w:rPr>
        <w:t xml:space="preserve">Journal of Health Economics</w:t>
      </w:r>
      <w:r>
        <w:rPr>
          <w:sz w:val="24"/>
          <w:szCs w:val="24"/>
          <w:rFonts w:ascii="Arial" w:cs="Arial" w:eastAsia="Arial" w:hAnsi="Arial"/>
        </w:rPr>
        <w:t xml:space="preserve">, 6(4), 283-290.</w:t>
      </w:r>
    </w:p>
    <w:p>
      <w:pPr>
        <w:spacing w:after="120"/>
      </w:pPr>
      <w:r>
        <w:rPr>
          <w:sz w:val="24"/>
          <w:szCs w:val="24"/>
          <w:rFonts w:ascii="Arial" w:cs="Arial" w:eastAsia="Arial" w:hAnsi="Arial"/>
        </w:rPr>
        <w:t xml:space="preserve">5. Einav, L., Finkelstein, A., &amp; Cullen, M. R. (2010). Estimating welfare in insurance markets using variation in prices. </w:t>
      </w:r>
      <w:r>
        <w:rPr>
          <w:i/>
          <w:iCs/>
          <w:sz w:val="24"/>
          <w:szCs w:val="24"/>
          <w:rFonts w:ascii="Arial" w:cs="Arial" w:eastAsia="Arial" w:hAnsi="Arial"/>
        </w:rPr>
        <w:t xml:space="preserve">Quarterly Journal of Economics</w:t>
      </w:r>
      <w:r>
        <w:rPr>
          <w:sz w:val="24"/>
          <w:szCs w:val="24"/>
          <w:rFonts w:ascii="Arial" w:cs="Arial" w:eastAsia="Arial" w:hAnsi="Arial"/>
        </w:rPr>
        <w:t xml:space="preserve">, 125(3), 877-921.</w:t>
      </w:r>
    </w:p>
    <w:p>
      <w:pPr>
        <w:spacing w:after="120"/>
      </w:pPr>
      <w:r>
        <w:rPr>
          <w:sz w:val="24"/>
          <w:szCs w:val="24"/>
          <w:rFonts w:ascii="Arial" w:cs="Arial" w:eastAsia="Arial" w:hAnsi="Arial"/>
        </w:rPr>
        <w:t xml:space="preserve">6. Gaynor, M., Ho, K., &amp; Town, R. J. (2015). The industrial organization of health-care markets. </w:t>
      </w:r>
      <w:r>
        <w:rPr>
          <w:i/>
          <w:iCs/>
          <w:sz w:val="24"/>
          <w:szCs w:val="24"/>
          <w:rFonts w:ascii="Arial" w:cs="Arial" w:eastAsia="Arial" w:hAnsi="Arial"/>
        </w:rPr>
        <w:t xml:space="preserve">Journal of Economic Literature</w:t>
      </w:r>
      <w:r>
        <w:rPr>
          <w:sz w:val="24"/>
          <w:szCs w:val="24"/>
          <w:rFonts w:ascii="Arial" w:cs="Arial" w:eastAsia="Arial" w:hAnsi="Arial"/>
        </w:rPr>
        <w:t xml:space="preserve">, 53(2), 235-284.</w:t>
      </w:r>
    </w:p>
    <w:p>
      <w:pPr>
        <w:spacing w:after="120"/>
      </w:pPr>
      <w:r>
        <w:rPr>
          <w:sz w:val="24"/>
          <w:szCs w:val="24"/>
          <w:rFonts w:ascii="Arial" w:cs="Arial" w:eastAsia="Arial" w:hAnsi="Arial"/>
        </w:rPr>
        <w:t xml:space="preserve">7. Grossman, M. (1972). On the concept of health capital and the demand for health. </w:t>
      </w:r>
      <w:r>
        <w:rPr>
          <w:i/>
          <w:iCs/>
          <w:sz w:val="24"/>
          <w:szCs w:val="24"/>
          <w:rFonts w:ascii="Arial" w:cs="Arial" w:eastAsia="Arial" w:hAnsi="Arial"/>
        </w:rPr>
        <w:t xml:space="preserve">Journal of Political Economy</w:t>
      </w:r>
      <w:r>
        <w:rPr>
          <w:sz w:val="24"/>
          <w:szCs w:val="24"/>
          <w:rFonts w:ascii="Arial" w:cs="Arial" w:eastAsia="Arial" w:hAnsi="Arial"/>
        </w:rPr>
        <w:t xml:space="preserve">, 80(2), 223-255.</w:t>
      </w:r>
    </w:p>
    <w:p>
      <w:pPr>
        <w:spacing w:after="120"/>
      </w:pPr>
      <w:r>
        <w:rPr>
          <w:sz w:val="24"/>
          <w:szCs w:val="24"/>
          <w:rFonts w:ascii="Arial" w:cs="Arial" w:eastAsia="Arial" w:hAnsi="Arial"/>
        </w:rPr>
        <w:t xml:space="preserve">8. Manning, W. G., Newhouse, J. P., Duan, N., Keeler, E. B., &amp; Leibowitz, A. (1987). Health insurance and the demand for medical care: Evidence from a randomized experiment. </w:t>
      </w:r>
      <w:r>
        <w:rPr>
          <w:i/>
          <w:iCs/>
          <w:sz w:val="24"/>
          <w:szCs w:val="24"/>
          <w:rFonts w:ascii="Arial" w:cs="Arial" w:eastAsia="Arial" w:hAnsi="Arial"/>
        </w:rPr>
        <w:t xml:space="preserve">American Economic Review</w:t>
      </w:r>
      <w:r>
        <w:rPr>
          <w:sz w:val="24"/>
          <w:szCs w:val="24"/>
          <w:rFonts w:ascii="Arial" w:cs="Arial" w:eastAsia="Arial" w:hAnsi="Arial"/>
        </w:rPr>
        <w:t xml:space="preserve">, 77(3), 251-277.</w:t>
      </w:r>
    </w:p>
    <w:p>
      <w:pPr>
        <w:spacing w:after="120"/>
      </w:pPr>
      <w:r>
        <w:rPr>
          <w:sz w:val="24"/>
          <w:szCs w:val="24"/>
          <w:rFonts w:ascii="Arial" w:cs="Arial" w:eastAsia="Arial" w:hAnsi="Arial"/>
        </w:rPr>
        <w:t xml:space="preserve">9. McGuire, T. G. (2000). Physician agency. In A. J. Culyer &amp; J. P. Newhouse (Eds.), </w:t>
      </w:r>
      <w:r>
        <w:rPr>
          <w:i/>
          <w:iCs/>
          <w:sz w:val="24"/>
          <w:szCs w:val="24"/>
          <w:rFonts w:ascii="Arial" w:cs="Arial" w:eastAsia="Arial" w:hAnsi="Arial"/>
        </w:rPr>
        <w:t xml:space="preserve">Handbook of Health Economics</w:t>
      </w:r>
      <w:r>
        <w:rPr>
          <w:sz w:val="24"/>
          <w:szCs w:val="24"/>
          <w:rFonts w:ascii="Arial" w:cs="Arial" w:eastAsia="Arial" w:hAnsi="Arial"/>
        </w:rPr>
        <w:t xml:space="preserve"> (Vol. 1A, pp. 461-536). Elsevier.</w:t>
      </w:r>
    </w:p>
    <w:p>
      <w:pPr>
        <w:spacing w:after="120"/>
      </w:pPr>
      <w:r>
        <w:rPr>
          <w:sz w:val="24"/>
          <w:szCs w:val="24"/>
          <w:rFonts w:ascii="Arial" w:cs="Arial" w:eastAsia="Arial" w:hAnsi="Arial"/>
        </w:rPr>
        <w:t xml:space="preserve">10. Newhouse, J. P. (1970). Toward a theory of nonprofit institutions: An economic model of a hospital. </w:t>
      </w:r>
      <w:r>
        <w:rPr>
          <w:i/>
          <w:iCs/>
          <w:sz w:val="24"/>
          <w:szCs w:val="24"/>
          <w:rFonts w:ascii="Arial" w:cs="Arial" w:eastAsia="Arial" w:hAnsi="Arial"/>
        </w:rPr>
        <w:t xml:space="preserve">American Economic Review</w:t>
      </w:r>
      <w:r>
        <w:rPr>
          <w:sz w:val="24"/>
          <w:szCs w:val="24"/>
          <w:rFonts w:ascii="Arial" w:cs="Arial" w:eastAsia="Arial" w:hAnsi="Arial"/>
        </w:rPr>
        <w:t xml:space="preserve">, 60(1), 64-74.</w:t>
      </w:r>
    </w:p>
    <w:p>
      <w:pPr>
        <w:spacing w:after="120"/>
      </w:pPr>
      <w:r>
        <w:rPr>
          <w:sz w:val="24"/>
          <w:szCs w:val="24"/>
          <w:rFonts w:ascii="Arial" w:cs="Arial" w:eastAsia="Arial" w:hAnsi="Arial"/>
        </w:rPr>
        <w:t xml:space="preserve">11. Nyman, J. A. (2003). </w:t>
      </w:r>
      <w:r>
        <w:rPr>
          <w:i/>
          <w:iCs/>
          <w:sz w:val="24"/>
          <w:szCs w:val="24"/>
          <w:rFonts w:ascii="Arial" w:cs="Arial" w:eastAsia="Arial" w:hAnsi="Arial"/>
        </w:rPr>
        <w:t xml:space="preserve">The Theory of Demand for Health Insurance</w:t>
      </w:r>
      <w:r>
        <w:rPr>
          <w:sz w:val="24"/>
          <w:szCs w:val="24"/>
          <w:rFonts w:ascii="Arial" w:cs="Arial" w:eastAsia="Arial" w:hAnsi="Arial"/>
        </w:rPr>
        <w:t xml:space="preserve">. Stanford University Press.</w:t>
      </w:r>
    </w:p>
    <w:p>
      <w:pPr>
        <w:spacing w:after="120"/>
      </w:pPr>
      <w:r>
        <w:rPr>
          <w:sz w:val="24"/>
          <w:szCs w:val="24"/>
          <w:rFonts w:ascii="Arial" w:cs="Arial" w:eastAsia="Arial" w:hAnsi="Arial"/>
        </w:rPr>
        <w:t xml:space="preserve">12. Pauly, M. V. (1968). The economics of moral hazard: Comment. </w:t>
      </w:r>
      <w:r>
        <w:rPr>
          <w:i/>
          <w:iCs/>
          <w:sz w:val="24"/>
          <w:szCs w:val="24"/>
          <w:rFonts w:ascii="Arial" w:cs="Arial" w:eastAsia="Arial" w:hAnsi="Arial"/>
        </w:rPr>
        <w:t xml:space="preserve">American Economic Review</w:t>
      </w:r>
      <w:r>
        <w:rPr>
          <w:sz w:val="24"/>
          <w:szCs w:val="24"/>
          <w:rFonts w:ascii="Arial" w:cs="Arial" w:eastAsia="Arial" w:hAnsi="Arial"/>
        </w:rPr>
        <w:t xml:space="preserve">, 58(3), 531-537.</w:t>
      </w:r>
    </w:p>
    <w:p>
      <w:pPr>
        <w:spacing w:after="120"/>
      </w:pPr>
      <w:r>
        <w:rPr>
          <w:sz w:val="24"/>
          <w:szCs w:val="24"/>
          <w:rFonts w:ascii="Arial" w:cs="Arial" w:eastAsia="Arial" w:hAnsi="Arial"/>
        </w:rPr>
        <w:t xml:space="preserve">13. Rothschild, M., &amp; Stiglitz, J. (1976). Equilibrium in competitive insurance markets: An essay on the economics of imperfect information. </w:t>
      </w:r>
      <w:r>
        <w:rPr>
          <w:i/>
          <w:iCs/>
          <w:sz w:val="24"/>
          <w:szCs w:val="24"/>
          <w:rFonts w:ascii="Arial" w:cs="Arial" w:eastAsia="Arial" w:hAnsi="Arial"/>
        </w:rPr>
        <w:t xml:space="preserve">Quarterly Journal of Economics</w:t>
      </w:r>
      <w:r>
        <w:rPr>
          <w:sz w:val="24"/>
          <w:szCs w:val="24"/>
          <w:rFonts w:ascii="Arial" w:cs="Arial" w:eastAsia="Arial" w:hAnsi="Arial"/>
        </w:rPr>
        <w:t xml:space="preserve">, 90(4), 629-649.</w:t>
      </w:r>
    </w:p>
    <w:p>
      <w:pPr>
        <w:spacing w:after="120"/>
      </w:pPr>
      <w:r>
        <w:rPr>
          <w:sz w:val="24"/>
          <w:szCs w:val="24"/>
          <w:rFonts w:ascii="Arial" w:cs="Arial" w:eastAsia="Arial" w:hAnsi="Arial"/>
        </w:rPr>
        <w:t xml:space="preserve">14. Wennberg, J. E. (2010). </w:t>
      </w:r>
      <w:r>
        <w:rPr>
          <w:i/>
          <w:iCs/>
          <w:sz w:val="24"/>
          <w:szCs w:val="24"/>
          <w:rFonts w:ascii="Arial" w:cs="Arial" w:eastAsia="Arial" w:hAnsi="Arial"/>
        </w:rPr>
        <w:t xml:space="preserve">Tracking Medicine: A Researcher's Quest to Understand Health Care</w:t>
      </w:r>
      <w:r>
        <w:rPr>
          <w:sz w:val="24"/>
          <w:szCs w:val="24"/>
          <w:rFonts w:ascii="Arial" w:cs="Arial" w:eastAsia="Arial" w:hAnsi="Arial"/>
        </w:rPr>
        <w:t xml:space="preserve">. Oxford University Press.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Healthcare Economics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sz w:val="36"/>
      <w:szCs w:val="36"/>
      <w:rFonts w:ascii="Arial" w:cs="Arial" w:eastAsia="Arial" w:hAnsi="Arial"/>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2026-04-13T14:50:43.023Z</dcterms:created>
  <dcterms:modified xsi:type="dcterms:W3CDTF">2026-04-13T14:50:43.024Z</dcterms:modified>
</cp:coreProperties>
</file>

<file path=docProps/custom.xml><?xml version="1.0" encoding="utf-8"?>
<Properties xmlns="http://schemas.openxmlformats.org/officeDocument/2006/custom-properties" xmlns:vt="http://schemas.openxmlformats.org/officeDocument/2006/docPropsVTypes"/>
</file>