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20</w:t>
      </w:r>
    </w:p>
    <w:p>
      <w:pPr>
        <w:jc w:val="center"/>
      </w:pPr>
      <w:r>
        <w:rPr>
          <w:i/>
          <w:iCs/>
          <w:sz w:val="32"/>
          <w:szCs w:val="32"/>
          <w:rFonts w:ascii="Arial" w:cs="Arial" w:eastAsia="Arial" w:hAnsi="Arial"/>
        </w:rPr>
        <w:t xml:space="preserve">Data Management and Wrangling for Healthcare Data in Julia</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Data management consumes 60-80% of a health economist's research time. Loading multi-gigabyte claims files, cleaning diagnosis codes, merging claims to enrollment data, constructing episode-level summaries from claim-level records, implementing comorbidity algorithms, and validating data quality all require efficient, reproducible data management tools. This chapter covers the Julia ecosystem for healthcare data wrangling, providing production-ready patterns for every common operation.</w:t>
      </w:r>
    </w:p>
    <w:p>
      <w:pPr>
        <w:pStyle w:val="Heading2"/>
        <w:spacing w:before="300" w:after="150"/>
      </w:pPr>
      <w:r>
        <w:rPr>
          <w:b/>
          <w:bCs/>
          <w:sz w:val="30"/>
          <w:szCs w:val="30"/>
          <w:rFonts w:ascii="Arial" w:cs="Arial" w:eastAsia="Arial" w:hAnsi="Arial"/>
        </w:rPr>
        <w:t xml:space="preserve">DataFrames.jl Fundamentals</w:t>
      </w:r>
    </w:p>
    <w:p>
      <w:pPr>
        <w:spacing w:after="120"/>
      </w:pPr>
      <w:r>
        <w:rPr>
          <w:sz w:val="24"/>
          <w:szCs w:val="24"/>
          <w:rFonts w:ascii="Arial" w:cs="Arial" w:eastAsia="Arial" w:hAnsi="Arial"/>
        </w:rPr>
        <w:t xml:space="preserve">DataFrames.jl provides the core tabular data structure. Creating DataFrames, selecting columns (select), filtering rows (subset or filter), transforming columns (transform), sorting (sort), and grouping with aggregation (groupby + combine) follow a consistent API. The DataFramesMeta.jl package provides macro-based syntax (@select, @transform, @subset, @orderby, @combine) that is concise and readable.</w:t>
      </w:r>
    </w:p>
    <w:p>
      <w:pPr>
        <w:pStyle w:val="Heading2"/>
        <w:spacing w:before="300" w:after="150"/>
      </w:pPr>
      <w:r>
        <w:rPr>
          <w:b/>
          <w:bCs/>
          <w:sz w:val="30"/>
          <w:szCs w:val="30"/>
          <w:rFonts w:ascii="Arial" w:cs="Arial" w:eastAsia="Arial" w:hAnsi="Arial"/>
        </w:rPr>
        <w:t xml:space="preserve">Reading Healthcare Data</w:t>
      </w:r>
    </w:p>
    <w:p>
      <w:pPr>
        <w:spacing w:after="120"/>
      </w:pPr>
      <w:r>
        <w:rPr>
          <w:sz w:val="24"/>
          <w:szCs w:val="24"/>
          <w:rFonts w:ascii="Arial" w:cs="Arial" w:eastAsia="Arial" w:hAnsi="Arial"/>
        </w:rPr>
        <w:t xml:space="preserve">CSV.jl reads delimited files with automatic type inference, chunked reading for large files (useful for multi-gigabyte Medicare claims), and configurable parsing options. Arrow.jl provides columnar storage format that is ideal for large claims datasets — reading is 10-50x faster than CSV for large files, and the format supports memory-mapped access for datasets larger than available RAM. XLSX.jl handles spreadsheet input. SASLib.jl reads SAS transport files commonly used in government data distributions.</w:t>
      </w:r>
    </w:p>
    <w:p>
      <w:pPr>
        <w:pStyle w:val="Heading2"/>
        <w:spacing w:before="300" w:after="150"/>
      </w:pPr>
      <w:r>
        <w:rPr>
          <w:b/>
          <w:bCs/>
          <w:sz w:val="30"/>
          <w:szCs w:val="30"/>
          <w:rFonts w:ascii="Arial" w:cs="Arial" w:eastAsia="Arial" w:hAnsi="Arial"/>
        </w:rPr>
        <w:t xml:space="preserve">Data Cleaning Operations</w:t>
      </w:r>
    </w:p>
    <w:p>
      <w:pPr>
        <w:spacing w:after="120"/>
      </w:pPr>
      <w:r>
        <w:rPr>
          <w:sz w:val="24"/>
          <w:szCs w:val="24"/>
          <w:rFonts w:ascii="Arial" w:cs="Arial" w:eastAsia="Arial" w:hAnsi="Arial"/>
        </w:rPr>
        <w:t xml:space="preserve">Healthcare data cleaning includes handling missing values (Julia's missing type with skipmissing and coalesce), ICD code parsing (string operations for extracting code hierarchies, mapping ICD-9 to ICD-10 crosswalks), date calculations (the Dates standard library for computing intervals between claims, identifying index dates, calculating lookback windows), and type conversion for medical code fields.</w:t>
      </w:r>
    </w:p>
    <w:p>
      <w:pPr>
        <w:pStyle w:val="Heading2"/>
        <w:spacing w:before="300" w:after="150"/>
      </w:pPr>
      <w:r>
        <w:rPr>
          <w:b/>
          <w:bCs/>
          <w:sz w:val="30"/>
          <w:szCs w:val="30"/>
          <w:rFonts w:ascii="Arial" w:cs="Arial" w:eastAsia="Arial" w:hAnsi="Arial"/>
        </w:rPr>
        <w:t xml:space="preserve">Merging and Joining</w:t>
      </w:r>
    </w:p>
    <w:p>
      <w:pPr>
        <w:spacing w:after="120"/>
      </w:pPr>
      <w:r>
        <w:rPr>
          <w:sz w:val="24"/>
          <w:szCs w:val="24"/>
          <w:rFonts w:ascii="Arial" w:cs="Arial" w:eastAsia="Arial" w:hAnsi="Arial"/>
        </w:rPr>
        <w:t xml:space="preserve">Joining claims to enrollment files, linking provider data to facility characteristics, and performing geographic crosswalks (ZIP to ZCTA, county FIPS matching) are implemented through innerjoin, leftjoin, rightjoin, outerjoin, semijoin, and antijoin. Performance considerations for large-scale joins include pre-sorting join keys, using CategoricalArrays for high-cardinality string columns, and leveraging Arrow's columnar format for memory efficiency.</w:t>
      </w:r>
    </w:p>
    <w:p>
      <w:pPr>
        <w:pStyle w:val="Heading2"/>
        <w:spacing w:before="300" w:after="150"/>
      </w:pPr>
      <w:r>
        <w:rPr>
          <w:b/>
          <w:bCs/>
          <w:sz w:val="30"/>
          <w:szCs w:val="30"/>
          <w:rFonts w:ascii="Arial" w:cs="Arial" w:eastAsia="Arial" w:hAnsi="Arial"/>
        </w:rPr>
        <w:t xml:space="preserve">Implementing Comorbidity Algorithms</w:t>
      </w:r>
    </w:p>
    <w:p>
      <w:pPr>
        <w:spacing w:after="120"/>
      </w:pPr>
      <w:r>
        <w:rPr>
          <w:sz w:val="24"/>
          <w:szCs w:val="24"/>
          <w:rFonts w:ascii="Arial" w:cs="Arial" w:eastAsia="Arial" w:hAnsi="Arial"/>
        </w:rPr>
        <w:t xml:space="preserve">The Elixhauser and Charlson comorbidity indices are implemented by mapping ICD-10-CM codes from the lookback period to comorbidity categories. The implementation involves reading the ICD-to-comorbidity mapping table, joining it to the claims data, aggregating to the patient level, and creating binary indicators for each comorbidity category.</w:t>
      </w:r>
    </w:p>
    <w:p>
      <w:pPr>
        <w:pStyle w:val="Heading2"/>
        <w:spacing w:before="300" w:after="150"/>
      </w:pPr>
      <w:r>
        <w:rPr>
          <w:b/>
          <w:bCs/>
          <w:sz w:val="30"/>
          <w:szCs w:val="30"/>
          <w:rFonts w:ascii="Arial" w:cs="Arial" w:eastAsia="Arial" w:hAnsi="Arial"/>
        </w:rPr>
        <w:t xml:space="preserve">Large Dataset Strategies</w:t>
      </w:r>
    </w:p>
    <w:p>
      <w:pPr>
        <w:spacing w:after="120"/>
      </w:pPr>
      <w:r>
        <w:rPr>
          <w:sz w:val="24"/>
          <w:szCs w:val="24"/>
          <w:rFonts w:ascii="Arial" w:cs="Arial" w:eastAsia="Arial" w:hAnsi="Arial"/>
        </w:rPr>
        <w:t xml:space="preserve">For datasets exceeding available memory: Arrow.jl with memory-mapped access, database integration via LibPQ.jl (PostgreSQL) or SQLite.jl, streaming/chunked processing patterns, and Julia's built-in threading for parallel data processing.</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Bouchet-Valat, M., &amp; Kamiński, B. (2023). DataFrames.jl documentation. https://dataframes.juliadata.org</w:t>
      </w:r>
    </w:p>
    <w:p>
      <w:pPr>
        <w:spacing w:after="120"/>
      </w:pPr>
      <w:r>
        <w:rPr>
          <w:sz w:val="24"/>
          <w:szCs w:val="24"/>
          <w:rFonts w:ascii="Arial" w:cs="Arial" w:eastAsia="Arial" w:hAnsi="Arial"/>
        </w:rPr>
        <w:t xml:space="preserve">2. Apache Arrow Julia documentation. https://arrow.juliadata.org</w:t>
      </w:r>
    </w:p>
    <w:p>
      <w:pPr>
        <w:spacing w:after="120"/>
      </w:pPr>
      <w:r>
        <w:rPr>
          <w:sz w:val="24"/>
          <w:szCs w:val="24"/>
          <w:rFonts w:ascii="Arial" w:cs="Arial" w:eastAsia="Arial" w:hAnsi="Arial"/>
        </w:rPr>
        <w:t xml:space="preserve">3. Elixhauser, A., et al. (1998). Comorbidity measures for use with administrative data. </w:t>
      </w:r>
      <w:r>
        <w:rPr>
          <w:i/>
          <w:iCs/>
          <w:sz w:val="24"/>
          <w:szCs w:val="24"/>
          <w:rFonts w:ascii="Arial" w:cs="Arial" w:eastAsia="Arial" w:hAnsi="Arial"/>
        </w:rPr>
        <w:t xml:space="preserve">Medical Care</w:t>
      </w:r>
      <w:r>
        <w:rPr>
          <w:sz w:val="24"/>
          <w:szCs w:val="24"/>
          <w:rFonts w:ascii="Arial" w:cs="Arial" w:eastAsia="Arial" w:hAnsi="Arial"/>
        </w:rPr>
        <w:t xml:space="preserve">, 36(1), 8-27.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20: Data Management and Wrangling for Health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2026-04-15T22:36:02.787Z</dcterms:created>
  <dcterms:modified xsi:type="dcterms:W3CDTF">2026-04-15T22:36:02.787Z</dcterms:modified>
</cp:coreProperties>
</file>

<file path=docProps/custom.xml><?xml version="1.0" encoding="utf-8"?>
<Properties xmlns="http://schemas.openxmlformats.org/officeDocument/2006/custom-properties" xmlns:vt="http://schemas.openxmlformats.org/officeDocument/2006/docPropsVTypes"/>
</file>