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24</w:t>
      </w:r>
    </w:p>
    <w:p>
      <w:pPr>
        <w:jc w:val="center"/>
      </w:pPr>
      <w:r>
        <w:rPr>
          <w:i/>
          <w:iCs/>
          <w:sz w:val="32"/>
          <w:szCs w:val="32"/>
          <w:rFonts w:ascii="Arial" w:cs="Arial" w:eastAsia="Arial" w:hAnsi="Arial"/>
        </w:rPr>
        <w:t xml:space="preserve">Machine Learning Implementation in Julia for Health Economics</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This chapter implements the machine learning methods from Chapter 16 in Julia using the MLJ.jl ecosystem, EvoTrees.jl for gradient boosting, and custom implementations for causal forests and double/debiased machine learning. Every method is illustrated with healthcare-relevant examples using simulated claims data.</w:t>
      </w:r>
    </w:p>
    <w:p>
      <w:pPr>
        <w:pStyle w:val="Heading2"/>
        <w:spacing w:before="300" w:after="150"/>
      </w:pPr>
      <w:r>
        <w:rPr>
          <w:b/>
          <w:bCs/>
          <w:sz w:val="30"/>
          <w:szCs w:val="30"/>
          <w:rFonts w:ascii="Arial" w:cs="Arial" w:eastAsia="Arial" w:hAnsi="Arial"/>
        </w:rPr>
        <w:t xml:space="preserve">The MLJ.jl Ecosystem</w:t>
      </w:r>
    </w:p>
    <w:p>
      <w:pPr>
        <w:spacing w:after="120"/>
      </w:pPr>
      <w:r>
        <w:rPr>
          <w:sz w:val="24"/>
          <w:szCs w:val="24"/>
          <w:rFonts w:ascii="Arial" w:cs="Arial" w:eastAsia="Arial" w:hAnsi="Arial"/>
        </w:rPr>
        <w:t xml:space="preserve">MLJ.jl provides a unified interface for machine learning in Julia, with a model registry, standardized fit/predict API, pipeline composition, hyperparameter tuning, and cross-validation. Scientific types (Continuous, Count, Multiclass, OrderedFactor) enable automatic preprocessing. The workflow: load model → wrap in machine → fit → predict → evaluate.</w:t>
      </w:r>
    </w:p>
    <w:p>
      <w:pPr>
        <w:pStyle w:val="Heading2"/>
        <w:spacing w:before="300" w:after="150"/>
      </w:pPr>
      <w:r>
        <w:rPr>
          <w:b/>
          <w:bCs/>
          <w:sz w:val="30"/>
          <w:szCs w:val="30"/>
          <w:rFonts w:ascii="Arial" w:cs="Arial" w:eastAsia="Arial" w:hAnsi="Arial"/>
        </w:rPr>
        <w:t xml:space="preserve">Data Preprocessing for Healthcare Claims</w:t>
      </w:r>
    </w:p>
    <w:p>
      <w:pPr>
        <w:spacing w:after="120"/>
      </w:pPr>
      <w:r>
        <w:rPr>
          <w:sz w:val="24"/>
          <w:szCs w:val="24"/>
          <w:rFonts w:ascii="Arial" w:cs="Arial" w:eastAsia="Arial" w:hAnsi="Arial"/>
        </w:rPr>
        <w:t xml:space="preserve">Feature engineering from claims data: one-hot encoding of categorical variables (CategoricalArrays.jl), creating comorbidity indicators from ICD code lists, computing utilization summary statistics from claim-level data, handling missing values (imputation or indicator variables), and creating temporal features (months since enrollment, seasonal indicators). Train/test splitting with temporal ordering (no future leakage — use data before a cutoff for training, after for testing).</w:t>
      </w:r>
    </w:p>
    <w:p>
      <w:pPr>
        <w:pStyle w:val="Heading2"/>
        <w:spacing w:before="300" w:after="150"/>
      </w:pPr>
      <w:r>
        <w:rPr>
          <w:b/>
          <w:bCs/>
          <w:sz w:val="30"/>
          <w:szCs w:val="30"/>
          <w:rFonts w:ascii="Arial" w:cs="Arial" w:eastAsia="Arial" w:hAnsi="Arial"/>
        </w:rPr>
        <w:t xml:space="preserve">Regularized Regression</w:t>
      </w:r>
    </w:p>
    <w:p>
      <w:pPr>
        <w:spacing w:after="120"/>
      </w:pPr>
      <w:r>
        <w:rPr>
          <w:sz w:val="24"/>
          <w:szCs w:val="24"/>
          <w:rFonts w:ascii="Arial" w:cs="Arial" w:eastAsia="Arial" w:hAnsi="Arial"/>
        </w:rPr>
        <w:t xml:space="preserve">LASSO, Ridge, and Elastic Net via MLJ.jl: model = LassoRegressor(lambda=0.1). Hyperparameter tuning with cross-validation: tuned_model = TunedModel(model, tuning=Grid(), range=r, measure=rmse). Application to healthcare cost prediction with thousands of diagnosis code indicators.</w:t>
      </w:r>
    </w:p>
    <w:p>
      <w:pPr>
        <w:pStyle w:val="Heading2"/>
        <w:spacing w:before="300" w:after="150"/>
      </w:pPr>
      <w:r>
        <w:rPr>
          <w:b/>
          <w:bCs/>
          <w:sz w:val="30"/>
          <w:szCs w:val="30"/>
          <w:rFonts w:ascii="Arial" w:cs="Arial" w:eastAsia="Arial" w:hAnsi="Arial"/>
        </w:rPr>
        <w:t xml:space="preserve">Tree-Based Methods</w:t>
      </w:r>
    </w:p>
    <w:p>
      <w:pPr>
        <w:spacing w:after="120"/>
      </w:pPr>
      <w:r>
        <w:rPr>
          <w:sz w:val="24"/>
          <w:szCs w:val="24"/>
          <w:rFonts w:ascii="Arial" w:cs="Arial" w:eastAsia="Arial" w:hAnsi="Arial"/>
        </w:rPr>
        <w:t xml:space="preserve">Random forests via MLJ.jl: RandomForestRegressor(n_trees=500, max_depth=10). Gradient boosting via EvoTrees.jl: EvoTreeRegressor(nrounds=500, eta=0.05, max_depth=6). Feature importance via permutation importance. Partial dependence plots for interpreting the effect of individual features. SHAP values for model interpretation (ShapML.jl).</w:t>
      </w:r>
    </w:p>
    <w:p>
      <w:pPr>
        <w:pStyle w:val="Heading2"/>
        <w:spacing w:before="300" w:after="150"/>
      </w:pPr>
      <w:r>
        <w:rPr>
          <w:b/>
          <w:bCs/>
          <w:sz w:val="30"/>
          <w:szCs w:val="30"/>
          <w:rFonts w:ascii="Arial" w:cs="Arial" w:eastAsia="Arial" w:hAnsi="Arial"/>
        </w:rPr>
        <w:t xml:space="preserve">Causal Forests</w:t>
      </w:r>
    </w:p>
    <w:p>
      <w:pPr>
        <w:spacing w:after="120"/>
      </w:pPr>
      <w:r>
        <w:rPr>
          <w:sz w:val="24"/>
          <w:szCs w:val="24"/>
          <w:rFonts w:ascii="Arial" w:cs="Arial" w:eastAsia="Arial" w:hAnsi="Arial"/>
        </w:rPr>
        <w:t xml:space="preserve">Custom GRF implementation for heterogeneous treatment effect estimation: honest splitting (separate estimation and splitting samples), treatment effect as the splitting criterion, and confidence intervals for individual-level CATE estimates. Application to identifying which patients benefit most from a treatment intervention — enabling targeted treatment assignment.</w:t>
      </w:r>
    </w:p>
    <w:p>
      <w:pPr>
        <w:pStyle w:val="Heading2"/>
        <w:spacing w:before="300" w:after="150"/>
      </w:pPr>
      <w:r>
        <w:rPr>
          <w:b/>
          <w:bCs/>
          <w:sz w:val="30"/>
          <w:szCs w:val="30"/>
          <w:rFonts w:ascii="Arial" w:cs="Arial" w:eastAsia="Arial" w:hAnsi="Arial"/>
        </w:rPr>
        <w:t xml:space="preserve">Double/Debiased Machine Learning</w:t>
      </w:r>
    </w:p>
    <w:p>
      <w:pPr>
        <w:spacing w:after="120"/>
      </w:pPr>
      <w:r>
        <w:rPr>
          <w:sz w:val="24"/>
          <w:szCs w:val="24"/>
          <w:rFonts w:ascii="Arial" w:cs="Arial" w:eastAsia="Arial" w:hAnsi="Arial"/>
        </w:rPr>
        <w:t xml:space="preserve">DML implementation following Chernozhukov et al. (2018): cross-fitting with K=5 folds, ML estimation of nuisance functions (outcome model and treatment model) using any MLJ.jl learner, residualization, and OLS on residuals for valid causal inference on the treatment parameter. Standard errors account for the cross-fitting procedure.</w:t>
      </w:r>
    </w:p>
    <w:p>
      <w:pPr>
        <w:pStyle w:val="Heading2"/>
        <w:spacing w:before="300" w:after="150"/>
      </w:pPr>
      <w:r>
        <w:rPr>
          <w:b/>
          <w:bCs/>
          <w:sz w:val="30"/>
          <w:szCs w:val="30"/>
          <w:rFonts w:ascii="Arial" w:cs="Arial" w:eastAsia="Arial" w:hAnsi="Arial"/>
        </w:rPr>
        <w:t xml:space="preserve">Model Evaluation</w:t>
      </w:r>
    </w:p>
    <w:p>
      <w:pPr>
        <w:spacing w:after="120"/>
      </w:pPr>
      <w:r>
        <w:rPr>
          <w:sz w:val="24"/>
          <w:szCs w:val="24"/>
          <w:rFonts w:ascii="Arial" w:cs="Arial" w:eastAsia="Arial" w:hAnsi="Arial"/>
        </w:rPr>
        <w:t xml:space="preserve">ROC curves, calibration plots, Brier scores for binary outcomes. Net benefit and decision curve analysis for clinical prediction models. Discrimination (C-statistic) vs. calibration — a well-calibrated model with modest discrimination may be more useful than a highly discriminating but miscalibrated model.</w:t>
      </w:r>
    </w:p>
    <w:p>
      <w:pPr>
        <w:pStyle w:val="Heading2"/>
        <w:spacing w:before="300" w:after="150"/>
      </w:pPr>
      <w:r>
        <w:rPr>
          <w:b/>
          <w:bCs/>
          <w:sz w:val="30"/>
          <w:szCs w:val="30"/>
          <w:rFonts w:ascii="Arial" w:cs="Arial" w:eastAsia="Arial" w:hAnsi="Arial"/>
        </w:rPr>
        <w:t xml:space="preserve">Fairness Auditing</w:t>
      </w:r>
    </w:p>
    <w:p>
      <w:pPr>
        <w:spacing w:after="120"/>
      </w:pPr>
      <w:r>
        <w:rPr>
          <w:sz w:val="24"/>
          <w:szCs w:val="24"/>
          <w:rFonts w:ascii="Arial" w:cs="Arial" w:eastAsia="Arial" w:hAnsi="Arial"/>
        </w:rPr>
        <w:t xml:space="preserve">Implementing algorithmic fairness metrics: equalized odds (equal true positive and false positive rates across demographic groups), calibration by group (predicted probabilities match observed rates within each group), and disparate impact ratio. Application: replicating the Obermeyer et al. (2019) analysis showing racial bias in healthcare cost-based risk prediction.</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Blaom, A. D., et al. (2020). MLJ: A Julia package for composable machine learning. </w:t>
      </w:r>
      <w:r>
        <w:rPr>
          <w:i/>
          <w:iCs/>
          <w:sz w:val="24"/>
          <w:szCs w:val="24"/>
          <w:rFonts w:ascii="Arial" w:cs="Arial" w:eastAsia="Arial" w:hAnsi="Arial"/>
        </w:rPr>
        <w:t xml:space="preserve">JOSS</w:t>
      </w:r>
      <w:r>
        <w:rPr>
          <w:sz w:val="24"/>
          <w:szCs w:val="24"/>
          <w:rFonts w:ascii="Arial" w:cs="Arial" w:eastAsia="Arial" w:hAnsi="Arial"/>
        </w:rPr>
        <w:t xml:space="preserve">, 5(55), 2704.</w:t>
      </w:r>
    </w:p>
    <w:p>
      <w:pPr>
        <w:spacing w:after="120"/>
      </w:pPr>
      <w:r>
        <w:rPr>
          <w:sz w:val="24"/>
          <w:szCs w:val="24"/>
          <w:rFonts w:ascii="Arial" w:cs="Arial" w:eastAsia="Arial" w:hAnsi="Arial"/>
        </w:rPr>
        <w:t xml:space="preserve">2. EvoTrees.jl documentation. https://github.com/Evovest/EvoTrees.jl</w:t>
      </w:r>
    </w:p>
    <w:p>
      <w:pPr>
        <w:spacing w:after="120"/>
      </w:pPr>
      <w:r>
        <w:rPr>
          <w:sz w:val="24"/>
          <w:szCs w:val="24"/>
          <w:rFonts w:ascii="Arial" w:cs="Arial" w:eastAsia="Arial" w:hAnsi="Arial"/>
        </w:rPr>
        <w:t xml:space="preserve">3. Athey, S., &amp; Imbens, G. W. (2016). Recursive partitioning for heterogeneous causal effects. </w:t>
      </w:r>
      <w:r>
        <w:rPr>
          <w:i/>
          <w:iCs/>
          <w:sz w:val="24"/>
          <w:szCs w:val="24"/>
          <w:rFonts w:ascii="Arial" w:cs="Arial" w:eastAsia="Arial" w:hAnsi="Arial"/>
        </w:rPr>
        <w:t xml:space="preserve">PNAS</w:t>
      </w:r>
      <w:r>
        <w:rPr>
          <w:sz w:val="24"/>
          <w:szCs w:val="24"/>
          <w:rFonts w:ascii="Arial" w:cs="Arial" w:eastAsia="Arial" w:hAnsi="Arial"/>
        </w:rPr>
        <w:t xml:space="preserve">, 113(27), 7353-7360.</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24: Machine Learning Implementation in Julia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2026-04-15T22:36:02.878Z</dcterms:created>
  <dcterms:modified xsi:type="dcterms:W3CDTF">2026-04-15T22:36:02.878Z</dcterms:modified>
</cp:coreProperties>
</file>

<file path=docProps/custom.xml><?xml version="1.0" encoding="utf-8"?>
<Properties xmlns="http://schemas.openxmlformats.org/officeDocument/2006/custom-properties" xmlns:vt="http://schemas.openxmlformats.org/officeDocument/2006/docPropsVTypes"/>
</file>