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25</w:t>
      </w:r>
    </w:p>
    <w:p>
      <w:pPr>
        <w:jc w:val="center"/>
      </w:pPr>
      <w:r>
        <w:rPr>
          <w:i/>
          <w:iCs/>
          <w:sz w:val="32"/>
          <w:szCs w:val="32"/>
          <w:rFonts w:ascii="Arial" w:cs="Arial" w:eastAsia="Arial" w:hAnsi="Arial"/>
        </w:rPr>
        <w:t xml:space="preserve">Data Visualization and Scientific Communication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Publication-quality visualization is essential for communicating health economics research findings. This chapter covers the Julia visualization ecosystem and provides templates for every figure type used in health economics publications: regression coefficient plots, event study plots, RD plots, cost-effectiveness planes, CEACs, geographic maps, and formatted regression tables.</w:t>
      </w:r>
    </w:p>
    <w:p>
      <w:pPr>
        <w:pStyle w:val="Heading2"/>
        <w:spacing w:before="300" w:after="150"/>
      </w:pPr>
      <w:r>
        <w:rPr>
          <w:b/>
          <w:bCs/>
          <w:sz w:val="30"/>
          <w:szCs w:val="30"/>
          <w:rFonts w:ascii="Arial" w:cs="Arial" w:eastAsia="Arial" w:hAnsi="Arial"/>
        </w:rPr>
        <w:t xml:space="preserve">The Julia Visualization Ecosystem</w:t>
      </w:r>
    </w:p>
    <w:p>
      <w:pPr>
        <w:spacing w:after="120"/>
      </w:pPr>
      <w:r>
        <w:rPr>
          <w:sz w:val="24"/>
          <w:szCs w:val="24"/>
          <w:rFonts w:ascii="Arial" w:cs="Arial" w:eastAsia="Arial" w:hAnsi="Arial"/>
        </w:rPr>
        <w:t xml:space="preserve">Plots.jl provides a backend-agnostic recipe system — write code once, render with GR, Plotly, or PGFPlots. Makie.jl (CairoMakie for publication, WGLMakie for interactive) is the most powerful and customizable option. AlgebraOfGraphics.jl provides a grammar of graphics layer on top of Makie, analogous to R's ggplot2.</w:t>
      </w:r>
    </w:p>
    <w:p>
      <w:pPr>
        <w:pStyle w:val="Heading2"/>
        <w:spacing w:before="300" w:after="150"/>
      </w:pPr>
      <w:r>
        <w:rPr>
          <w:b/>
          <w:bCs/>
          <w:sz w:val="30"/>
          <w:szCs w:val="30"/>
          <w:rFonts w:ascii="Arial" w:cs="Arial" w:eastAsia="Arial" w:hAnsi="Arial"/>
        </w:rPr>
        <w:t xml:space="preserve">Exploratory Data Analysis</w:t>
      </w:r>
    </w:p>
    <w:p>
      <w:pPr>
        <w:spacing w:after="120"/>
      </w:pPr>
      <w:r>
        <w:rPr>
          <w:sz w:val="24"/>
          <w:szCs w:val="24"/>
          <w:rFonts w:ascii="Arial" w:cs="Arial" w:eastAsia="Arial" w:hAnsi="Arial"/>
        </w:rPr>
        <w:t xml:space="preserve">Histograms and kernel density plots for healthcare cost distributions (illustrating right skewness and the need for GLM/log transformation). Box plots for comparing utilization across insurance types. Scatter plots with fit lines for continuous relationships. Time series plots for spending trends.</w:t>
      </w:r>
    </w:p>
    <w:p>
      <w:pPr>
        <w:pStyle w:val="Heading2"/>
        <w:spacing w:before="300" w:after="150"/>
      </w:pPr>
      <w:r>
        <w:rPr>
          <w:b/>
          <w:bCs/>
          <w:sz w:val="30"/>
          <w:szCs w:val="30"/>
          <w:rFonts w:ascii="Arial" w:cs="Arial" w:eastAsia="Arial" w:hAnsi="Arial"/>
        </w:rPr>
        <w:t xml:space="preserve">Regression Result Visualization</w:t>
      </w:r>
    </w:p>
    <w:p>
      <w:pPr>
        <w:spacing w:after="120"/>
      </w:pPr>
      <w:r>
        <w:rPr>
          <w:sz w:val="24"/>
          <w:szCs w:val="24"/>
          <w:rFonts w:ascii="Arial" w:cs="Arial" w:eastAsia="Arial" w:hAnsi="Arial"/>
        </w:rPr>
        <w:t xml:space="preserve">Coefficient plots with confidence intervals — the standard format for presenting regression results in health economics journals. Implementation: extract coefficients and CIs from the regression output, sort by magnitude or logical grouping, and plot with horizontal error bars. Marginal effects plots showing how predicted probabilities or conditional means change across covariate values.</w:t>
      </w:r>
    </w:p>
    <w:p>
      <w:pPr>
        <w:pStyle w:val="Heading2"/>
        <w:spacing w:before="300" w:after="150"/>
      </w:pPr>
      <w:r>
        <w:rPr>
          <w:b/>
          <w:bCs/>
          <w:sz w:val="30"/>
          <w:szCs w:val="30"/>
          <w:rFonts w:ascii="Arial" w:cs="Arial" w:eastAsia="Arial" w:hAnsi="Arial"/>
        </w:rPr>
        <w:t xml:space="preserve">Causal Inference Visualization</w:t>
      </w:r>
    </w:p>
    <w:p>
      <w:pPr>
        <w:spacing w:after="120"/>
      </w:pPr>
      <w:r>
        <w:rPr>
          <w:sz w:val="24"/>
          <w:szCs w:val="24"/>
          <w:rFonts w:ascii="Arial" w:cs="Arial" w:eastAsia="Arial" w:hAnsi="Arial"/>
        </w:rPr>
        <w:t xml:space="preserve">Event study plots: pre-treatment and post-treatment period-specific coefficients with 95% confidence intervals, reference period at t=-1. The visual test for parallel trends (pre-treatment coefficients near zero) and the dynamic treatment effect trajectory. RD plots: binned scatter plots with local linear fits on each side of the cutoff, showing the discontinuity.</w:t>
      </w:r>
    </w:p>
    <w:p>
      <w:pPr>
        <w:pStyle w:val="Heading2"/>
        <w:spacing w:before="300" w:after="150"/>
      </w:pPr>
      <w:r>
        <w:rPr>
          <w:b/>
          <w:bCs/>
          <w:sz w:val="30"/>
          <w:szCs w:val="30"/>
          <w:rFonts w:ascii="Arial" w:cs="Arial" w:eastAsia="Arial" w:hAnsi="Arial"/>
        </w:rPr>
        <w:t xml:space="preserve">Cost-Effectiveness Visualization</w:t>
      </w:r>
    </w:p>
    <w:p>
      <w:pPr>
        <w:spacing w:after="120"/>
      </w:pPr>
      <w:r>
        <w:rPr>
          <w:sz w:val="24"/>
          <w:szCs w:val="24"/>
          <w:rFonts w:ascii="Arial" w:cs="Arial" w:eastAsia="Arial" w:hAnsi="Arial"/>
        </w:rPr>
        <w:t xml:space="preserve">The CE plane: scatter plot of (ΔE, ΔC) pairs from PSA with quadrant labels and WTP threshold line. CEACs: probability of cost-effectiveness as a function of λ. Tornado diagrams for one-way sensitivity analysis. Net benefit plots.</w:t>
      </w:r>
    </w:p>
    <w:p>
      <w:pPr>
        <w:pStyle w:val="Heading2"/>
        <w:spacing w:before="300" w:after="150"/>
      </w:pPr>
      <w:r>
        <w:rPr>
          <w:b/>
          <w:bCs/>
          <w:sz w:val="30"/>
          <w:szCs w:val="30"/>
          <w:rFonts w:ascii="Arial" w:cs="Arial" w:eastAsia="Arial" w:hAnsi="Arial"/>
        </w:rPr>
        <w:t xml:space="preserve">Geographic Visualization</w:t>
      </w:r>
    </w:p>
    <w:p>
      <w:pPr>
        <w:spacing w:after="120"/>
      </w:pPr>
      <w:r>
        <w:rPr>
          <w:sz w:val="24"/>
          <w:szCs w:val="24"/>
          <w:rFonts w:ascii="Arial" w:cs="Arial" w:eastAsia="Arial" w:hAnsi="Arial"/>
        </w:rPr>
        <w:t xml:space="preserve">Choropleth maps of healthcare spending, utilization, or outcomes by county or HRR using GeoMakie.jl with US county shapefiles (Shapefile.jl). Color palettes from ColorSchemes.jl with colorblind-accessible options (Wong palette, Okabe-Ito).</w:t>
      </w:r>
    </w:p>
    <w:p>
      <w:pPr>
        <w:pStyle w:val="Heading2"/>
        <w:spacing w:before="300" w:after="150"/>
      </w:pPr>
      <w:r>
        <w:rPr>
          <w:b/>
          <w:bCs/>
          <w:sz w:val="30"/>
          <w:szCs w:val="30"/>
          <w:rFonts w:ascii="Arial" w:cs="Arial" w:eastAsia="Arial" w:hAnsi="Arial"/>
        </w:rPr>
        <w:t xml:space="preserve">Publication Formatting</w:t>
      </w:r>
    </w:p>
    <w:p>
      <w:pPr>
        <w:spacing w:after="120"/>
      </w:pPr>
      <w:r>
        <w:rPr>
          <w:sz w:val="24"/>
          <w:szCs w:val="24"/>
          <w:rFonts w:ascii="Arial" w:cs="Arial" w:eastAsia="Arial" w:hAnsi="Arial"/>
        </w:rPr>
        <w:t xml:space="preserve">Figure sizing for journal submission (single column: 3.5 inches, double column: 7 inches). Font sizes (axis labels ≥ 8pt, tick labels ≥ 6pt). Line weights. Multi-panel figures with shared axes using Makie's GridLayout. Saving in multiple formats: save("figure.pdf", fig) for vector graphics, save("figure.png", fig, px_per_unit=3) for raster.</w:t>
      </w:r>
    </w:p>
    <w:p>
      <w:pPr>
        <w:pStyle w:val="Heading2"/>
        <w:spacing w:before="300" w:after="150"/>
      </w:pPr>
      <w:r>
        <w:rPr>
          <w:b/>
          <w:bCs/>
          <w:sz w:val="30"/>
          <w:szCs w:val="30"/>
          <w:rFonts w:ascii="Arial" w:cs="Arial" w:eastAsia="Arial" w:hAnsi="Arial"/>
        </w:rPr>
        <w:t xml:space="preserve">Tables</w:t>
      </w:r>
    </w:p>
    <w:p>
      <w:pPr>
        <w:spacing w:after="120"/>
      </w:pPr>
      <w:r>
        <w:rPr>
          <w:sz w:val="24"/>
          <w:szCs w:val="24"/>
          <w:rFonts w:ascii="Arial" w:cs="Arial" w:eastAsia="Arial" w:hAnsi="Arial"/>
        </w:rPr>
        <w:t xml:space="preserve">PrettyTables.jl for formatted regression tables, summary statistics (Table 1 format), and model comparison tables. Output to LaTeX, HTML, and plain text. Custom formatting for p-values, confidence intervals, and significance stars.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Danisch, S., &amp; Krumbiegel, J. (2021). Makie.jl: Flexible high-performance data visualization for Julia. </w:t>
      </w:r>
      <w:r>
        <w:rPr>
          <w:i/>
          <w:iCs/>
          <w:sz w:val="24"/>
          <w:szCs w:val="24"/>
          <w:rFonts w:ascii="Arial" w:cs="Arial" w:eastAsia="Arial" w:hAnsi="Arial"/>
        </w:rPr>
        <w:t xml:space="preserve">JOSS</w:t>
      </w:r>
      <w:r>
        <w:rPr>
          <w:sz w:val="24"/>
          <w:szCs w:val="24"/>
          <w:rFonts w:ascii="Arial" w:cs="Arial" w:eastAsia="Arial" w:hAnsi="Arial"/>
        </w:rPr>
        <w:t xml:space="preserve">, 6(65), 3349.</w:t>
      </w:r>
    </w:p>
    <w:p>
      <w:pPr>
        <w:spacing w:after="120"/>
      </w:pPr>
      <w:r>
        <w:rPr>
          <w:sz w:val="24"/>
          <w:szCs w:val="24"/>
          <w:rFonts w:ascii="Arial" w:cs="Arial" w:eastAsia="Arial" w:hAnsi="Arial"/>
        </w:rPr>
        <w:t xml:space="preserve">2. PrettyTables.jl documentation. https://github.com/ronisbr/PrettyTables.jl</w:t>
      </w:r>
    </w:p>
    <w:p>
      <w:pPr>
        <w:spacing w:after="120"/>
      </w:pPr>
      <w:r>
        <w:rPr>
          <w:sz w:val="24"/>
          <w:szCs w:val="24"/>
          <w:rFonts w:ascii="Arial" w:cs="Arial" w:eastAsia="Arial" w:hAnsi="Arial"/>
        </w:rPr>
        <w:t xml:space="preserve">3. Wilke, C. O. (2019). </w:t>
      </w:r>
      <w:r>
        <w:rPr>
          <w:i/>
          <w:iCs/>
          <w:sz w:val="24"/>
          <w:szCs w:val="24"/>
          <w:rFonts w:ascii="Arial" w:cs="Arial" w:eastAsia="Arial" w:hAnsi="Arial"/>
        </w:rPr>
        <w:t xml:space="preserve">Fundamentals of Data Visualization</w:t>
      </w:r>
      <w:r>
        <w:rPr>
          <w:sz w:val="24"/>
          <w:szCs w:val="24"/>
          <w:rFonts w:ascii="Arial" w:cs="Arial" w:eastAsia="Arial" w:hAnsi="Arial"/>
        </w:rPr>
        <w:t xml:space="preserve">. O'Reilly.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25: Data Visualization and Scientific Commun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2026-04-15T22:36:02.888Z</dcterms:created>
  <dcterms:modified xsi:type="dcterms:W3CDTF">2026-04-15T22:36:02.888Z</dcterms:modified>
</cp:coreProperties>
</file>

<file path=docProps/custom.xml><?xml version="1.0" encoding="utf-8"?>
<Properties xmlns="http://schemas.openxmlformats.org/officeDocument/2006/custom-properties" xmlns:vt="http://schemas.openxmlformats.org/officeDocument/2006/docPropsVTypes"/>
</file>