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27</w:t>
      </w:r>
    </w:p>
    <w:p>
      <w:pPr>
        <w:jc w:val="center"/>
      </w:pPr>
      <w:r>
        <w:rPr>
          <w:i/>
          <w:iCs/>
          <w:sz w:val="32"/>
          <w:szCs w:val="32"/>
          <w:rFonts w:ascii="Arial" w:cs="Arial" w:eastAsia="Arial" w:hAnsi="Arial"/>
        </w:rPr>
        <w:t xml:space="preserve">Building a Complete Health Economics Analysis: An Integrated Case Study</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capstone chapter walks through a complete health economics research project — from research question to manuscript-ready results — integrating the theoretical frameworks (Chapters 1-8), econometric methods (Chapters 9-17), data knowledge (Chapter 18), and Julia computational tools (Chapters 19-26) developed throughout the textbook. The case study analyzes the effect of Medicaid expansion on hospital financial performance and quality outcomes using a staggered difference-in-differences design.</w:t>
      </w:r>
    </w:p>
    <w:p>
      <w:pPr>
        <w:pStyle w:val="Heading2"/>
        <w:spacing w:before="300" w:after="150"/>
      </w:pPr>
      <w:r>
        <w:rPr>
          <w:b/>
          <w:bCs/>
          <w:sz w:val="30"/>
          <w:szCs w:val="30"/>
          <w:rFonts w:ascii="Arial" w:cs="Arial" w:eastAsia="Arial" w:hAnsi="Arial"/>
        </w:rPr>
        <w:t xml:space="preserve">Research Question</w:t>
      </w:r>
    </w:p>
    <w:p>
      <w:pPr>
        <w:spacing w:after="120"/>
      </w:pPr>
      <w:r>
        <w:rPr>
          <w:sz w:val="24"/>
          <w:szCs w:val="24"/>
          <w:rFonts w:ascii="Arial" w:cs="Arial" w:eastAsia="Arial" w:hAnsi="Arial"/>
        </w:rPr>
        <w:t xml:space="preserve">Does Medicaid expansion improve hospital financial performance (operating margins, uncompensated care burden) and quality outcomes (readmission rates, patient safety indicators) in expansion states relative to non-expansion states? How do effects differ by hospital type — rural vs. urban, safety-net vs. non-safety-net, for-profit vs. nonprofit?</w:t>
      </w:r>
    </w:p>
    <w:p>
      <w:pPr>
        <w:pStyle w:val="Heading2"/>
        <w:spacing w:before="300" w:after="150"/>
      </w:pPr>
      <w:r>
        <w:rPr>
          <w:b/>
          <w:bCs/>
          <w:sz w:val="30"/>
          <w:szCs w:val="30"/>
          <w:rFonts w:ascii="Arial" w:cs="Arial" w:eastAsia="Arial" w:hAnsi="Arial"/>
        </w:rPr>
        <w:t xml:space="preserve">Data Assembly in Julia</w:t>
      </w:r>
    </w:p>
    <w:p>
      <w:pPr>
        <w:spacing w:after="120"/>
      </w:pPr>
      <w:r>
        <w:rPr>
          <w:sz w:val="24"/>
          <w:szCs w:val="24"/>
          <w:rFonts w:ascii="Arial" w:cs="Arial" w:eastAsia="Arial" w:hAnsi="Arial"/>
        </w:rPr>
        <w:t xml:space="preserve">The analysis dataset merges four sources: CMS Hospital Cost Reports (HCRIS) for financial variables (operating margin, uncompensated care costs, payer mix), AHA Annual Survey for hospital characteristics (bed size, ownership, teaching status, system membership), CMS Hospital Compare for quality metrics (readmission rates, PSI-90, HCAHPS scores), and Census/ACS for county-level demographics (poverty rate, uninsured rate, unemployment, racial composition).</w:t>
      </w:r>
    </w:p>
    <w:p>
      <w:pPr>
        <w:spacing w:after="120"/>
      </w:pPr>
      <w:r>
        <w:rPr>
          <w:sz w:val="24"/>
          <w:szCs w:val="24"/>
          <w:rFonts w:ascii="Arial" w:cs="Arial" w:eastAsia="Arial" w:hAnsi="Arial"/>
        </w:rPr>
        <w:t xml:space="preserve">The data pipeline in Julia: read HCRIS flat files with CSV.jl, parse cost report worksheets to extract financial variables, merge to AHA by Medicare provider number, link quality data by CMS Certification Number, attach county characteristics via FIPS code crosswalk. The resulting panel covers approximately 4,500 hospitals over 2010-2022.</w:t>
      </w:r>
    </w:p>
    <w:p>
      <w:pPr>
        <w:spacing w:after="120"/>
      </w:pPr>
      <w:r>
        <w:rPr>
          <w:sz w:val="24"/>
          <w:szCs w:val="24"/>
          <w:rFonts w:ascii="Arial" w:cs="Arial" w:eastAsia="Arial" w:hAnsi="Arial"/>
        </w:rPr>
        <w:t xml:space="preserve">Treatment assignment: states that expanded Medicaid are coded with expansion effective dates. The treatment indicator Dᵢₜ equals 1 for hospitals in expansion states in years on or after the expansion effective date. Non-expansion states serve as the primary control group.</w:t>
      </w:r>
    </w:p>
    <w:p>
      <w:pPr>
        <w:pStyle w:val="Heading2"/>
        <w:spacing w:before="300" w:after="150"/>
      </w:pPr>
      <w:r>
        <w:rPr>
          <w:b/>
          <w:bCs/>
          <w:sz w:val="30"/>
          <w:szCs w:val="30"/>
          <w:rFonts w:ascii="Arial" w:cs="Arial" w:eastAsia="Arial" w:hAnsi="Arial"/>
        </w:rPr>
        <w:t xml:space="preserve">Descriptive Analysis</w:t>
      </w:r>
    </w:p>
    <w:p>
      <w:pPr>
        <w:spacing w:after="120"/>
      </w:pPr>
      <w:r>
        <w:rPr>
          <w:sz w:val="24"/>
          <w:szCs w:val="24"/>
          <w:rFonts w:ascii="Arial" w:cs="Arial" w:eastAsia="Arial" w:hAnsi="Arial"/>
        </w:rPr>
        <w:t xml:space="preserve">Table 1 presents baseline (2013) characteristics by expansion status: hospital size, ownership, payer mix, financial performance, quality metrics, and county demographics. Pre-trend visualizations plot mean outcomes for expansion and non-expansion hospitals from 2010-2013, assessing visual parallelism.</w:t>
      </w:r>
    </w:p>
    <w:p>
      <w:pPr>
        <w:pStyle w:val="Heading2"/>
        <w:spacing w:before="300" w:after="150"/>
      </w:pPr>
      <w:r>
        <w:rPr>
          <w:b/>
          <w:bCs/>
          <w:sz w:val="30"/>
          <w:szCs w:val="30"/>
          <w:rFonts w:ascii="Arial" w:cs="Arial" w:eastAsia="Arial" w:hAnsi="Arial"/>
        </w:rPr>
        <w:t xml:space="preserve">Econometric Specification</w:t>
      </w:r>
    </w:p>
    <w:p>
      <w:pPr>
        <w:spacing w:after="120"/>
      </w:pPr>
      <w:r>
        <w:rPr>
          <w:sz w:val="24"/>
          <w:szCs w:val="24"/>
          <w:rFonts w:ascii="Arial" w:cs="Arial" w:eastAsia="Arial" w:hAnsi="Arial"/>
        </w:rPr>
        <w:t xml:space="preserve">The staggered DiD model using the Callaway-Sant'Anna estimator: group-time ATT(g,t) for each expansion cohort g at each calendar year t, using never-treated states as the comparison group. Covariates include hospital bed size, ownership indicators, teaching status, and county-level poverty rate and unemployment rate. Standard errors are clustered at the state level (the level of treatment variation).</w:t>
      </w:r>
    </w:p>
    <w:p>
      <w:pPr>
        <w:spacing w:after="120"/>
      </w:pPr>
      <w:r>
        <w:rPr>
          <w:sz w:val="24"/>
          <w:szCs w:val="24"/>
          <w:rFonts w:ascii="Arial" w:cs="Arial" w:eastAsia="Arial" w:hAnsi="Arial"/>
        </w:rPr>
        <w:t xml:space="preserve">Event study specification traces dynamic effects from 4 years pre-expansion through 8 years post-expansion, with the year before expansion (t = -1) as the reference period. Pre-treatment coefficients test parallel trends; post-treatment coefficients reveal the time path of expansion effects.</w:t>
      </w:r>
    </w:p>
    <w:p>
      <w:pPr>
        <w:pStyle w:val="Heading2"/>
        <w:spacing w:before="300" w:after="150"/>
      </w:pPr>
      <w:r>
        <w:rPr>
          <w:b/>
          <w:bCs/>
          <w:sz w:val="30"/>
          <w:szCs w:val="30"/>
          <w:rFonts w:ascii="Arial" w:cs="Arial" w:eastAsia="Arial" w:hAnsi="Arial"/>
        </w:rPr>
        <w:t xml:space="preserve">Implementation in Julia</w:t>
      </w:r>
    </w:p>
    <w:p>
      <w:pPr>
        <w:spacing w:after="120"/>
      </w:pPr>
      <w:r>
        <w:rPr>
          <w:sz w:val="24"/>
          <w:szCs w:val="24"/>
          <w:rFonts w:ascii="Arial" w:cs="Arial" w:eastAsia="Arial" w:hAnsi="Arial"/>
        </w:rPr>
        <w:t xml:space="preserve">Using FixedEffectModels.jl for baseline TWFE and custom implementation of the Callaway-Sant'Anna estimator. Event study plots generated with Makie.jl. Regression tables formatted with PrettyTables.jl.</w:t>
      </w:r>
    </w:p>
    <w:p>
      <w:pPr>
        <w:pStyle w:val="Heading2"/>
        <w:spacing w:before="300" w:after="150"/>
      </w:pPr>
      <w:r>
        <w:rPr>
          <w:b/>
          <w:bCs/>
          <w:sz w:val="30"/>
          <w:szCs w:val="30"/>
          <w:rFonts w:ascii="Arial" w:cs="Arial" w:eastAsia="Arial" w:hAnsi="Arial"/>
        </w:rPr>
        <w:t xml:space="preserve">Results</w:t>
      </w:r>
    </w:p>
    <w:p>
      <w:pPr>
        <w:spacing w:after="120"/>
      </w:pPr>
      <w:r>
        <w:rPr>
          <w:sz w:val="24"/>
          <w:szCs w:val="24"/>
          <w:rFonts w:ascii="Arial" w:cs="Arial" w:eastAsia="Arial" w:hAnsi="Arial"/>
        </w:rPr>
        <w:t xml:space="preserve">Medicaid expansion is associated with: reduction in uncompensated care costs of approximately 30-40%, improvement in operating margins of approximately 2-3 percentage points, increase in Medicaid payer share of approximately 5-8 percentage points, and modest improvements in readmission rates. Effects are larger for safety-net hospitals, rural hospitals, and hospitals in states with higher pre-expansion uninsured rates.</w:t>
      </w:r>
    </w:p>
    <w:p>
      <w:pPr>
        <w:pStyle w:val="Heading2"/>
        <w:spacing w:before="300" w:after="150"/>
      </w:pPr>
      <w:r>
        <w:rPr>
          <w:b/>
          <w:bCs/>
          <w:sz w:val="30"/>
          <w:szCs w:val="30"/>
          <w:rFonts w:ascii="Arial" w:cs="Arial" w:eastAsia="Arial" w:hAnsi="Arial"/>
        </w:rPr>
        <w:t xml:space="preserve">Robustness Checks</w:t>
      </w:r>
    </w:p>
    <w:p>
      <w:pPr>
        <w:spacing w:after="120"/>
      </w:pPr>
      <w:r>
        <w:rPr>
          <w:sz w:val="24"/>
          <w:szCs w:val="24"/>
          <w:rFonts w:ascii="Arial" w:cs="Arial" w:eastAsia="Arial" w:hAnsi="Arial"/>
        </w:rPr>
        <w:t xml:space="preserve">Alternative specifications: different control groups (not-yet-treated vs. never-treated), alternative outcome definitions (total margin vs. operating margin), placebo tests with fake treatment dates, synthetic control for individual early-expansion states, triple differences using within-state variation in hospital safety-net status.</w:t>
      </w:r>
    </w:p>
    <w:p>
      <w:pPr>
        <w:pStyle w:val="Heading2"/>
        <w:spacing w:before="300" w:after="150"/>
      </w:pPr>
      <w:r>
        <w:rPr>
          <w:b/>
          <w:bCs/>
          <w:sz w:val="30"/>
          <w:szCs w:val="30"/>
          <w:rFonts w:ascii="Arial" w:cs="Arial" w:eastAsia="Arial" w:hAnsi="Arial"/>
        </w:rPr>
        <w:t xml:space="preserve">Heterogeneity Analysis</w:t>
      </w:r>
    </w:p>
    <w:p>
      <w:pPr>
        <w:spacing w:after="120"/>
      </w:pPr>
      <w:r>
        <w:rPr>
          <w:sz w:val="24"/>
          <w:szCs w:val="24"/>
          <w:rFonts w:ascii="Arial" w:cs="Arial" w:eastAsia="Arial" w:hAnsi="Arial"/>
        </w:rPr>
        <w:t xml:space="preserve">Subgroup analysis by hospital type reveals that the financial benefits of expansion are concentrated among safety-net hospitals and rural hospitals — the institutions most financially vulnerable to uncompensated care burden. Urban academic medical centers show smaller effects, consistent with their already lower baseline uninsured patient shares.</w:t>
      </w:r>
    </w:p>
    <w:p>
      <w:pPr>
        <w:spacing w:after="120"/>
      </w:pPr>
      <w:r>
        <w:rPr>
          <w:sz w:val="24"/>
          <w:szCs w:val="24"/>
          <w:rFonts w:ascii="Arial" w:cs="Arial" w:eastAsia="Arial" w:hAnsi="Arial"/>
        </w:rPr>
        <w:t xml:space="preserve">Causal forest estimation of heterogeneous treatment effects identifies hospital-level CATE as a function of baseline uncompensated care burden, Medicaid share, operating margin, and county uninsured rate. The causal forest confirms that hospitals with higher baseline financial distress experience larger benefits from expansion.</w:t>
      </w:r>
    </w:p>
    <w:p>
      <w:pPr>
        <w:pStyle w:val="Heading2"/>
        <w:spacing w:before="300" w:after="150"/>
      </w:pPr>
      <w:r>
        <w:rPr>
          <w:b/>
          <w:bCs/>
          <w:sz w:val="30"/>
          <w:szCs w:val="30"/>
          <w:rFonts w:ascii="Arial" w:cs="Arial" w:eastAsia="Arial" w:hAnsi="Arial"/>
        </w:rPr>
        <w:t xml:space="preserve">Manuscript Preparation</w:t>
      </w:r>
    </w:p>
    <w:p>
      <w:pPr>
        <w:spacing w:after="120"/>
      </w:pPr>
      <w:r>
        <w:rPr>
          <w:sz w:val="24"/>
          <w:szCs w:val="24"/>
          <w:rFonts w:ascii="Arial" w:cs="Arial" w:eastAsia="Arial" w:hAnsi="Arial"/>
        </w:rPr>
        <w:t xml:space="preserve">All tables, figures, and appendix materials are generated from the Julia analysis pipeline, ensuring exact reproducibility. The replication package includes all code, the data construction pipeline (with instructions for obtaining the restricted-use data files), and a README documenting the computational environment.</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Blavin, F. (2016). Association between the 2014 Medicaid expansion and US hospital finances. </w:t>
      </w:r>
      <w:r>
        <w:rPr>
          <w:i/>
          <w:iCs/>
          <w:sz w:val="24"/>
          <w:szCs w:val="24"/>
          <w:rFonts w:ascii="Arial" w:cs="Arial" w:eastAsia="Arial" w:hAnsi="Arial"/>
        </w:rPr>
        <w:t xml:space="preserve">JAMA</w:t>
      </w:r>
      <w:r>
        <w:rPr>
          <w:sz w:val="24"/>
          <w:szCs w:val="24"/>
          <w:rFonts w:ascii="Arial" w:cs="Arial" w:eastAsia="Arial" w:hAnsi="Arial"/>
        </w:rPr>
        <w:t xml:space="preserve">, 316(14), 1475-1483.</w:t>
      </w:r>
    </w:p>
    <w:p>
      <w:pPr>
        <w:spacing w:after="120"/>
      </w:pPr>
      <w:r>
        <w:rPr>
          <w:sz w:val="24"/>
          <w:szCs w:val="24"/>
          <w:rFonts w:ascii="Arial" w:cs="Arial" w:eastAsia="Arial" w:hAnsi="Arial"/>
        </w:rPr>
        <w:t xml:space="preserve">2. Callaway, B., &amp; Sant'Anna, P. H. C. (2021). Difference-in-differences with multiple time periods. </w:t>
      </w:r>
      <w:r>
        <w:rPr>
          <w:i/>
          <w:iCs/>
          <w:sz w:val="24"/>
          <w:szCs w:val="24"/>
          <w:rFonts w:ascii="Arial" w:cs="Arial" w:eastAsia="Arial" w:hAnsi="Arial"/>
        </w:rPr>
        <w:t xml:space="preserve">Journal of Econometrics</w:t>
      </w:r>
      <w:r>
        <w:rPr>
          <w:sz w:val="24"/>
          <w:szCs w:val="24"/>
          <w:rFonts w:ascii="Arial" w:cs="Arial" w:eastAsia="Arial" w:hAnsi="Arial"/>
        </w:rPr>
        <w:t xml:space="preserve">, 225(2), 200-230.</w:t>
      </w:r>
    </w:p>
    <w:p>
      <w:pPr>
        <w:spacing w:after="120"/>
      </w:pPr>
      <w:r>
        <w:rPr>
          <w:sz w:val="24"/>
          <w:szCs w:val="24"/>
          <w:rFonts w:ascii="Arial" w:cs="Arial" w:eastAsia="Arial" w:hAnsi="Arial"/>
        </w:rPr>
        <w:t xml:space="preserve">3. Lindrooth, R. C., Perraillon, M. C., Hardy, R. Y., &amp; Tung, G. J. (2018). Understanding the relationship between Medicaid expansions and hospital closures. </w:t>
      </w:r>
      <w:r>
        <w:rPr>
          <w:i/>
          <w:iCs/>
          <w:sz w:val="24"/>
          <w:szCs w:val="24"/>
          <w:rFonts w:ascii="Arial" w:cs="Arial" w:eastAsia="Arial" w:hAnsi="Arial"/>
        </w:rPr>
        <w:t xml:space="preserve">Health Affairs</w:t>
      </w:r>
      <w:r>
        <w:rPr>
          <w:sz w:val="24"/>
          <w:szCs w:val="24"/>
          <w:rFonts w:ascii="Arial" w:cs="Arial" w:eastAsia="Arial" w:hAnsi="Arial"/>
        </w:rPr>
        <w:t xml:space="preserve">, 37(1), 111-120.</w:t>
      </w:r>
    </w:p>
    <w:p>
      <w:pPr>
        <w:spacing w:after="120"/>
      </w:pPr>
      <w:r>
        <w:rPr>
          <w:sz w:val="24"/>
          <w:szCs w:val="24"/>
          <w:rFonts w:ascii="Arial" w:cs="Arial" w:eastAsia="Arial" w:hAnsi="Arial"/>
        </w:rPr>
        <w:t xml:space="preserve">4. Miller, S., Johnson, N., &amp; Wherry, L. R. (2021). Medicaid and mortality: New evidence from linked survey and administrative data. </w:t>
      </w:r>
      <w:r>
        <w:rPr>
          <w:i/>
          <w:iCs/>
          <w:sz w:val="24"/>
          <w:szCs w:val="24"/>
          <w:rFonts w:ascii="Arial" w:cs="Arial" w:eastAsia="Arial" w:hAnsi="Arial"/>
        </w:rPr>
        <w:t xml:space="preserve">QJE</w:t>
      </w:r>
      <w:r>
        <w:rPr>
          <w:sz w:val="24"/>
          <w:szCs w:val="24"/>
          <w:rFonts w:ascii="Arial" w:cs="Arial" w:eastAsia="Arial" w:hAnsi="Arial"/>
        </w:rPr>
        <w:t xml:space="preserve">, 136(3), 1783-1829.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27: Building a Complete Health Economics 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2026-04-15T22:36:02.943Z</dcterms:created>
  <dcterms:modified xsi:type="dcterms:W3CDTF">2026-04-15T22:36:02.943Z</dcterms:modified>
</cp:coreProperties>
</file>

<file path=docProps/custom.xml><?xml version="1.0" encoding="utf-8"?>
<Properties xmlns="http://schemas.openxmlformats.org/officeDocument/2006/custom-properties" xmlns:vt="http://schemas.openxmlformats.org/officeDocument/2006/docPropsVTypes"/>
</file>