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b/>
          <w:bCs/>
          <w:sz w:val="48"/>
          <w:szCs w:val="48"/>
          <w:rFonts w:ascii="Arial" w:cs="Arial" w:eastAsia="Arial" w:hAnsi="Arial"/>
        </w:rPr>
        <w:t xml:space="preserve">Healthcare Economics Research:</w:t>
      </w:r>
    </w:p>
    <w:p>
      <w:pPr>
        <w:spacing w:after="400"/>
        <w:jc w:val="center"/>
      </w:pPr>
      <w:r>
        <w:rPr>
          <w:b/>
          <w:bCs/>
          <w:sz w:val="44"/>
          <w:szCs w:val="44"/>
          <w:rFonts w:ascii="Arial" w:cs="Arial" w:eastAsia="Arial" w:hAnsi="Arial"/>
        </w:rPr>
        <w:t xml:space="preserve">Methodology and Computational Methods in Julia</w:t>
      </w:r>
    </w:p>
    <w:p>
      <w:pPr>
        <w:spacing w:after="200"/>
        <w:jc w:val="center"/>
      </w:pPr>
      <w:r>
        <w:rPr>
          <w:sz w:val="36"/>
          <w:szCs w:val="36"/>
          <w:rFonts w:ascii="Arial" w:cs="Arial" w:eastAsia="Arial" w:hAnsi="Arial"/>
        </w:rPr>
        <w:t xml:space="preserve">Chapter 16</w:t>
      </w:r>
    </w:p>
    <w:p>
      <w:pPr>
        <w:jc w:val="center"/>
      </w:pPr>
      <w:r>
        <w:rPr>
          <w:i/>
          <w:iCs/>
          <w:sz w:val="32"/>
          <w:szCs w:val="32"/>
          <w:rFonts w:ascii="Arial" w:cs="Arial" w:eastAsia="Arial" w:hAnsi="Arial"/>
        </w:rPr>
        <w:t xml:space="preserve">Machine Learning Methods for Health Economics Research</w:t>
      </w:r>
    </w:p>
    <w:p>
      <w:r>
        <w:br w:type="page"/>
      </w:r>
    </w:p>
    <w:p>
      <w:pPr>
        <w:pStyle w:val="Heading2"/>
        <w:spacing w:before="300" w:after="150"/>
      </w:pPr>
      <w:r>
        <w:rPr>
          <w:b/>
          <w:bCs/>
          <w:sz w:val="30"/>
          <w:szCs w:val="30"/>
          <w:rFonts w:ascii="Arial" w:cs="Arial" w:eastAsia="Arial" w:hAnsi="Arial"/>
        </w:rPr>
        <w:t xml:space="preserve">Introduction</w:t>
      </w:r>
    </w:p>
    <w:p>
      <w:pPr>
        <w:spacing w:after="120"/>
      </w:pPr>
      <w:r>
        <w:rPr>
          <w:sz w:val="24"/>
          <w:szCs w:val="24"/>
          <w:rFonts w:ascii="Arial" w:cs="Arial" w:eastAsia="Arial" w:hAnsi="Arial"/>
        </w:rPr>
        <w:t xml:space="preserve">Machine learning (ML) methods have entered health economics not as a replacement for causal inference but as a complement — providing powerful tools for prediction, variable selection, heterogeneous treatment effect estimation, and nuisance parameter estimation within causal frameworks. The fundamental tension between ML's optimization of predictive accuracy and econometrics' focus on causal identification has been productively resolved through recent methodological advances, particularly causal forests (Athey and Imbens, 2016), double/debiased machine learning (Chernozhukov et al., 2018), and the broader recognition that many policy-relevant questions have important prediction components.</w:t>
      </w:r>
    </w:p>
    <w:p>
      <w:pPr>
        <w:pStyle w:val="Heading2"/>
        <w:spacing w:before="300" w:after="150"/>
      </w:pPr>
      <w:r>
        <w:rPr>
          <w:b/>
          <w:bCs/>
          <w:sz w:val="30"/>
          <w:szCs w:val="30"/>
          <w:rFonts w:ascii="Arial" w:cs="Arial" w:eastAsia="Arial" w:hAnsi="Arial"/>
        </w:rPr>
        <w:t xml:space="preserve">The Prediction-Inference Distinction</w:t>
      </w:r>
    </w:p>
    <w:p>
      <w:pPr>
        <w:spacing w:after="120"/>
      </w:pPr>
      <w:r>
        <w:rPr>
          <w:sz w:val="24"/>
          <w:szCs w:val="24"/>
          <w:rFonts w:ascii="Arial" w:cs="Arial" w:eastAsia="Arial" w:hAnsi="Arial"/>
        </w:rPr>
        <w:t xml:space="preserve">Mullainathan and Spiess (2017) articulated the key distinction: ML optimizes out-of-sample prediction by minimizing expected prediction error, while econometrics estimates causal parameters with valid inference. These objectives differ fundamentally — the best predictive model may include endogenous variables, omit relevant instruments, and produce biased coefficient estimates, while the best causal model may have poor predictive accuracy. The health economics researcher must identify whether the question at hand is primarily predictive (hospital readmission risk scoring, mortality prediction, fraud detection) or primarily causal (effect of insurance on utilization, effect of a payment reform on quality), and select methods accordingly.</w:t>
      </w:r>
    </w:p>
    <w:p>
      <w:pPr>
        <w:pStyle w:val="Heading2"/>
        <w:spacing w:before="300" w:after="150"/>
      </w:pPr>
      <w:r>
        <w:rPr>
          <w:b/>
          <w:bCs/>
          <w:sz w:val="30"/>
          <w:szCs w:val="30"/>
          <w:rFonts w:ascii="Arial" w:cs="Arial" w:eastAsia="Arial" w:hAnsi="Arial"/>
        </w:rPr>
        <w:t xml:space="preserve">Regularization Methods</w:t>
      </w:r>
    </w:p>
    <w:p>
      <w:pPr>
        <w:pStyle w:val="Heading3"/>
        <w:spacing w:before="200" w:after="100"/>
      </w:pPr>
      <w:r>
        <w:rPr>
          <w:b/>
          <w:bCs/>
          <w:sz w:val="26"/>
          <w:szCs w:val="26"/>
          <w:rFonts w:ascii="Arial" w:cs="Arial" w:eastAsia="Arial" w:hAnsi="Arial"/>
        </w:rPr>
        <w:t xml:space="preserve">LASSO, Ridge, and Elastic Net</w:t>
      </w:r>
    </w:p>
    <w:p>
      <w:pPr>
        <w:spacing w:after="120"/>
      </w:pPr>
      <w:r>
        <w:rPr>
          <w:sz w:val="24"/>
          <w:szCs w:val="24"/>
          <w:rFonts w:ascii="Arial" w:cs="Arial" w:eastAsia="Arial" w:hAnsi="Arial"/>
        </w:rPr>
        <w:t xml:space="preserve">Regularized regression addresses the high-dimensional problem — when the number of potential predictors approaches or exceeds the number of observations — by adding a penalty term to the objective function.</w:t>
      </w:r>
    </w:p>
    <w:p>
      <w:pPr>
        <w:spacing w:after="120"/>
      </w:pPr>
      <w:r>
        <w:rPr>
          <w:sz w:val="24"/>
          <w:szCs w:val="24"/>
          <w:rFonts w:ascii="Arial" w:cs="Arial" w:eastAsia="Arial" w:hAnsi="Arial"/>
        </w:rPr>
      </w:r>
      <w:r>
        <w:rPr>
          <w:b/>
          <w:bCs/>
          <w:sz w:val="24"/>
          <w:szCs w:val="24"/>
          <w:rFonts w:ascii="Arial" w:cs="Arial" w:eastAsia="Arial" w:hAnsi="Arial"/>
        </w:rPr>
        <w:t xml:space="preserve">LASSO</w:t>
      </w:r>
      <w:r>
        <w:rPr>
          <w:sz w:val="24"/>
          <w:szCs w:val="24"/>
          <w:rFonts w:ascii="Arial" w:cs="Arial" w:eastAsia="Arial" w:hAnsi="Arial"/>
        </w:rPr>
        <w:t xml:space="preserve"> (Least Absolute Shrinkage and Selection Operator) minimizes:</w:t>
      </w:r>
    </w:p>
    <w:p>
      <w:pPr>
        <w:spacing w:after="120"/>
      </w:pPr>
      <w:r>
        <w:rPr>
          <w:sz w:val="24"/>
          <w:szCs w:val="24"/>
          <w:rFonts w:ascii="Arial" w:cs="Arial" w:eastAsia="Arial" w:hAnsi="Arial"/>
        </w:rPr>
        <w:t xml:space="preserve">Σᵢ (yᵢ - X'ᵢβ)² + λ Σₖ |βₖ|</w:t>
      </w:r>
    </w:p>
    <w:p>
      <w:pPr>
        <w:spacing w:after="120"/>
      </w:pPr>
      <w:r>
        <w:rPr>
          <w:sz w:val="24"/>
          <w:szCs w:val="24"/>
          <w:rFonts w:ascii="Arial" w:cs="Arial" w:eastAsia="Arial" w:hAnsi="Arial"/>
        </w:rPr>
        <w:t xml:space="preserve">The L1 penalty drives some coefficients exactly to zero, performing automatic variable selection. The tuning parameter λ controls the degree of regularization and is selected by cross-validation.</w:t>
      </w:r>
    </w:p>
    <w:p>
      <w:pPr>
        <w:spacing w:after="120"/>
      </w:pPr>
      <w:r>
        <w:rPr>
          <w:sz w:val="24"/>
          <w:szCs w:val="24"/>
          <w:rFonts w:ascii="Arial" w:cs="Arial" w:eastAsia="Arial" w:hAnsi="Arial"/>
        </w:rPr>
      </w:r>
      <w:r>
        <w:rPr>
          <w:b/>
          <w:bCs/>
          <w:sz w:val="24"/>
          <w:szCs w:val="24"/>
          <w:rFonts w:ascii="Arial" w:cs="Arial" w:eastAsia="Arial" w:hAnsi="Arial"/>
        </w:rPr>
        <w:t xml:space="preserve">Ridge regression</w:t>
      </w:r>
      <w:r>
        <w:rPr>
          <w:sz w:val="24"/>
          <w:szCs w:val="24"/>
          <w:rFonts w:ascii="Arial" w:cs="Arial" w:eastAsia="Arial" w:hAnsi="Arial"/>
        </w:rPr>
        <w:t xml:space="preserve"> uses an L2 penalty (λ Σₖ βₖ²) that shrinks coefficients toward zero without setting them exactly to zero. Ridge handles multicollinearity and stabilizes estimates but does not perform variable selection.</w:t>
      </w:r>
    </w:p>
    <w:p>
      <w:pPr>
        <w:spacing w:after="120"/>
      </w:pPr>
      <w:r>
        <w:rPr>
          <w:sz w:val="24"/>
          <w:szCs w:val="24"/>
          <w:rFonts w:ascii="Arial" w:cs="Arial" w:eastAsia="Arial" w:hAnsi="Arial"/>
        </w:rPr>
      </w:r>
      <w:r>
        <w:rPr>
          <w:b/>
          <w:bCs/>
          <w:sz w:val="24"/>
          <w:szCs w:val="24"/>
          <w:rFonts w:ascii="Arial" w:cs="Arial" w:eastAsia="Arial" w:hAnsi="Arial"/>
        </w:rPr>
        <w:t xml:space="preserve">Elastic Net</w:t>
      </w:r>
      <w:r>
        <w:rPr>
          <w:sz w:val="24"/>
          <w:szCs w:val="24"/>
          <w:rFonts w:ascii="Arial" w:cs="Arial" w:eastAsia="Arial" w:hAnsi="Arial"/>
        </w:rPr>
        <w:t xml:space="preserve"> combines L1 and L2 penalties, providing both variable selection and coefficient stability: λ[α Σ|βₖ| + (1-α) Σβₖ²].</w:t>
      </w:r>
    </w:p>
    <w:p>
      <w:pPr>
        <w:spacing w:after="120"/>
      </w:pPr>
      <w:r>
        <w:rPr>
          <w:sz w:val="24"/>
          <w:szCs w:val="24"/>
          <w:rFonts w:ascii="Arial" w:cs="Arial" w:eastAsia="Arial" w:hAnsi="Arial"/>
        </w:rPr>
        <w:t xml:space="preserve">In health economics, LASSO is used for variable selection in high-dimensional claims data (selecting from thousands of diagnosis codes, procedure codes, and drug classes to predict costs or outcomes), for constructing parsimonious risk adjustment models, and as a first-stage estimator in post-LASSO inference procedures.</w:t>
      </w:r>
    </w:p>
    <w:p>
      <w:pPr>
        <w:pStyle w:val="Heading2"/>
        <w:spacing w:before="300" w:after="150"/>
      </w:pPr>
      <w:r>
        <w:rPr>
          <w:b/>
          <w:bCs/>
          <w:sz w:val="30"/>
          <w:szCs w:val="30"/>
          <w:rFonts w:ascii="Arial" w:cs="Arial" w:eastAsia="Arial" w:hAnsi="Arial"/>
        </w:rPr>
        <w:t xml:space="preserve">Tree-Based Methods</w:t>
      </w:r>
    </w:p>
    <w:p>
      <w:pPr>
        <w:spacing w:after="120"/>
      </w:pPr>
      <w:r>
        <w:rPr>
          <w:sz w:val="24"/>
          <w:szCs w:val="24"/>
          <w:rFonts w:ascii="Arial" w:cs="Arial" w:eastAsia="Arial" w:hAnsi="Arial"/>
        </w:rPr>
      </w:r>
      <w:r>
        <w:rPr>
          <w:b/>
          <w:bCs/>
          <w:sz w:val="24"/>
          <w:szCs w:val="24"/>
          <w:rFonts w:ascii="Arial" w:cs="Arial" w:eastAsia="Arial" w:hAnsi="Arial"/>
        </w:rPr>
        <w:t xml:space="preserve">Random forests</w:t>
      </w:r>
      <w:r>
        <w:rPr>
          <w:sz w:val="24"/>
          <w:szCs w:val="24"/>
          <w:rFonts w:ascii="Arial" w:cs="Arial" w:eastAsia="Arial" w:hAnsi="Arial"/>
        </w:rPr>
        <w:t xml:space="preserve"> (Breiman, 2001) construct an ensemble of decision trees, each trained on a bootstrap sample of the data with a random subset of features considered at each split. The ensemble prediction averages across trees, reducing variance while maintaining the flexibility of individual trees. Variable importance measures identify the covariates that contribute most to prediction accuracy.</w:t>
      </w:r>
    </w:p>
    <w:p>
      <w:pPr>
        <w:spacing w:after="120"/>
      </w:pPr>
      <w:r>
        <w:rPr>
          <w:sz w:val="24"/>
          <w:szCs w:val="24"/>
          <w:rFonts w:ascii="Arial" w:cs="Arial" w:eastAsia="Arial" w:hAnsi="Arial"/>
        </w:rPr>
      </w:r>
      <w:r>
        <w:rPr>
          <w:b/>
          <w:bCs/>
          <w:sz w:val="24"/>
          <w:szCs w:val="24"/>
          <w:rFonts w:ascii="Arial" w:cs="Arial" w:eastAsia="Arial" w:hAnsi="Arial"/>
        </w:rPr>
        <w:t xml:space="preserve">Gradient boosted trees</w:t>
      </w:r>
      <w:r>
        <w:rPr>
          <w:sz w:val="24"/>
          <w:szCs w:val="24"/>
          <w:rFonts w:ascii="Arial" w:cs="Arial" w:eastAsia="Arial" w:hAnsi="Arial"/>
        </w:rPr>
        <w:t xml:space="preserve"> (XGBoost, LightGBM) build trees sequentially, with each tree trained on the residuals of the ensemble to that point. Boosting typically achieves higher predictive accuracy than random forests but is more prone to overfitting and requires careful tuning of learning rate, tree depth, and number of boosting rounds.</w:t>
      </w:r>
    </w:p>
    <w:p>
      <w:pPr>
        <w:spacing w:after="120"/>
      </w:pPr>
      <w:r>
        <w:rPr>
          <w:sz w:val="24"/>
          <w:szCs w:val="24"/>
          <w:rFonts w:ascii="Arial" w:cs="Arial" w:eastAsia="Arial" w:hAnsi="Arial"/>
        </w:rPr>
        <w:t xml:space="preserve">In healthcare risk prediction, tree-based methods achieve state-of-the-art performance for readmission prediction, mortality risk scoring, and cost prediction, frequently outperforming traditional logistic regression and linear models while producing variable importance rankings that can inform clinical decision-making.</w:t>
      </w:r>
    </w:p>
    <w:p>
      <w:pPr>
        <w:pStyle w:val="Heading2"/>
        <w:spacing w:before="300" w:after="150"/>
      </w:pPr>
      <w:r>
        <w:rPr>
          <w:b/>
          <w:bCs/>
          <w:sz w:val="30"/>
          <w:szCs w:val="30"/>
          <w:rFonts w:ascii="Arial" w:cs="Arial" w:eastAsia="Arial" w:hAnsi="Arial"/>
        </w:rPr>
        <w:t xml:space="preserve">Causal Forests</w:t>
      </w:r>
    </w:p>
    <w:p>
      <w:pPr>
        <w:spacing w:after="120"/>
      </w:pPr>
      <w:r>
        <w:rPr>
          <w:sz w:val="24"/>
          <w:szCs w:val="24"/>
          <w:rFonts w:ascii="Arial" w:cs="Arial" w:eastAsia="Arial" w:hAnsi="Arial"/>
        </w:rPr>
        <w:t xml:space="preserve">Athey and Imbens (2016) developed generalized random forests (GRF) for estimating heterogeneous treatment effects — the conditional average treatment effect (CATE) as a function of individual characteristics:</w:t>
      </w:r>
    </w:p>
    <w:p>
      <w:pPr>
        <w:spacing w:after="120"/>
      </w:pPr>
      <w:r>
        <w:rPr>
          <w:sz w:val="24"/>
          <w:szCs w:val="24"/>
          <w:rFonts w:ascii="Arial" w:cs="Arial" w:eastAsia="Arial" w:hAnsi="Arial"/>
        </w:rPr>
        <w:t xml:space="preserve">τ(x) = E[Y(1) - Y(0) | X = x]</w:t>
      </w:r>
    </w:p>
    <w:p>
      <w:pPr>
        <w:spacing w:after="120"/>
      </w:pPr>
      <w:r>
        <w:rPr>
          <w:sz w:val="24"/>
          <w:szCs w:val="24"/>
          <w:rFonts w:ascii="Arial" w:cs="Arial" w:eastAsia="Arial" w:hAnsi="Arial"/>
        </w:rPr>
        <w:t xml:space="preserve">Causal forests modify the random forest algorithm by splitting nodes based on treatment effect heterogeneity rather than prediction accuracy. The key innovation is "honest estimation" — using separate subsamples for tree construction (determining the splits) and treatment effect estimation (computing the within-leaf treatment effect), preventing overfitting of the treatment effect estimates.</w:t>
      </w:r>
    </w:p>
    <w:p>
      <w:pPr>
        <w:spacing w:after="120"/>
      </w:pPr>
      <w:r>
        <w:rPr>
          <w:sz w:val="24"/>
          <w:szCs w:val="24"/>
          <w:rFonts w:ascii="Arial" w:cs="Arial" w:eastAsia="Arial" w:hAnsi="Arial"/>
        </w:rPr>
        <w:t xml:space="preserve">In health economics, causal forests enable personalized policy evaluation: identifying which patients benefit most from a treatment, which hospitals respond most to a payment incentive, or which populations gain the most from coverage expansion. This heterogeneous treatment effect estimation directly informs targeted intervention design and precision medicine economics.</w:t>
      </w:r>
    </w:p>
    <w:p>
      <w:pPr>
        <w:pStyle w:val="Heading2"/>
        <w:spacing w:before="300" w:after="150"/>
      </w:pPr>
      <w:r>
        <w:rPr>
          <w:b/>
          <w:bCs/>
          <w:sz w:val="30"/>
          <w:szCs w:val="30"/>
          <w:rFonts w:ascii="Arial" w:cs="Arial" w:eastAsia="Arial" w:hAnsi="Arial"/>
        </w:rPr>
        <w:t xml:space="preserve">Double/Debiased Machine Learning</w:t>
      </w:r>
    </w:p>
    <w:p>
      <w:pPr>
        <w:spacing w:after="120"/>
      </w:pPr>
      <w:r>
        <w:rPr>
          <w:sz w:val="24"/>
          <w:szCs w:val="24"/>
          <w:rFonts w:ascii="Arial" w:cs="Arial" w:eastAsia="Arial" w:hAnsi="Arial"/>
        </w:rPr>
        <w:t xml:space="preserve">Chernozhukov and colleagues (2018) developed the double/debiased machine learning (DML) framework, which enables the use of ML methods for estimating nuisance parameters (control variable relationships) while maintaining valid frequentist inference on the causal parameter of interest.</w:t>
      </w:r>
    </w:p>
    <w:p>
      <w:pPr>
        <w:spacing w:after="120"/>
      </w:pPr>
      <w:r>
        <w:rPr>
          <w:sz w:val="24"/>
          <w:szCs w:val="24"/>
          <w:rFonts w:ascii="Arial" w:cs="Arial" w:eastAsia="Arial" w:hAnsi="Arial"/>
        </w:rPr>
        <w:t xml:space="preserve">The partially linear model is:</w:t>
      </w:r>
    </w:p>
    <w:p>
      <w:pPr>
        <w:spacing w:after="120"/>
      </w:pPr>
      <w:r>
        <w:rPr>
          <w:sz w:val="24"/>
          <w:szCs w:val="24"/>
          <w:rFonts w:ascii="Arial" w:cs="Arial" w:eastAsia="Arial" w:hAnsi="Arial"/>
        </w:rPr>
        <w:t xml:space="preserve">Y = θD + g(X) + ε</w:t>
      </w:r>
    </w:p>
    <w:p>
      <w:pPr>
        <w:spacing w:after="120"/>
      </w:pPr>
      <w:r>
        <w:rPr>
          <w:sz w:val="24"/>
          <w:szCs w:val="24"/>
          <w:rFonts w:ascii="Arial" w:cs="Arial" w:eastAsia="Arial" w:hAnsi="Arial"/>
        </w:rPr>
        <w:t xml:space="preserve">D = m(X) + v</w:t>
      </w:r>
    </w:p>
    <w:p>
      <w:pPr>
        <w:spacing w:after="120"/>
      </w:pPr>
      <w:r>
        <w:rPr>
          <w:sz w:val="24"/>
          <w:szCs w:val="24"/>
          <w:rFonts w:ascii="Arial" w:cs="Arial" w:eastAsia="Arial" w:hAnsi="Arial"/>
        </w:rPr>
        <w:t xml:space="preserve">where θ is the causal parameter, g(X) is the (potentially complex, high-dimensional) relationship between controls and outcome, and m(X) is the relationship between controls and treatment. DML uses ML to estimate ĝ(X) and m̂(X), then estimates θ from residualized variables:</w:t>
      </w:r>
    </w:p>
    <w:p>
      <w:pPr>
        <w:spacing w:after="120"/>
      </w:pPr>
      <w:r>
        <w:rPr>
          <w:sz w:val="24"/>
          <w:szCs w:val="24"/>
          <w:rFonts w:ascii="Arial" w:cs="Arial" w:eastAsia="Arial" w:hAnsi="Arial"/>
        </w:rPr>
        <w:t xml:space="preserve">θ̂ = [Σᵢ (Dᵢ - m̂(Xᵢ))(Yᵢ - ĝ(Xᵢ))] / [Σᵢ (Dᵢ - m̂(Xᵢ))²]</w:t>
      </w:r>
    </w:p>
    <w:p>
      <w:pPr>
        <w:spacing w:after="120"/>
      </w:pPr>
      <w:r>
        <w:rPr>
          <w:sz w:val="24"/>
          <w:szCs w:val="24"/>
          <w:rFonts w:ascii="Arial" w:cs="Arial" w:eastAsia="Arial" w:hAnsi="Arial"/>
        </w:rPr>
        <w:t xml:space="preserve">The "double" refers to residualizing both Y and D; the "debiased" refers to the cross-fitting procedure (splitting the sample, estimating nuisance functions on one part, computing residuals on the other, and swapping) that eliminates the regularization bias that would otherwise contaminate inference.</w:t>
      </w:r>
    </w:p>
    <w:p>
      <w:pPr>
        <w:spacing w:after="120"/>
      </w:pPr>
      <w:r>
        <w:rPr>
          <w:sz w:val="24"/>
          <w:szCs w:val="24"/>
          <w:rFonts w:ascii="Arial" w:cs="Arial" w:eastAsia="Arial" w:hAnsi="Arial"/>
        </w:rPr>
        <w:t xml:space="preserve">DML allows the health economics researcher to control for high-dimensional confounders (thousands of diagnosis codes, provider characteristics, geographic variables) using flexible ML methods while maintaining valid confidence intervals and hypothesis tests on the causal effect — combining the best of both worlds.</w:t>
      </w:r>
    </w:p>
    <w:p>
      <w:pPr>
        <w:pStyle w:val="Heading2"/>
        <w:spacing w:before="300" w:after="150"/>
      </w:pPr>
      <w:r>
        <w:rPr>
          <w:b/>
          <w:bCs/>
          <w:sz w:val="30"/>
          <w:szCs w:val="30"/>
          <w:rFonts w:ascii="Arial" w:cs="Arial" w:eastAsia="Arial" w:hAnsi="Arial"/>
        </w:rPr>
        <w:t xml:space="preserve">Ethical Considerations and Algorithmic Fairness</w:t>
      </w:r>
    </w:p>
    <w:p>
      <w:pPr>
        <w:spacing w:after="120"/>
      </w:pPr>
      <w:r>
        <w:rPr>
          <w:sz w:val="24"/>
          <w:szCs w:val="24"/>
          <w:rFonts w:ascii="Arial" w:cs="Arial" w:eastAsia="Arial" w:hAnsi="Arial"/>
        </w:rPr>
        <w:t xml:space="preserve">Obermeyer and colleagues (2019) documented racial bias in a widely used commercial healthcare risk prediction algorithm. The algorithm used healthcare costs as a proxy for healthcare needs, but because Black patients face systematic barriers to accessing care (and therefore incur lower costs conditional on health status), the algorithm systematically underestimated the health needs of Black patients. At a given risk score, Black patients were substantially sicker than White patients, resulting in Black patients being less likely to be identified for care management programs.</w:t>
      </w:r>
    </w:p>
    <w:p>
      <w:pPr>
        <w:spacing w:after="120"/>
      </w:pPr>
      <w:r>
        <w:rPr>
          <w:sz w:val="24"/>
          <w:szCs w:val="24"/>
          <w:rFonts w:ascii="Arial" w:cs="Arial" w:eastAsia="Arial" w:hAnsi="Arial"/>
        </w:rPr>
        <w:t xml:space="preserve">This finding illustrates the broader challenge of algorithmic fairness in health economics: predictive algorithms trained on data reflecting existing disparities will perpetuate and potentially amplify those disparities. Fairness-aware ML methods — including equalized odds constraints, calibration across demographic groups, and disparate impact testing — are increasingly important for health economics researchers developing risk adjustment, resource allocation, and clinical prediction models.</w:t>
      </w:r>
    </w:p>
    <w:p>
      <w:pPr>
        <w:spacing w:after="120"/>
      </w:pPr>
      <w:r>
        <w:rPr>
          <w:sz w:val="24"/>
          <w:szCs w:val="24"/>
          <w:rFonts w:ascii="Arial" w:cs="Arial" w:eastAsia="Arial" w:hAnsi="Arial"/>
        </w:rPr>
      </w:r>
      <w:r>
        <w:rPr>
          <w:b/>
          <w:bCs/>
          <w:sz w:val="24"/>
          <w:szCs w:val="24"/>
          <w:rFonts w:ascii="Arial" w:cs="Arial" w:eastAsia="Arial" w:hAnsi="Arial"/>
        </w:rPr>
        <w:t xml:space="preserve">Table 16.1: ML Methods for Health Economics</w:t>
      </w:r>
      <w:r>
        <w:rPr>
          <w:sz w:val="24"/>
          <w:szCs w:val="24"/>
          <w:rFonts w:ascii="Arial" w:cs="Arial" w:eastAsia="Arial" w:hAnsi="Arial"/>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Method</w:t>
            </w:r>
          </w:p>
        </w:tc>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Primary Use</w:t>
            </w:r>
          </w:p>
        </w:tc>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Causal Inference?</w:t>
            </w:r>
          </w:p>
        </w:tc>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Health Economics Application</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LASSO</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Variable selection, prediction</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No (biased coefficients)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Risk adjustment, claims-based prediction</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Random Forest</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Flexible prediction</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No (ensemble average)</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Readmission prediction, mortality scoring</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Gradient Boosting</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High-accuracy prediction</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No</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Cost prediction, fraud detection</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Causal Forest</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Heterogeneous treatment effects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Yes (CATE estimation)</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Personalized treatment assignment</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DML</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Causal inference with ML controls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Yes (valid inference on θ)</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High-dimensional confounding adjustment</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Post-LASSO</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Variable selection for causal models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Partially</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Instrument selection, control selection</w:t>
            </w:r>
          </w:p>
        </w:tc>
      </w:tr>
    </w:tbl>
    <w:p>
      <w:pPr>
        <w:spacing w:after="200"/>
      </w:pPr>
    </w:p>
    <w:p>
      <w:pPr>
        <w:pStyle w:val="Heading2"/>
        <w:spacing w:before="300" w:after="150"/>
      </w:pPr>
      <w:r>
        <w:rPr>
          <w:b/>
          <w:bCs/>
          <w:sz w:val="30"/>
          <w:szCs w:val="30"/>
          <w:rFonts w:ascii="Arial" w:cs="Arial" w:eastAsia="Arial" w:hAnsi="Arial"/>
        </w:rPr>
        <w:t xml:space="preserve">Conclusion</w:t>
      </w:r>
    </w:p>
    <w:p>
      <w:pPr>
        <w:spacing w:after="120"/>
      </w:pPr>
      <w:r>
        <w:rPr>
          <w:sz w:val="24"/>
          <w:szCs w:val="24"/>
          <w:rFonts w:ascii="Arial" w:cs="Arial" w:eastAsia="Arial" w:hAnsi="Arial"/>
        </w:rPr>
        <w:t xml:space="preserve">Machine learning methods have expanded the health economics toolkit by providing powerful predictive algorithms, flexible approaches to heterogeneous treatment effect estimation, and principled methods for handling high-dimensional confounders in causal analyses. The key methodological insight is that ML and econometrics are complementary — ML excels at flexible function approximation and prediction, while econometric identification strategies provide the causal interpretation that policy evaluation requires. The Julia implementations using MLJ.jl, EvoTrees.jl, and custom DML implementations are covered in Chapter 24.</w:t>
      </w:r>
    </w:p>
    <w:p>
      <w:pPr>
        <w:pStyle w:val="Heading2"/>
        <w:spacing w:before="300" w:after="150"/>
      </w:pPr>
      <w:r>
        <w:rPr>
          <w:b/>
          <w:bCs/>
          <w:sz w:val="30"/>
          <w:szCs w:val="30"/>
          <w:rFonts w:ascii="Arial" w:cs="Arial" w:eastAsia="Arial" w:hAnsi="Arial"/>
        </w:rPr>
        <w:t xml:space="preserve">References</w:t>
      </w:r>
    </w:p>
    <w:p>
      <w:pPr>
        <w:spacing w:after="120"/>
      </w:pPr>
      <w:r>
        <w:rPr>
          <w:sz w:val="24"/>
          <w:szCs w:val="24"/>
          <w:rFonts w:ascii="Arial" w:cs="Arial" w:eastAsia="Arial" w:hAnsi="Arial"/>
        </w:rPr>
        <w:t xml:space="preserve">1. Athey, S., &amp; Imbens, G. W. (2016). Recursive partitioning for heterogeneous causal effects. </w:t>
      </w:r>
      <w:r>
        <w:rPr>
          <w:i/>
          <w:iCs/>
          <w:sz w:val="24"/>
          <w:szCs w:val="24"/>
          <w:rFonts w:ascii="Arial" w:cs="Arial" w:eastAsia="Arial" w:hAnsi="Arial"/>
        </w:rPr>
        <w:t xml:space="preserve">PNAS</w:t>
      </w:r>
      <w:r>
        <w:rPr>
          <w:sz w:val="24"/>
          <w:szCs w:val="24"/>
          <w:rFonts w:ascii="Arial" w:cs="Arial" w:eastAsia="Arial" w:hAnsi="Arial"/>
        </w:rPr>
        <w:t xml:space="preserve">, 113(27), 7353-7360.</w:t>
      </w:r>
    </w:p>
    <w:p>
      <w:pPr>
        <w:spacing w:after="120"/>
      </w:pPr>
      <w:r>
        <w:rPr>
          <w:sz w:val="24"/>
          <w:szCs w:val="24"/>
          <w:rFonts w:ascii="Arial" w:cs="Arial" w:eastAsia="Arial" w:hAnsi="Arial"/>
        </w:rPr>
        <w:t xml:space="preserve">2. Breiman, L. (2001). Random forests. </w:t>
      </w:r>
      <w:r>
        <w:rPr>
          <w:i/>
          <w:iCs/>
          <w:sz w:val="24"/>
          <w:szCs w:val="24"/>
          <w:rFonts w:ascii="Arial" w:cs="Arial" w:eastAsia="Arial" w:hAnsi="Arial"/>
        </w:rPr>
        <w:t xml:space="preserve">Machine Learning</w:t>
      </w:r>
      <w:r>
        <w:rPr>
          <w:sz w:val="24"/>
          <w:szCs w:val="24"/>
          <w:rFonts w:ascii="Arial" w:cs="Arial" w:eastAsia="Arial" w:hAnsi="Arial"/>
        </w:rPr>
        <w:t xml:space="preserve">, 45(1), 5-32.</w:t>
      </w:r>
    </w:p>
    <w:p>
      <w:pPr>
        <w:spacing w:after="120"/>
      </w:pPr>
      <w:r>
        <w:rPr>
          <w:sz w:val="24"/>
          <w:szCs w:val="24"/>
          <w:rFonts w:ascii="Arial" w:cs="Arial" w:eastAsia="Arial" w:hAnsi="Arial"/>
        </w:rPr>
        <w:t xml:space="preserve">3. Chernozhukov, V., Chetverikov, D., Demirer, M., Duflo, E., Hansen, C., Newey, W., &amp; Robins, J. (2018). Double/debiased machine learning for treatment and structural parameters. </w:t>
      </w:r>
      <w:r>
        <w:rPr>
          <w:i/>
          <w:iCs/>
          <w:sz w:val="24"/>
          <w:szCs w:val="24"/>
          <w:rFonts w:ascii="Arial" w:cs="Arial" w:eastAsia="Arial" w:hAnsi="Arial"/>
        </w:rPr>
        <w:t xml:space="preserve">Econometrics Journal</w:t>
      </w:r>
      <w:r>
        <w:rPr>
          <w:sz w:val="24"/>
          <w:szCs w:val="24"/>
          <w:rFonts w:ascii="Arial" w:cs="Arial" w:eastAsia="Arial" w:hAnsi="Arial"/>
        </w:rPr>
        <w:t xml:space="preserve">, 21(1), C1-C68.</w:t>
      </w:r>
    </w:p>
    <w:p>
      <w:pPr>
        <w:spacing w:after="120"/>
      </w:pPr>
      <w:r>
        <w:rPr>
          <w:sz w:val="24"/>
          <w:szCs w:val="24"/>
          <w:rFonts w:ascii="Arial" w:cs="Arial" w:eastAsia="Arial" w:hAnsi="Arial"/>
        </w:rPr>
        <w:t xml:space="preserve">4. Mullainathan, S., &amp; Spiess, J. (2017). Machine learning: An applied econometric approach. </w:t>
      </w:r>
      <w:r>
        <w:rPr>
          <w:i/>
          <w:iCs/>
          <w:sz w:val="24"/>
          <w:szCs w:val="24"/>
          <w:rFonts w:ascii="Arial" w:cs="Arial" w:eastAsia="Arial" w:hAnsi="Arial"/>
        </w:rPr>
        <w:t xml:space="preserve">Journal of Economic Perspectives</w:t>
      </w:r>
      <w:r>
        <w:rPr>
          <w:sz w:val="24"/>
          <w:szCs w:val="24"/>
          <w:rFonts w:ascii="Arial" w:cs="Arial" w:eastAsia="Arial" w:hAnsi="Arial"/>
        </w:rPr>
        <w:t xml:space="preserve">, 31(2), 87-106.</w:t>
      </w:r>
    </w:p>
    <w:p>
      <w:pPr>
        <w:spacing w:after="120"/>
      </w:pPr>
      <w:r>
        <w:rPr>
          <w:sz w:val="24"/>
          <w:szCs w:val="24"/>
          <w:rFonts w:ascii="Arial" w:cs="Arial" w:eastAsia="Arial" w:hAnsi="Arial"/>
        </w:rPr>
        <w:t xml:space="preserve">5. Obermeyer, Z., Powers, B., Vogeli, C., &amp; Mullainathan, S. (2019). Dissecting racial bias in an algorithm used to manage the health of populations. </w:t>
      </w:r>
      <w:r>
        <w:rPr>
          <w:i/>
          <w:iCs/>
          <w:sz w:val="24"/>
          <w:szCs w:val="24"/>
          <w:rFonts w:ascii="Arial" w:cs="Arial" w:eastAsia="Arial" w:hAnsi="Arial"/>
        </w:rPr>
        <w:t xml:space="preserve">Science</w:t>
      </w:r>
      <w:r>
        <w:rPr>
          <w:sz w:val="24"/>
          <w:szCs w:val="24"/>
          <w:rFonts w:ascii="Arial" w:cs="Arial" w:eastAsia="Arial" w:hAnsi="Arial"/>
        </w:rPr>
        <w:t xml:space="preserve">, 366(6464), 447-453.</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Fonts w:ascii="Arial" w:cs="Arial" w:eastAsia="Arial" w:hAnsi="Aria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8"/>
        <w:szCs w:val="18"/>
        <w:rFonts w:ascii="Arial" w:cs="Arial" w:eastAsia="Arial" w:hAnsi="Arial"/>
      </w:rPr>
      <w:t xml:space="preserve">Chapter 16: Machine Learning Methods for Health Econ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2">
    <w:name w:val="Heading 2"/>
    <w:basedOn w:val="Normal"/>
    <w:next w:val="Normal"/>
    <w:qFormat/>
    <w:pPr>
      <w:spacing w:before="300" w:after="150"/>
      <w:outlineLvl w:val="1"/>
    </w:pPr>
    <w:rPr>
      <w:b/>
      <w:bCs/>
      <w:sz w:val="30"/>
      <w:szCs w:val="30"/>
      <w:rFonts w:ascii="Arial" w:cs="Arial" w:eastAsia="Arial" w:hAnsi="Arial"/>
    </w:rPr>
  </w:style>
  <w:style w:type="paragraph" w:styleId="Heading3">
    <w:name w:val="Heading 3"/>
    <w:basedOn w:val="Normal"/>
    <w:next w:val="Normal"/>
    <w:qFormat/>
    <w:pPr>
      <w:spacing w:before="200" w:after="100"/>
      <w:outlineLvl w:val="2"/>
    </w:pPr>
    <w:rPr>
      <w:b/>
      <w:bCs/>
      <w:sz w:val="26"/>
      <w:szCs w:val="26"/>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2026-04-15T22:36:02.676Z</dcterms:created>
  <dcterms:modified xsi:type="dcterms:W3CDTF">2026-04-15T22:36:02.676Z</dcterms:modified>
</cp:coreProperties>
</file>

<file path=docProps/custom.xml><?xml version="1.0" encoding="utf-8"?>
<Properties xmlns="http://schemas.openxmlformats.org/officeDocument/2006/custom-properties" xmlns:vt="http://schemas.openxmlformats.org/officeDocument/2006/docPropsVTypes"/>
</file>