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8</w:t>
      </w:r>
    </w:p>
    <w:p>
      <w:pPr>
        <w:jc w:val="center"/>
      </w:pPr>
      <w:r>
        <w:rPr>
          <w:i/>
          <w:iCs/>
          <w:sz w:val="32"/>
          <w:szCs w:val="32"/>
          <w:rFonts w:ascii="Arial" w:cs="Arial" w:eastAsia="Arial" w:hAnsi="Arial"/>
        </w:rPr>
        <w:t xml:space="preserve">Rural Health Economics and Critical Access Hospitals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Rural health economics occupies a distinctive position within the broader field because it operates under constraints that fundamentally alter the assumptions of standard healthcare market models. The competitive market frameworks that underpin much of health economics — multiple providers competing for patients, insurers negotiating prices, consumers choosing among alternatives — break down when the nearest hospital is 45 miles away, when a single physician serves an entire county, and when patient volumes are too low to support subspecialty services, advanced imaging, or high-acuity obstetric care. Rural healthcare delivery is characterized by geographic isolation, low population density, limited labor markets, unfavorable payer mix, constrained economies of scale, and a patient population that is older, sicker, and poorer than the national average. These structural features create an economic environment in which the standard prescription of market competition is often inapplicable, and in which public policy — particularly federal payment policy — plays a determinative role in the financial viability of healthcare institutions.</w:t>
      </w:r>
    </w:p>
    <w:p>
      <w:pPr>
        <w:spacing w:after="120"/>
      </w:pPr>
      <w:r>
        <w:rPr>
          <w:sz w:val="24"/>
          <w:szCs w:val="24"/>
          <w:rFonts w:ascii="Arial" w:cs="Arial" w:eastAsia="Arial" w:hAnsi="Arial"/>
        </w:rPr>
        <w:t xml:space="preserve">The stakes are high. Since 2010, more than 170 rural hospitals in the United States have closed, and an additional 600 or more have been identified as financially vulnerable. Hospital closures eliminate the largest employer in many rural communities, reduce property values, increase travel distances to emergency and inpatient care, and are associated with measurable increases in mortality for time-sensitive conditions. The economics of rural hospital viability is therefore not merely a health policy question but a question of community survival.</w:t>
      </w:r>
    </w:p>
    <w:p>
      <w:pPr>
        <w:spacing w:after="120"/>
      </w:pPr>
      <w:r>
        <w:rPr>
          <w:sz w:val="24"/>
          <w:szCs w:val="24"/>
          <w:rFonts w:ascii="Arial" w:cs="Arial" w:eastAsia="Arial" w:hAnsi="Arial"/>
        </w:rPr>
        <w:t xml:space="preserve">This chapter provides a comprehensive treatment of rural health economics for graduate researchers, with particular emphasis on Critical Access Hospital (CAH) economics and rural health policy. We begin with the definitional and measurement challenges of characterizing "rural," then examine the structural economic model of rural healthcare delivery, the CAH program and its payment mechanics, the epidemiology and economics of rural hospital closure, rural-specific payment policies, telehealth economics, rural workforce challenges, and the fundamental policy tension between efficiency and access in rural healthcare. Throughout, the chapter is grounded in the specific institutional and regulatory details of the US rural healthcare system.</w:t>
      </w:r>
    </w:p>
    <w:p>
      <w:pPr>
        <w:pStyle w:val="Heading2"/>
        <w:spacing w:before="300" w:after="150"/>
      </w:pPr>
      <w:r>
        <w:rPr>
          <w:b/>
          <w:bCs/>
          <w:sz w:val="30"/>
          <w:szCs w:val="30"/>
          <w:rFonts w:ascii="Arial" w:cs="Arial" w:eastAsia="Arial" w:hAnsi="Arial"/>
        </w:rPr>
        <w:t xml:space="preserve">Defining Rural: Classification Systems and Their Consequences</w:t>
      </w:r>
    </w:p>
    <w:p>
      <w:pPr>
        <w:pStyle w:val="Heading3"/>
        <w:spacing w:before="200" w:after="100"/>
      </w:pPr>
      <w:r>
        <w:rPr>
          <w:b/>
          <w:bCs/>
          <w:sz w:val="26"/>
          <w:szCs w:val="26"/>
          <w:rFonts w:ascii="Arial" w:cs="Arial" w:eastAsia="Arial" w:hAnsi="Arial"/>
        </w:rPr>
        <w:t xml:space="preserve">Census-Based Definitions</w:t>
      </w:r>
    </w:p>
    <w:p>
      <w:pPr>
        <w:spacing w:after="120"/>
      </w:pPr>
      <w:r>
        <w:rPr>
          <w:sz w:val="24"/>
          <w:szCs w:val="24"/>
          <w:rFonts w:ascii="Arial" w:cs="Arial" w:eastAsia="Arial" w:hAnsi="Arial"/>
        </w:rPr>
        <w:t xml:space="preserve">The seemingly simple question "what is rural?" has no single answer in US health policy. Multiple federal agencies use different classification systems, and the choice of definition materially affects which communities qualify for rural-designated programs, payment adjustments, and grant funding.</w:t>
      </w:r>
    </w:p>
    <w:p>
      <w:pPr>
        <w:spacing w:after="120"/>
      </w:pPr>
      <w:r>
        <w:rPr>
          <w:sz w:val="24"/>
          <w:szCs w:val="24"/>
          <w:rFonts w:ascii="Arial" w:cs="Arial" w:eastAsia="Arial" w:hAnsi="Arial"/>
        </w:rPr>
        <w:t xml:space="preserve">The US Census Bureau defines "urban" as census blocks or block groups with population density of at least 1,000 persons per square mile (for urbanized areas of 50,000+ population) or 500 persons per square mile (for urban clusters of 2,500-49,999 population). Everything that is not urban is classified as "rural." Under this definition, approximately 97% of US land area and approximately 20% of the US population (approximately 60 million people) are rural.</w:t>
      </w:r>
    </w:p>
    <w:p>
      <w:pPr>
        <w:spacing w:after="120"/>
      </w:pPr>
      <w:r>
        <w:rPr>
          <w:sz w:val="24"/>
          <w:szCs w:val="24"/>
          <w:rFonts w:ascii="Arial" w:cs="Arial" w:eastAsia="Arial" w:hAnsi="Arial"/>
        </w:rPr>
        <w:t xml:space="preserve">The Census definition is binary (urban vs. rural) and does not capture the substantial heterogeneity within "rural" areas. A community of 15,000 people adjacent to a metropolitan area faces fundamentally different healthcare access challenges than an isolated community of 500 people in a frontier region. More refined classification systems have been developed to address this limitation.</w:t>
      </w:r>
    </w:p>
    <w:p>
      <w:pPr>
        <w:pStyle w:val="Heading3"/>
        <w:spacing w:before="200" w:after="100"/>
      </w:pPr>
      <w:r>
        <w:rPr>
          <w:b/>
          <w:bCs/>
          <w:sz w:val="26"/>
          <w:szCs w:val="26"/>
          <w:rFonts w:ascii="Arial" w:cs="Arial" w:eastAsia="Arial" w:hAnsi="Arial"/>
        </w:rPr>
        <w:t xml:space="preserve">Office of Management and Budget Metropolitan Designations</w:t>
      </w:r>
    </w:p>
    <w:p>
      <w:pPr>
        <w:spacing w:after="120"/>
      </w:pPr>
      <w:r>
        <w:rPr>
          <w:sz w:val="24"/>
          <w:szCs w:val="24"/>
          <w:rFonts w:ascii="Arial" w:cs="Arial" w:eastAsia="Arial" w:hAnsi="Arial"/>
        </w:rPr>
        <w:t xml:space="preserve">The OMB classifies counties as metropolitan (metro), micropolitan (micro), or neither, based on population thresholds and commuting patterns. Metropolitan statistical areas (MSAs) contain at least one urbanized area of 50,000 or more population, plus adjacent counties with high commuting integration. Micropolitan statistical areas contain an urbanized area of 10,000-49,999 population. Counties that are neither metro nor micro are classified as "noncore."</w:t>
      </w:r>
    </w:p>
    <w:p>
      <w:pPr>
        <w:spacing w:after="120"/>
      </w:pPr>
      <w:r>
        <w:rPr>
          <w:sz w:val="24"/>
          <w:szCs w:val="24"/>
          <w:rFonts w:ascii="Arial" w:cs="Arial" w:eastAsia="Arial" w:hAnsi="Arial"/>
        </w:rPr>
        <w:t xml:space="preserve">The OMB classification is widely used in federal programs and health services research, but its county-level granularity is coarse — a county classified as "metropolitan" may contain substantial rural territory, and a county classified as "noncore" may have a small town that functions as a regional service center.</w:t>
      </w:r>
    </w:p>
    <w:p>
      <w:pPr>
        <w:pStyle w:val="Heading3"/>
        <w:spacing w:before="200" w:after="100"/>
      </w:pPr>
      <w:r>
        <w:rPr>
          <w:b/>
          <w:bCs/>
          <w:sz w:val="26"/>
          <w:szCs w:val="26"/>
          <w:rFonts w:ascii="Arial" w:cs="Arial" w:eastAsia="Arial" w:hAnsi="Arial"/>
        </w:rPr>
        <w:t xml:space="preserve">Rural-Urban Commuting Area Codes</w:t>
      </w:r>
    </w:p>
    <w:p>
      <w:pPr>
        <w:spacing w:after="120"/>
      </w:pPr>
      <w:r>
        <w:rPr>
          <w:sz w:val="24"/>
          <w:szCs w:val="24"/>
          <w:rFonts w:ascii="Arial" w:cs="Arial" w:eastAsia="Arial" w:hAnsi="Arial"/>
        </w:rPr>
        <w:t xml:space="preserve">Rural-Urban Commuting Area (RUCA) codes, developed by the USDA Economic Research Service and the University of Washington's WWAMI Rural Health Research Center, classify census tracts (rather than counties) based on population density and commuting patterns. The primary RUCA codes range from 1 (metropolitan core) to 10 (rural area with primary commuting flow within the tract), with secondary codes providing additional granularity.</w:t>
      </w:r>
    </w:p>
    <w:p>
      <w:pPr>
        <w:spacing w:after="120"/>
      </w:pPr>
      <w:r>
        <w:rPr>
          <w:sz w:val="24"/>
          <w:szCs w:val="24"/>
          <w:rFonts w:ascii="Arial" w:cs="Arial" w:eastAsia="Arial" w:hAnsi="Arial"/>
        </w:rPr>
        <w:t xml:space="preserve">RUCA codes are the most geographically precise classification system and are increasingly used in health services research. The Federal Office of Rural Health Policy (FORHP) uses RUCA codes (specifically, RUCA codes 4-10) as one basis for designating areas as rural for purposes of program eligibility.</w:t>
      </w:r>
    </w:p>
    <w:p>
      <w:pPr>
        <w:pStyle w:val="Heading3"/>
        <w:spacing w:before="200" w:after="100"/>
      </w:pPr>
      <w:r>
        <w:rPr>
          <w:b/>
          <w:bCs/>
          <w:sz w:val="26"/>
          <w:szCs w:val="26"/>
          <w:rFonts w:ascii="Arial" w:cs="Arial" w:eastAsia="Arial" w:hAnsi="Arial"/>
        </w:rPr>
        <w:t xml:space="preserve">Why Definition Matters for Policy and Research</w:t>
      </w:r>
    </w:p>
    <w:p>
      <w:pPr>
        <w:spacing w:after="120"/>
      </w:pPr>
      <w:r>
        <w:rPr>
          <w:sz w:val="24"/>
          <w:szCs w:val="24"/>
          <w:rFonts w:ascii="Arial" w:cs="Arial" w:eastAsia="Arial" w:hAnsi="Arial"/>
        </w:rPr>
        <w:t xml:space="preserve">The choice of rural definition has concrete policy consequences. A hospital located in a county classified as "metropolitan" under the OMB system may be ineligible for rural payment adjustments, even if it serves a predominantly rural population. Conversely, a hospital in a county classified as "noncore" may receive rural designations and payment adjustments even if it is located in a small city with adequate healthcare resources.</w:t>
      </w:r>
    </w:p>
    <w:p>
      <w:pPr>
        <w:spacing w:after="120"/>
      </w:pPr>
      <w:r>
        <w:rPr>
          <w:sz w:val="24"/>
          <w:szCs w:val="24"/>
          <w:rFonts w:ascii="Arial" w:cs="Arial" w:eastAsia="Arial" w:hAnsi="Arial"/>
        </w:rPr>
        <w:t xml:space="preserve">For health economics research, the choice of rural definition affects sample selection, variable construction, and the generalizability of findings. Researchers should specify and justify their rural definition, consider sensitivity analyses using alternative definitions, and be transparent about the limitations of any single classification system.</w:t>
      </w:r>
    </w:p>
    <w:p>
      <w:pPr>
        <w:pStyle w:val="Heading2"/>
        <w:spacing w:before="300" w:after="150"/>
      </w:pPr>
      <w:r>
        <w:rPr>
          <w:b/>
          <w:bCs/>
          <w:sz w:val="30"/>
          <w:szCs w:val="30"/>
          <w:rFonts w:ascii="Arial" w:cs="Arial" w:eastAsia="Arial" w:hAnsi="Arial"/>
        </w:rPr>
        <w:t xml:space="preserve">The Rural Health Economic Model</w:t>
      </w:r>
    </w:p>
    <w:p>
      <w:pPr>
        <w:pStyle w:val="Heading3"/>
        <w:spacing w:before="200" w:after="100"/>
      </w:pPr>
      <w:r>
        <w:rPr>
          <w:b/>
          <w:bCs/>
          <w:sz w:val="26"/>
          <w:szCs w:val="26"/>
          <w:rFonts w:ascii="Arial" w:cs="Arial" w:eastAsia="Arial" w:hAnsi="Arial"/>
        </w:rPr>
        <w:t xml:space="preserve">Low Volumes and High Per-Unit Costs</w:t>
      </w:r>
    </w:p>
    <w:p>
      <w:pPr>
        <w:spacing w:after="120"/>
      </w:pPr>
      <w:r>
        <w:rPr>
          <w:sz w:val="24"/>
          <w:szCs w:val="24"/>
          <w:rFonts w:ascii="Arial" w:cs="Arial" w:eastAsia="Arial" w:hAnsi="Arial"/>
        </w:rPr>
        <w:t xml:space="preserve">The fundamental economic challenge of rural healthcare delivery is the low-volume, high-fixed-cost production function. Healthcare delivery requires substantial fixed costs — physical plant, equipment, staffing for 24/7 coverage, regulatory compliance, health information technology, administrative infrastructure — that must be spread across whatever patient volume the facility serves. When that volume is low, fixed costs per patient are high, and the average total cost of care substantially exceeds what would be observed in a higher-volume facility.</w:t>
      </w:r>
    </w:p>
    <w:p>
      <w:pPr>
        <w:spacing w:after="120"/>
      </w:pPr>
      <w:r>
        <w:rPr>
          <w:sz w:val="24"/>
          <w:szCs w:val="24"/>
          <w:rFonts w:ascii="Arial" w:cs="Arial" w:eastAsia="Arial" w:hAnsi="Arial"/>
        </w:rPr>
        <w:t xml:space="preserve">Consider a rural hospital with 15 staffed beds and approximately 500 annual admissions. The hospital must maintain 24-hour emergency department coverage (requiring a minimum of 4.2 full-time-equivalent emergency physicians to cover all shifts), 24-hour nursing coverage (minimum staffing ratios regardless of census), laboratory and imaging services, pharmacy, housekeeping, dietary, medical records, billing, administration, and facility maintenance. These fixed costs — easily $8 million to $15 million annually for a small rural hospital — are divided across a patient base that may generate only $10 million to $20 million in total revenue. The resulting per-patient cost is substantially higher than that of an urban hospital serving 15,000 annual admissions with similar fixed cost infrastructure but 30 times the volume over which to spread it.</w:t>
      </w:r>
    </w:p>
    <w:p>
      <w:pPr>
        <w:spacing w:after="120"/>
      </w:pPr>
      <w:r>
        <w:rPr>
          <w:sz w:val="24"/>
          <w:szCs w:val="24"/>
          <w:rFonts w:ascii="Arial" w:cs="Arial" w:eastAsia="Arial" w:hAnsi="Arial"/>
        </w:rPr>
        <w:t xml:space="preserve">This volume-cost relationship creates a structural financial disadvantage for rural hospitals that cannot be overcome through efficiency improvements alone. Even a perfectly efficient rural hospital will have higher per-unit costs than a perfectly efficient urban hospital, simply because of the volume differential. This structural reality is the economic justification for the cost-based reimbursement methodology of the Critical Access Hospital program.</w:t>
      </w:r>
    </w:p>
    <w:p>
      <w:pPr>
        <w:pStyle w:val="Heading3"/>
        <w:spacing w:before="200" w:after="100"/>
      </w:pPr>
      <w:r>
        <w:rPr>
          <w:b/>
          <w:bCs/>
          <w:sz w:val="26"/>
          <w:szCs w:val="26"/>
          <w:rFonts w:ascii="Arial" w:cs="Arial" w:eastAsia="Arial" w:hAnsi="Arial"/>
        </w:rPr>
        <w:t xml:space="preserve">Payer Mix Challenges</w:t>
      </w:r>
    </w:p>
    <w:p>
      <w:pPr>
        <w:spacing w:after="120"/>
      </w:pPr>
      <w:r>
        <w:rPr>
          <w:sz w:val="24"/>
          <w:szCs w:val="24"/>
          <w:rFonts w:ascii="Arial" w:cs="Arial" w:eastAsia="Arial" w:hAnsi="Arial"/>
        </w:rPr>
        <w:t xml:space="preserve">Rural populations are older, more likely to be disabled, more likely to be low-income, and more likely to be uninsured or underinsured than urban populations. These demographic characteristics translate into a payer mix that is unfavorable for hospital financial viability.</w:t>
      </w:r>
    </w:p>
    <w:p>
      <w:pPr>
        <w:spacing w:after="120"/>
      </w:pPr>
      <w:r>
        <w:rPr>
          <w:sz w:val="24"/>
          <w:szCs w:val="24"/>
          <w:rFonts w:ascii="Arial" w:cs="Arial" w:eastAsia="Arial" w:hAnsi="Arial"/>
        </w:rPr>
        <w:t xml:space="preserve">Medicare accounts for a substantially higher share of rural hospital revenue (approximately 45-55%) compared to urban hospitals (approximately 35-40%), reflecting the older age distribution of rural populations. Medicaid accounts for a higher share in many rural areas due to higher poverty rates. Commercial insurance — which typically reimburses at rates 150-250% of Medicare — accounts for a correspondingly smaller share of rural hospital revenue. The higher proportion of government payers, which reimburse at rates closer to (or below) cost, compresses rural hospital margins and limits the cross-subsidization capacity that urban hospitals use to fund unprofitable services.</w:t>
      </w:r>
    </w:p>
    <w:p>
      <w:pPr>
        <w:spacing w:after="120"/>
      </w:pPr>
      <w:r>
        <w:rPr>
          <w:sz w:val="24"/>
          <w:szCs w:val="24"/>
          <w:rFonts w:ascii="Arial" w:cs="Arial" w:eastAsia="Arial" w:hAnsi="Arial"/>
        </w:rPr>
        <w:t xml:space="preserve">The uninsured rate in rural areas has historically exceeded the urban rate, though the gap has narrowed in states that expanded Medicaid under the ACA. In non-expansion states, rural uninsured rates remain substantially elevated, and the resulting uncompensated care burden contributes to rural hospital financial distress. Medicaid expansion has been associated with significant improvements in rural hospital financial performance, reductions in uncompensated care, and lower probability of closure — findings that provide some of the strongest empirical evidence for the economic effects of coverage expansion on provider viability.</w:t>
      </w:r>
    </w:p>
    <w:p>
      <w:pPr>
        <w:pStyle w:val="Heading3"/>
        <w:spacing w:before="200" w:after="100"/>
      </w:pPr>
      <w:r>
        <w:rPr>
          <w:b/>
          <w:bCs/>
          <w:sz w:val="26"/>
          <w:szCs w:val="26"/>
          <w:rFonts w:ascii="Arial" w:cs="Arial" w:eastAsia="Arial" w:hAnsi="Arial"/>
        </w:rPr>
        <w:t xml:space="preserve">Limited Labor Markets</w:t>
      </w:r>
    </w:p>
    <w:p>
      <w:pPr>
        <w:spacing w:after="120"/>
      </w:pPr>
      <w:r>
        <w:rPr>
          <w:sz w:val="24"/>
          <w:szCs w:val="24"/>
          <w:rFonts w:ascii="Arial" w:cs="Arial" w:eastAsia="Arial" w:hAnsi="Arial"/>
        </w:rPr>
        <w:t xml:space="preserve">Rural communities face persistent challenges in recruiting and retaining healthcare professionals. The reasons are both economic and non-economic. Economically, rural providers often earn less than urban counterparts (particularly in primary care, where rural salaries are competitive, but less so for specialists), practice in resource-constrained environments, and face limited opportunities for career advancement. Non-economically, rural communities may offer fewer educational opportunities for providers' children, limited employment opportunities for spouses, less cultural and recreational amenity, and greater professional isolation.</w:t>
      </w:r>
    </w:p>
    <w:p>
      <w:pPr>
        <w:spacing w:after="120"/>
      </w:pPr>
      <w:r>
        <w:rPr>
          <w:sz w:val="24"/>
          <w:szCs w:val="24"/>
          <w:rFonts w:ascii="Arial" w:cs="Arial" w:eastAsia="Arial" w:hAnsi="Arial"/>
        </w:rPr>
        <w:t xml:space="preserve">The physician-to-population ratio in rural areas is approximately half that of urban areas (approximately 40 physicians per 100,000 population vs. 80 per 100,000 in urban areas). The specialist gap is even larger — many rural communities have no locally available cardiologist, neurologist, psychiatrist, or obstetrician. Nursing shortages in rural areas are similarly acute, exacerbated by an aging rural nursing workforce and competition from urban facilities that can offer higher wages, better benefits, and more predictable schedules.</w:t>
      </w:r>
    </w:p>
    <w:p>
      <w:pPr>
        <w:pStyle w:val="Heading2"/>
        <w:spacing w:before="300" w:after="150"/>
      </w:pPr>
      <w:r>
        <w:rPr>
          <w:b/>
          <w:bCs/>
          <w:sz w:val="30"/>
          <w:szCs w:val="30"/>
          <w:rFonts w:ascii="Arial" w:cs="Arial" w:eastAsia="Arial" w:hAnsi="Arial"/>
        </w:rPr>
        <w:t xml:space="preserve">The Critical Access Hospital Program</w:t>
      </w:r>
    </w:p>
    <w:p>
      <w:pPr>
        <w:pStyle w:val="Heading3"/>
        <w:spacing w:before="200" w:after="100"/>
      </w:pPr>
      <w:r>
        <w:rPr>
          <w:b/>
          <w:bCs/>
          <w:sz w:val="26"/>
          <w:szCs w:val="26"/>
          <w:rFonts w:ascii="Arial" w:cs="Arial" w:eastAsia="Arial" w:hAnsi="Arial"/>
        </w:rPr>
        <w:t xml:space="preserve">Legislative History and Program Design</w:t>
      </w:r>
    </w:p>
    <w:p>
      <w:pPr>
        <w:spacing w:after="120"/>
      </w:pPr>
      <w:r>
        <w:rPr>
          <w:sz w:val="24"/>
          <w:szCs w:val="24"/>
          <w:rFonts w:ascii="Arial" w:cs="Arial" w:eastAsia="Arial" w:hAnsi="Arial"/>
        </w:rPr>
        <w:t xml:space="preserve">The Critical Access Hospital (CAH) program was established by the Balanced Budget Act of 1997 in response to a wave of rural hospital closures during the 1980s and 1990s. The program was designed to preserve access to emergency and inpatient care in isolated rural communities by providing a more favorable reimbursement methodology for qualifying facilities.</w:t>
      </w:r>
    </w:p>
    <w:p>
      <w:pPr>
        <w:spacing w:after="120"/>
      </w:pPr>
      <w:r>
        <w:rPr>
          <w:sz w:val="24"/>
          <w:szCs w:val="24"/>
          <w:rFonts w:ascii="Arial" w:cs="Arial" w:eastAsia="Arial" w:hAnsi="Arial"/>
        </w:rPr>
        <w:t xml:space="preserve">To qualify for CAH designation, a hospital must meet the following criteria:</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Location</w:t>
      </w:r>
      <w:r>
        <w:rPr>
          <w:sz w:val="24"/>
          <w:szCs w:val="24"/>
          <w:rFonts w:ascii="Arial" w:cs="Arial" w:eastAsia="Arial" w:hAnsi="Arial"/>
        </w:rPr>
        <w:t xml:space="preserve">: Located in a state that has established a State Medicare Rural Hospital Flexibility (Flex) Program, and located more than 35 miles (or 15 miles in mountainous terrain or areas with only secondary roads) from the nearest hospital, or certified by the state as a "necessary provider" of healthcare services.</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Size</w:t>
      </w:r>
      <w:r>
        <w:rPr>
          <w:sz w:val="24"/>
          <w:szCs w:val="24"/>
          <w:rFonts w:ascii="Arial" w:cs="Arial" w:eastAsia="Arial" w:hAnsi="Arial"/>
        </w:rPr>
        <w:t xml:space="preserve">: Maintains no more than 25 acute care inpatient beds (the bed count includes acute care beds and swing beds but excludes distinct-part skilled nursing facility beds).</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Length of stay</w:t>
      </w:r>
      <w:r>
        <w:rPr>
          <w:sz w:val="24"/>
          <w:szCs w:val="24"/>
          <w:rFonts w:ascii="Arial" w:cs="Arial" w:eastAsia="Arial" w:hAnsi="Arial"/>
        </w:rPr>
        <w:t xml:space="preserve">: Maintains an annual average length of stay of 96 hours or less for acute care patients.</w:t>
      </w:r>
    </w:p>
    <w:p>
      <w:pPr>
        <w:spacing w:after="120"/>
      </w:pPr>
      <w:r>
        <w:rPr>
          <w:sz w:val="24"/>
          <w:szCs w:val="24"/>
          <w:rFonts w:ascii="Arial" w:cs="Arial" w:eastAsia="Arial" w:hAnsi="Arial"/>
        </w:rPr>
        <w:t xml:space="preserve">4. </w:t>
      </w:r>
      <w:r>
        <w:rPr>
          <w:b/>
          <w:bCs/>
          <w:sz w:val="24"/>
          <w:szCs w:val="24"/>
          <w:rFonts w:ascii="Arial" w:cs="Arial" w:eastAsia="Arial" w:hAnsi="Arial"/>
        </w:rPr>
        <w:t xml:space="preserve">Emergency services</w:t>
      </w:r>
      <w:r>
        <w:rPr>
          <w:sz w:val="24"/>
          <w:szCs w:val="24"/>
          <w:rFonts w:ascii="Arial" w:cs="Arial" w:eastAsia="Arial" w:hAnsi="Arial"/>
        </w:rPr>
        <w:t xml:space="preserve">: Provides 24-hour emergency care services, either on-site or through an on-call arrangement.</w:t>
      </w:r>
    </w:p>
    <w:p>
      <w:pPr>
        <w:spacing w:after="120"/>
      </w:pPr>
      <w:r>
        <w:rPr>
          <w:sz w:val="24"/>
          <w:szCs w:val="24"/>
          <w:rFonts w:ascii="Arial" w:cs="Arial" w:eastAsia="Arial" w:hAnsi="Arial"/>
        </w:rPr>
        <w:t xml:space="preserve">As of 2024, approximately 1,360 hospitals are designated as CAHs, representing approximately 29% of all community hospitals in the United States but serving only approximately 4% of total hospital admissions.</w:t>
      </w:r>
    </w:p>
    <w:p>
      <w:pPr>
        <w:pStyle w:val="Heading3"/>
        <w:spacing w:before="200" w:after="100"/>
      </w:pPr>
      <w:r>
        <w:rPr>
          <w:b/>
          <w:bCs/>
          <w:sz w:val="26"/>
          <w:szCs w:val="26"/>
          <w:rFonts w:ascii="Arial" w:cs="Arial" w:eastAsia="Arial" w:hAnsi="Arial"/>
        </w:rPr>
        <w:t xml:space="preserve">Cost-Based Reimbursement Mechanics</w:t>
      </w:r>
    </w:p>
    <w:p>
      <w:pPr>
        <w:spacing w:after="120"/>
      </w:pPr>
      <w:r>
        <w:rPr>
          <w:sz w:val="24"/>
          <w:szCs w:val="24"/>
          <w:rFonts w:ascii="Arial" w:cs="Arial" w:eastAsia="Arial" w:hAnsi="Arial"/>
        </w:rPr>
        <w:t xml:space="preserve">The defining economic feature of the CAH program is cost-based reimbursement from Medicare. Unlike hospitals reimbursed under the Inpatient Prospective Payment System (IPPS), which receive a fixed payment per discharge based on the DRG (Chapter 5), CAHs receive payment equal to 101% of their reasonable costs for Medicare-covered services. This cost-plus reimbursement eliminates the volume risk that IPPS hospitals face — a CAH that treats one Medicare patient or fifty Medicare patients receives payment that covers its actual costs of treating those patients, plus a 1% margin.</w:t>
      </w:r>
    </w:p>
    <w:p>
      <w:pPr>
        <w:spacing w:after="120"/>
      </w:pPr>
      <w:r>
        <w:rPr>
          <w:sz w:val="24"/>
          <w:szCs w:val="24"/>
          <w:rFonts w:ascii="Arial" w:cs="Arial" w:eastAsia="Arial" w:hAnsi="Arial"/>
        </w:rPr>
        <w:t xml:space="preserve">The cost-based reimbursement methodology is implemented through the Medicare cost report (CMS Form 2552-10), which CAHs file annually. The cost report allocates the hospital's total allowable costs across cost centers (routine inpatient care, ancillary services, outpatient services, emergency department) using step-down cost allocation methodology. Medicare's share of allowable costs is determined by the ratio of Medicare charges to total charges in each cost center.</w:t>
      </w:r>
    </w:p>
    <w:p>
      <w:pPr>
        <w:spacing w:after="120"/>
      </w:pPr>
      <w:r>
        <w:rPr>
          <w:sz w:val="24"/>
          <w:szCs w:val="24"/>
          <w:rFonts w:ascii="Arial" w:cs="Arial" w:eastAsia="Arial" w:hAnsi="Arial"/>
        </w:rPr>
        <w:t xml:space="preserve">The 101% reimbursement rate was established to ensure that CAHs earn a positive margin on Medicare patients, providing a financial cushion that partially compensates for the unfavorable payer mix and low volume that characterize rural hospitals. In practice, however, the 1% margin is modest, and CAH financial viability depends heavily on the adequacy of non-Medicare revenue (Medicaid, commercial insurance, out-of-pocket payments) and on the efficiency of operations.</w:t>
      </w:r>
    </w:p>
    <w:p>
      <w:pPr>
        <w:pStyle w:val="Heading3"/>
        <w:spacing w:before="200" w:after="100"/>
      </w:pPr>
      <w:r>
        <w:rPr>
          <w:b/>
          <w:bCs/>
          <w:sz w:val="26"/>
          <w:szCs w:val="26"/>
          <w:rFonts w:ascii="Arial" w:cs="Arial" w:eastAsia="Arial" w:hAnsi="Arial"/>
        </w:rPr>
        <w:t xml:space="preserve">Swing Bed Program</w:t>
      </w:r>
    </w:p>
    <w:p>
      <w:pPr>
        <w:spacing w:after="120"/>
      </w:pPr>
      <w:r>
        <w:rPr>
          <w:sz w:val="24"/>
          <w:szCs w:val="24"/>
          <w:rFonts w:ascii="Arial" w:cs="Arial" w:eastAsia="Arial" w:hAnsi="Arial"/>
        </w:rPr>
        <w:t xml:space="preserve">The swing bed program allows CAHs to use their acute care beds for skilled nursing facility (SNF) services without maintaining a distinct-part SNF unit. This flexibility is economically important because it allows CAHs to increase bed occupancy by admitting post-acute patients who would otherwise be transferred to distant SNF facilities, generating additional revenue while reducing patient and family travel burden.</w:t>
      </w:r>
    </w:p>
    <w:p>
      <w:pPr>
        <w:spacing w:after="120"/>
      </w:pPr>
      <w:r>
        <w:rPr>
          <w:sz w:val="24"/>
          <w:szCs w:val="24"/>
          <w:rFonts w:ascii="Arial" w:cs="Arial" w:eastAsia="Arial" w:hAnsi="Arial"/>
        </w:rPr>
        <w:t xml:space="preserve">Swing bed services are reimbursed by Medicare on a cost-based methodology (like other CAH services), which is generally more favorable than the SNF prospective payment system rates that apply to freestanding and hospital-based SNF units in non-CAH hospitals. The swing bed program thus provides both a financial advantage (cost-based reimbursement) and a clinical advantage (enabling post-acute care closer to home) for CAH communities.</w:t>
      </w:r>
    </w:p>
    <w:p>
      <w:pPr>
        <w:pStyle w:val="Heading2"/>
        <w:spacing w:before="300" w:after="150"/>
      </w:pPr>
      <w:r>
        <w:rPr>
          <w:b/>
          <w:bCs/>
          <w:sz w:val="30"/>
          <w:szCs w:val="30"/>
          <w:rFonts w:ascii="Arial" w:cs="Arial" w:eastAsia="Arial" w:hAnsi="Arial"/>
        </w:rPr>
        <w:t xml:space="preserve">Rural Hospital Financial Distress and Closure</w:t>
      </w:r>
    </w:p>
    <w:p>
      <w:pPr>
        <w:pStyle w:val="Heading3"/>
        <w:spacing w:before="200" w:after="100"/>
      </w:pPr>
      <w:r>
        <w:rPr>
          <w:b/>
          <w:bCs/>
          <w:sz w:val="26"/>
          <w:szCs w:val="26"/>
          <w:rFonts w:ascii="Arial" w:cs="Arial" w:eastAsia="Arial" w:hAnsi="Arial"/>
        </w:rPr>
        <w:t xml:space="preserve">Trends in Rural Hospital Closures</w:t>
      </w:r>
    </w:p>
    <w:p>
      <w:pPr>
        <w:spacing w:after="120"/>
      </w:pPr>
      <w:r>
        <w:rPr>
          <w:sz w:val="24"/>
          <w:szCs w:val="24"/>
          <w:rFonts w:ascii="Arial" w:cs="Arial" w:eastAsia="Arial" w:hAnsi="Arial"/>
        </w:rPr>
        <w:t xml:space="preserve">Since 2010, more than 170 rural hospitals have closed in the United States, with the pace of closures accelerating between 2013 and 2020 before moderating somewhat during the COVID-19 pandemic (due to temporary federal financial support). The geographic distribution of closures is not uniform — closures have been concentrated in the South, particularly in states that did not expand Medicaid under the ACA.</w:t>
      </w:r>
    </w:p>
    <w:p>
      <w:pPr>
        <w:spacing w:after="120"/>
      </w:pPr>
      <w:r>
        <w:rPr>
          <w:sz w:val="24"/>
          <w:szCs w:val="24"/>
          <w:rFonts w:ascii="Arial" w:cs="Arial" w:eastAsia="Arial" w:hAnsi="Arial"/>
        </w:rPr>
        <w:t xml:space="preserve">The Chartis Center for Rural Health (formerly the Chartis Group / iVantage Health Analytics) has developed a Financial Distress Index that identifies rural hospitals at elevated risk of financial distress or closure. As of 2023, approximately 600 rural hospitals (roughly 30% of all rural hospitals) were classified as vulnerable to closure based on financial performance indicators including operating margins, days cash on hand, debt service coverage ratios, and equity-to-asset ratios.</w:t>
      </w:r>
    </w:p>
    <w:p>
      <w:pPr>
        <w:pStyle w:val="Heading3"/>
        <w:spacing w:before="200" w:after="100"/>
      </w:pPr>
      <w:r>
        <w:rPr>
          <w:b/>
          <w:bCs/>
          <w:sz w:val="26"/>
          <w:szCs w:val="26"/>
          <w:rFonts w:ascii="Arial" w:cs="Arial" w:eastAsia="Arial" w:hAnsi="Arial"/>
        </w:rPr>
        <w:t xml:space="preserve">Predictors of Closure</w:t>
      </w:r>
    </w:p>
    <w:p>
      <w:pPr>
        <w:spacing w:after="120"/>
      </w:pPr>
      <w:r>
        <w:rPr>
          <w:sz w:val="24"/>
          <w:szCs w:val="24"/>
          <w:rFonts w:ascii="Arial" w:cs="Arial" w:eastAsia="Arial" w:hAnsi="Arial"/>
        </w:rPr>
        <w:t xml:space="preserve">Empirical studies have identified several factors associated with rural hospital closure:</w:t>
      </w:r>
    </w:p>
    <w:p>
      <w:pPr>
        <w:spacing w:after="120"/>
      </w:pPr>
      <w:r>
        <w:rPr>
          <w:sz w:val="24"/>
          <w:szCs w:val="24"/>
          <w:rFonts w:ascii="Arial" w:cs="Arial" w:eastAsia="Arial" w:hAnsi="Arial"/>
        </w:rPr>
      </w:r>
      <w:r>
        <w:rPr>
          <w:b/>
          <w:bCs/>
          <w:sz w:val="24"/>
          <w:szCs w:val="24"/>
          <w:rFonts w:ascii="Arial" w:cs="Arial" w:eastAsia="Arial" w:hAnsi="Arial"/>
        </w:rPr>
        <w:t xml:space="preserve">Financial performance.</w:t>
      </w:r>
      <w:r>
        <w:rPr>
          <w:sz w:val="24"/>
          <w:szCs w:val="24"/>
          <w:rFonts w:ascii="Arial" w:cs="Arial" w:eastAsia="Arial" w:hAnsi="Arial"/>
        </w:rPr>
        <w:t xml:space="preserve"> Hospitals with persistently negative operating margins, low days cash on hand, and high debt ratios are at greatest risk. However, financial distress is a proximate cause rather than a root cause — the question is what drives financial distress.</w:t>
      </w:r>
    </w:p>
    <w:p>
      <w:pPr>
        <w:spacing w:after="120"/>
      </w:pPr>
      <w:r>
        <w:rPr>
          <w:sz w:val="24"/>
          <w:szCs w:val="24"/>
          <w:rFonts w:ascii="Arial" w:cs="Arial" w:eastAsia="Arial" w:hAnsi="Arial"/>
        </w:rPr>
      </w:r>
      <w:r>
        <w:rPr>
          <w:b/>
          <w:bCs/>
          <w:sz w:val="24"/>
          <w:szCs w:val="24"/>
          <w:rFonts w:ascii="Arial" w:cs="Arial" w:eastAsia="Arial" w:hAnsi="Arial"/>
        </w:rPr>
        <w:t xml:space="preserve">Payer mix.</w:t>
      </w:r>
      <w:r>
        <w:rPr>
          <w:sz w:val="24"/>
          <w:szCs w:val="24"/>
          <w:rFonts w:ascii="Arial" w:cs="Arial" w:eastAsia="Arial" w:hAnsi="Arial"/>
        </w:rPr>
        <w:t xml:space="preserve"> Hospitals with higher proportions of uninsured and Medicaid patients face greater financial pressure. The Medicaid expansion has been consistently associated with improved rural hospital financial performance and reduced closure risk. Lindrooth and colleagues (2018) found that Medicaid expansion reduced the probability of rural hospital closure by approximately 62% — one of the most striking findings in the rural health economics literature.</w:t>
      </w:r>
    </w:p>
    <w:p>
      <w:pPr>
        <w:spacing w:after="120"/>
      </w:pPr>
      <w:r>
        <w:rPr>
          <w:sz w:val="24"/>
          <w:szCs w:val="24"/>
          <w:rFonts w:ascii="Arial" w:cs="Arial" w:eastAsia="Arial" w:hAnsi="Arial"/>
        </w:rPr>
      </w:r>
      <w:r>
        <w:rPr>
          <w:b/>
          <w:bCs/>
          <w:sz w:val="24"/>
          <w:szCs w:val="24"/>
          <w:rFonts w:ascii="Arial" w:cs="Arial" w:eastAsia="Arial" w:hAnsi="Arial"/>
        </w:rPr>
        <w:t xml:space="preserve">Market characteristics.</w:t>
      </w:r>
      <w:r>
        <w:rPr>
          <w:sz w:val="24"/>
          <w:szCs w:val="24"/>
          <w:rFonts w:ascii="Arial" w:cs="Arial" w:eastAsia="Arial" w:hAnsi="Arial"/>
        </w:rPr>
        <w:t xml:space="preserve"> Hospitals in smaller communities, in areas with declining population, and in areas with lower per-capita income face greater closure risk. Competition from larger regional hospitals can also contribute to closure by drawing patients away from the local facility.</w:t>
      </w:r>
    </w:p>
    <w:p>
      <w:pPr>
        <w:spacing w:after="120"/>
      </w:pPr>
      <w:r>
        <w:rPr>
          <w:sz w:val="24"/>
          <w:szCs w:val="24"/>
          <w:rFonts w:ascii="Arial" w:cs="Arial" w:eastAsia="Arial" w:hAnsi="Arial"/>
        </w:rPr>
      </w:r>
      <w:r>
        <w:rPr>
          <w:b/>
          <w:bCs/>
          <w:sz w:val="24"/>
          <w:szCs w:val="24"/>
          <w:rFonts w:ascii="Arial" w:cs="Arial" w:eastAsia="Arial" w:hAnsi="Arial"/>
        </w:rPr>
        <w:t xml:space="preserve">Ownership and management.</w:t>
      </w:r>
      <w:r>
        <w:rPr>
          <w:sz w:val="24"/>
          <w:szCs w:val="24"/>
          <w:rFonts w:ascii="Arial" w:cs="Arial" w:eastAsia="Arial" w:hAnsi="Arial"/>
        </w:rPr>
        <w:t xml:space="preserve"> For-profit rural hospitals have higher closure rates than nonprofit and government-owned facilities, potentially reflecting different organizational objectives (profit maximization may lead to exit from unprofitable markets) and different access to capital.</w:t>
      </w:r>
    </w:p>
    <w:p>
      <w:pPr>
        <w:spacing w:after="120"/>
      </w:pPr>
      <w:r>
        <w:rPr>
          <w:sz w:val="24"/>
          <w:szCs w:val="24"/>
          <w:rFonts w:ascii="Arial" w:cs="Arial" w:eastAsia="Arial" w:hAnsi="Arial"/>
        </w:rPr>
      </w:r>
      <w:r>
        <w:rPr>
          <w:b/>
          <w:bCs/>
          <w:sz w:val="24"/>
          <w:szCs w:val="24"/>
          <w:rFonts w:ascii="Arial" w:cs="Arial" w:eastAsia="Arial" w:hAnsi="Arial"/>
        </w:rPr>
        <w:t xml:space="preserve">Regulatory environment.</w:t>
      </w:r>
      <w:r>
        <w:rPr>
          <w:sz w:val="24"/>
          <w:szCs w:val="24"/>
          <w:rFonts w:ascii="Arial" w:cs="Arial" w:eastAsia="Arial" w:hAnsi="Arial"/>
        </w:rPr>
        <w:t xml:space="preserve"> Certificate of need regulations, scope of practice laws, and Medicaid payment policies vary by state and affect rural hospital viability. States with more generous Medicaid payment rates and broader scope of practice for nurse practitioners tend to have more financially stable rural healthcare infrastructure.</w:t>
      </w:r>
    </w:p>
    <w:p>
      <w:pPr>
        <w:pStyle w:val="Heading3"/>
        <w:spacing w:before="200" w:after="100"/>
      </w:pPr>
      <w:r>
        <w:rPr>
          <w:b/>
          <w:bCs/>
          <w:sz w:val="26"/>
          <w:szCs w:val="26"/>
          <w:rFonts w:ascii="Arial" w:cs="Arial" w:eastAsia="Arial" w:hAnsi="Arial"/>
        </w:rPr>
        <w:t xml:space="preserve">Economic Impact of Hospital Closure</w:t>
      </w:r>
    </w:p>
    <w:p>
      <w:pPr>
        <w:spacing w:after="120"/>
      </w:pPr>
      <w:r>
        <w:rPr>
          <w:sz w:val="24"/>
          <w:szCs w:val="24"/>
          <w:rFonts w:ascii="Arial" w:cs="Arial" w:eastAsia="Arial" w:hAnsi="Arial"/>
        </w:rPr>
        <w:t xml:space="preserve">Rural hospital closure has consequences that extend far beyond healthcare access. Hospitals are frequently the largest employer in rural communities, and closure eliminates jobs for nurses, technicians, administrators, housekeeping and dietary staff, and physicians. The economic multiplier effects of these lost jobs ripple through the local economy — reduced spending at local businesses, declining tax revenue, and population outmigration.</w:t>
      </w:r>
    </w:p>
    <w:p>
      <w:pPr>
        <w:spacing w:after="120"/>
      </w:pPr>
      <w:r>
        <w:rPr>
          <w:sz w:val="24"/>
          <w:szCs w:val="24"/>
          <w:rFonts w:ascii="Arial" w:cs="Arial" w:eastAsia="Arial" w:hAnsi="Arial"/>
        </w:rPr>
        <w:t xml:space="preserve">Holmes and colleagues (2006) estimated that a rural hospital closure reduces total employment in the affected community by approximately 4% and reduces per capita income by approximately 4%. Subsequent studies have confirmed and extended these findings, documenting declines in property values, business formation, and population growth following hospital closures.</w:t>
      </w:r>
    </w:p>
    <w:p>
      <w:pPr>
        <w:spacing w:after="120"/>
      </w:pPr>
      <w:r>
        <w:rPr>
          <w:sz w:val="24"/>
          <w:szCs w:val="24"/>
          <w:rFonts w:ascii="Arial" w:cs="Arial" w:eastAsia="Arial" w:hAnsi="Arial"/>
        </w:rPr>
        <w:t xml:space="preserve">The health consequences of closure include increased travel distances to emergency care (associated with worse outcomes for time-sensitive conditions such as acute myocardial infarction, stroke, and trauma), reduced access to obstetric services, and increased mortality. Gujral and Basu (2020) found that rural hospital closures were associated with a 5.9% increase in mortality in affected communities, with effects concentrated among conditions for which timely access to emergency care is critical.</w:t>
      </w:r>
    </w:p>
    <w:p>
      <w:pPr>
        <w:spacing w:after="120"/>
      </w:pPr>
      <w:r>
        <w:rPr>
          <w:sz w:val="24"/>
          <w:szCs w:val="24"/>
          <w:rFonts w:ascii="Arial" w:cs="Arial" w:eastAsia="Arial" w:hAnsi="Arial"/>
        </w:rPr>
      </w:r>
      <w:r>
        <w:rPr>
          <w:b/>
          <w:bCs/>
          <w:sz w:val="24"/>
          <w:szCs w:val="24"/>
          <w:rFonts w:ascii="Arial" w:cs="Arial" w:eastAsia="Arial" w:hAnsi="Arial"/>
        </w:rPr>
        <w:t xml:space="preserve">Key Concepts Box: Rural Hospital Financial Viability</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Factor</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Direction of Effect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Mechanism</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Low patient volume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Negative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 fixed costs spread over few patients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 Medicare share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Negative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rates ≈ cost; limited cross-subsidy capacity</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 expansion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Positive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Reduces uncompensated care; improves payer mix</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CAH designation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Positive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Cost-based reimbursement eliminates volume risk</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Distance from urban center</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Mixed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Isolation protects from competition but limits referral volume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Population decline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Negative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Shrinking service area reduces volume further</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Aging workforce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Negative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Recruitment costs rise; turnover increases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Scope of practice flexibility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Positive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Enables NP/PA-led care models; reduces workforce cost</w:t>
            </w:r>
          </w:p>
        </w:tc>
      </w:tr>
    </w:tbl>
    <w:p>
      <w:pPr>
        <w:spacing w:after="200"/>
      </w:pPr>
    </w:p>
    <w:p>
      <w:pPr>
        <w:pStyle w:val="Heading2"/>
        <w:spacing w:before="300" w:after="150"/>
      </w:pPr>
      <w:r>
        <w:rPr>
          <w:b/>
          <w:bCs/>
          <w:sz w:val="30"/>
          <w:szCs w:val="30"/>
          <w:rFonts w:ascii="Arial" w:cs="Arial" w:eastAsia="Arial" w:hAnsi="Arial"/>
        </w:rPr>
        <w:t xml:space="preserve">Rural Payment Policies</w:t>
      </w:r>
    </w:p>
    <w:p>
      <w:pPr>
        <w:pStyle w:val="Heading3"/>
        <w:spacing w:before="200" w:after="100"/>
      </w:pPr>
      <w:r>
        <w:rPr>
          <w:b/>
          <w:bCs/>
          <w:sz w:val="26"/>
          <w:szCs w:val="26"/>
          <w:rFonts w:ascii="Arial" w:cs="Arial" w:eastAsia="Arial" w:hAnsi="Arial"/>
        </w:rPr>
        <w:t xml:space="preserve">Sole Community Hospital Program</w:t>
      </w:r>
    </w:p>
    <w:p>
      <w:pPr>
        <w:spacing w:after="120"/>
      </w:pPr>
      <w:r>
        <w:rPr>
          <w:sz w:val="24"/>
          <w:szCs w:val="24"/>
          <w:rFonts w:ascii="Arial" w:cs="Arial" w:eastAsia="Arial" w:hAnsi="Arial"/>
        </w:rPr>
        <w:t xml:space="preserve">The Sole Community Hospital (SCH) program provides enhanced payment to IPPS hospitals that are the sole source of inpatient care in their area. SCH designation requires that the hospital be located more than 35 miles from another comparable hospital, or that local topography, travel times, or weather conditions make other hospitals inaccessible for a significant portion of the year, or that the hospital meets a market share test (75% or more of Medicare inpatients in the service area).</w:t>
      </w:r>
    </w:p>
    <w:p>
      <w:pPr>
        <w:spacing w:after="120"/>
      </w:pPr>
      <w:r>
        <w:rPr>
          <w:sz w:val="24"/>
          <w:szCs w:val="24"/>
          <w:rFonts w:ascii="Arial" w:cs="Arial" w:eastAsia="Arial" w:hAnsi="Arial"/>
        </w:rPr>
        <w:t xml:space="preserve">SCHs receive the higher of two payment amounts: the standard IPPS payment (federal rate adjusted for wage index, DSH, IME) or a hospital-specific rate based on the hospital's own cost experience in a base year, updated for inflation. This "hold harmless" provision protects SCHs from payment reductions that could threaten financial viability in the absence of competitive alternatives.</w:t>
      </w:r>
    </w:p>
    <w:p>
      <w:pPr>
        <w:pStyle w:val="Heading3"/>
        <w:spacing w:before="200" w:after="100"/>
      </w:pPr>
      <w:r>
        <w:rPr>
          <w:b/>
          <w:bCs/>
          <w:sz w:val="26"/>
          <w:szCs w:val="26"/>
          <w:rFonts w:ascii="Arial" w:cs="Arial" w:eastAsia="Arial" w:hAnsi="Arial"/>
        </w:rPr>
        <w:t xml:space="preserve">Medicare-Dependent Hospital Program</w:t>
      </w:r>
    </w:p>
    <w:p>
      <w:pPr>
        <w:spacing w:after="120"/>
      </w:pPr>
      <w:r>
        <w:rPr>
          <w:sz w:val="24"/>
          <w:szCs w:val="24"/>
          <w:rFonts w:ascii="Arial" w:cs="Arial" w:eastAsia="Arial" w:hAnsi="Arial"/>
        </w:rPr>
        <w:t xml:space="preserve">The Medicare-Dependent Hospital (MDH) program provides enhanced payment to small rural hospitals (100 or fewer beds) for which Medicare inpatients constitute 60% or more of total inpatient days or discharges. MDHs receive the higher of the standard IPPS rate or a blended rate that incorporates the hospital's own cost experience, providing a floor below which payment cannot fall.</w:t>
      </w:r>
    </w:p>
    <w:p>
      <w:pPr>
        <w:spacing w:after="120"/>
      </w:pPr>
      <w:r>
        <w:rPr>
          <w:sz w:val="24"/>
          <w:szCs w:val="24"/>
          <w:rFonts w:ascii="Arial" w:cs="Arial" w:eastAsia="Arial" w:hAnsi="Arial"/>
        </w:rPr>
        <w:t xml:space="preserve">The MDH program has been subject to periodic expiration and renewal, creating uncertainty for qualifying hospitals. As of 2024, the program remains authorized but requires periodic congressional reauthorization.</w:t>
      </w:r>
    </w:p>
    <w:p>
      <w:pPr>
        <w:pStyle w:val="Heading3"/>
        <w:spacing w:before="200" w:after="100"/>
      </w:pPr>
      <w:r>
        <w:rPr>
          <w:b/>
          <w:bCs/>
          <w:sz w:val="26"/>
          <w:szCs w:val="26"/>
          <w:rFonts w:ascii="Arial" w:cs="Arial" w:eastAsia="Arial" w:hAnsi="Arial"/>
        </w:rPr>
        <w:t xml:space="preserve">Low-Volume Adjustment</w:t>
      </w:r>
    </w:p>
    <w:p>
      <w:pPr>
        <w:spacing w:after="120"/>
      </w:pPr>
      <w:r>
        <w:rPr>
          <w:sz w:val="24"/>
          <w:szCs w:val="24"/>
          <w:rFonts w:ascii="Arial" w:cs="Arial" w:eastAsia="Arial" w:hAnsi="Arial"/>
        </w:rPr>
        <w:t xml:space="preserve">The low-volume adjustment provides a payment increase to IPPS hospitals with fewer than 3,800 total discharges (Medicare plus non-Medicare) per year that are located more than 15 miles from the nearest similar hospital. The adjustment recognizes that low-volume hospitals have higher per-discharge costs due to the inability to achieve economies of scale. The maximum adjustment is 25% for hospitals with 500 or fewer discharges, phasing down linearly to 0% at 3,800 discharges.</w:t>
      </w:r>
    </w:p>
    <w:p>
      <w:pPr>
        <w:pStyle w:val="Heading3"/>
        <w:spacing w:before="200" w:after="100"/>
      </w:pPr>
      <w:r>
        <w:rPr>
          <w:b/>
          <w:bCs/>
          <w:sz w:val="26"/>
          <w:szCs w:val="26"/>
          <w:rFonts w:ascii="Arial" w:cs="Arial" w:eastAsia="Arial" w:hAnsi="Arial"/>
        </w:rPr>
        <w:t xml:space="preserve">Rural Emergency Hospital Program</w:t>
      </w:r>
    </w:p>
    <w:p>
      <w:pPr>
        <w:spacing w:after="120"/>
      </w:pPr>
      <w:r>
        <w:rPr>
          <w:sz w:val="24"/>
          <w:szCs w:val="24"/>
          <w:rFonts w:ascii="Arial" w:cs="Arial" w:eastAsia="Arial" w:hAnsi="Arial"/>
        </w:rPr>
        <w:t xml:space="preserve">The Rural Emergency Hospital (REH) program, established by the Consolidated Appropriations Act of 2021 and effective January 2023, creates a new Medicare provider type designed for rural hospitals that can no longer sustain inpatient services but wish to continue providing emergency and outpatient care. REHs must provide 24-hour emergency services and may provide outpatient services, observation care, and telehealth, but do not maintain inpatient beds.</w:t>
      </w:r>
    </w:p>
    <w:p>
      <w:pPr>
        <w:spacing w:after="120"/>
      </w:pPr>
      <w:r>
        <w:rPr>
          <w:sz w:val="24"/>
          <w:szCs w:val="24"/>
          <w:rFonts w:ascii="Arial" w:cs="Arial" w:eastAsia="Arial" w:hAnsi="Arial"/>
        </w:rPr>
        <w:t xml:space="preserve">REHs receive Medicare outpatient payments at 105% of the OPPS rate plus a monthly facility payment (approximately $272,000 per month in 2023, adjusted for geographic differences). The economic rationale is to provide a financial lifeline for rural hospitals that would otherwise close entirely, preserving emergency access even when inpatient services are no longer viable.</w:t>
      </w:r>
    </w:p>
    <w:p>
      <w:pPr>
        <w:spacing w:after="120"/>
      </w:pPr>
      <w:r>
        <w:rPr>
          <w:sz w:val="24"/>
          <w:szCs w:val="24"/>
          <w:rFonts w:ascii="Arial" w:cs="Arial" w:eastAsia="Arial" w:hAnsi="Arial"/>
        </w:rPr>
        <w:t xml:space="preserve">The REH program represents a significant innovation in rural health policy — an acknowledgment that the traditional full-service hospital model may not be sustainable in all rural communities, and that a reduced-scope facility that maintains emergency capabilities may be preferable to complete closure. As of early 2024, approximately 30 hospitals had converted to REH status, with additional conversions expected as the program matures.</w:t>
      </w:r>
    </w:p>
    <w:p>
      <w:pPr>
        <w:pStyle w:val="Heading2"/>
        <w:spacing w:before="300" w:after="150"/>
      </w:pPr>
      <w:r>
        <w:rPr>
          <w:b/>
          <w:bCs/>
          <w:sz w:val="30"/>
          <w:szCs w:val="30"/>
          <w:rFonts w:ascii="Arial" w:cs="Arial" w:eastAsia="Arial" w:hAnsi="Arial"/>
        </w:rPr>
        <w:t xml:space="preserve">Telehealth Economics in Rural Settings</w:t>
      </w:r>
    </w:p>
    <w:p>
      <w:pPr>
        <w:pStyle w:val="Heading3"/>
        <w:spacing w:before="200" w:after="100"/>
      </w:pPr>
      <w:r>
        <w:rPr>
          <w:b/>
          <w:bCs/>
          <w:sz w:val="26"/>
          <w:szCs w:val="26"/>
          <w:rFonts w:ascii="Arial" w:cs="Arial" w:eastAsia="Arial" w:hAnsi="Arial"/>
        </w:rPr>
        <w:t xml:space="preserve">Cost-Effectiveness of Telemedicine</w:t>
      </w:r>
    </w:p>
    <w:p>
      <w:pPr>
        <w:spacing w:after="120"/>
      </w:pPr>
      <w:r>
        <w:rPr>
          <w:sz w:val="24"/>
          <w:szCs w:val="24"/>
          <w:rFonts w:ascii="Arial" w:cs="Arial" w:eastAsia="Arial" w:hAnsi="Arial"/>
        </w:rPr>
        <w:t xml:space="preserve">Telehealth — the delivery of healthcare services using telecommunications technology — has been widely promoted as a solution to rural healthcare access challenges. The economic case for rural telehealth rests on two mechanisms: reducing the cost of healthcare delivery (by eliminating travel and enabling more efficient use of specialist time) and improving access (by connecting rural patients with specialists who would not otherwise be available locally).</w:t>
      </w:r>
    </w:p>
    <w:p>
      <w:pPr>
        <w:spacing w:after="120"/>
      </w:pPr>
      <w:r>
        <w:rPr>
          <w:sz w:val="24"/>
          <w:szCs w:val="24"/>
          <w:rFonts w:ascii="Arial" w:cs="Arial" w:eastAsia="Arial" w:hAnsi="Arial"/>
        </w:rPr>
        <w:t xml:space="preserve">The evidence on telehealth cost-effectiveness in rural settings is generally favorable for specific applications. Tele-stroke programs, which enable remote neurologist consultation for acute stroke patients presenting to rural emergency departments, have been demonstrated to be cost-effective by increasing appropriate use of thrombolytic therapy (tPA), reducing unnecessary transfers, and improving functional outcomes. Tele-ICU programs, which provide remote critical care specialist monitoring of ICU patients in community hospitals, have been associated with reduced mortality and shorter ICU length of stay in some studies.</w:t>
      </w:r>
    </w:p>
    <w:p>
      <w:pPr>
        <w:spacing w:after="120"/>
      </w:pPr>
      <w:r>
        <w:rPr>
          <w:sz w:val="24"/>
          <w:szCs w:val="24"/>
          <w:rFonts w:ascii="Arial" w:cs="Arial" w:eastAsia="Arial" w:hAnsi="Arial"/>
        </w:rPr>
        <w:t xml:space="preserve">Store-and-forward telehealth (asynchronous transmission of clinical data for later review by a specialist) is economically attractive for dermatology, radiology, ophthalmology, and pathology consultations because it eliminates scheduling constraints and can be delivered at lower per-consultation cost than real-time video visits.</w:t>
      </w:r>
    </w:p>
    <w:p>
      <w:pPr>
        <w:pStyle w:val="Heading3"/>
        <w:spacing w:before="200" w:after="100"/>
      </w:pPr>
      <w:r>
        <w:rPr>
          <w:b/>
          <w:bCs/>
          <w:sz w:val="26"/>
          <w:szCs w:val="26"/>
          <w:rFonts w:ascii="Arial" w:cs="Arial" w:eastAsia="Arial" w:hAnsi="Arial"/>
        </w:rPr>
        <w:t xml:space="preserve">Reimbursement Policy Evolution</w:t>
      </w:r>
    </w:p>
    <w:p>
      <w:pPr>
        <w:spacing w:after="120"/>
      </w:pPr>
      <w:r>
        <w:rPr>
          <w:sz w:val="24"/>
          <w:szCs w:val="24"/>
          <w:rFonts w:ascii="Arial" w:cs="Arial" w:eastAsia="Arial" w:hAnsi="Arial"/>
        </w:rPr>
        <w:t xml:space="preserve">Medicare telehealth reimbursement policy has undergone dramatic transformation. Prior to the COVID-19 pandemic, Medicare reimbursement for telehealth was highly restrictive: eligible services were limited to a defined list, the patient had to be located at an eligible originating site (typically a healthcare facility in a rural area), and the distant site provider had to be located at a qualifying facility type. These restrictions severely limited telehealth adoption, particularly for routine primary care and chronic disease management.</w:t>
      </w:r>
    </w:p>
    <w:p>
      <w:pPr>
        <w:spacing w:after="120"/>
      </w:pPr>
      <w:r>
        <w:rPr>
          <w:sz w:val="24"/>
          <w:szCs w:val="24"/>
          <w:rFonts w:ascii="Arial" w:cs="Arial" w:eastAsia="Arial" w:hAnsi="Arial"/>
        </w:rPr>
        <w:t xml:space="preserve">The COVID-19 Public Health Emergency (PHE) prompted CMS to waive most telehealth restrictions, allowing Medicare reimbursement for a broad range of telehealth services delivered to patients at any location (including the patient's home), by any eligible provider type. Telehealth utilization increased approximately 6,300% in the first months of the pandemic, from approximately 840,000 weekly visits pre-pandemic to over 52 million weekly visits at the peak.</w:t>
      </w:r>
    </w:p>
    <w:p>
      <w:pPr>
        <w:spacing w:after="120"/>
      </w:pPr>
      <w:r>
        <w:rPr>
          <w:sz w:val="24"/>
          <w:szCs w:val="24"/>
          <w:rFonts w:ascii="Arial" w:cs="Arial" w:eastAsia="Arial" w:hAnsi="Arial"/>
        </w:rPr>
        <w:t xml:space="preserve">The economic question now facing policymakers is which pandemic-era telehealth flexibilities should be made permanent. Arguments for permanent expansion include improved access (particularly for rural and mobility-limited patients), patient convenience, and evidence of clinical equivalence for many service types. Arguments for caution include concerns about overutilization (telehealth may induce demand for low-value visits), fraud and abuse (the relaxed documentation requirements during the PHE created opportunities for fraudulent billing), and the potential for telehealth to substitute for rather than complement in-person care in ways that reduce quality for conditions requiring physical examination.</w:t>
      </w:r>
    </w:p>
    <w:p>
      <w:pPr>
        <w:pStyle w:val="Heading3"/>
        <w:spacing w:before="200" w:after="100"/>
      </w:pPr>
      <w:r>
        <w:rPr>
          <w:b/>
          <w:bCs/>
          <w:sz w:val="26"/>
          <w:szCs w:val="26"/>
          <w:rFonts w:ascii="Arial" w:cs="Arial" w:eastAsia="Arial" w:hAnsi="Arial"/>
        </w:rPr>
        <w:t xml:space="preserve">Broadband as Economic Prerequisite</w:t>
      </w:r>
    </w:p>
    <w:p>
      <w:pPr>
        <w:spacing w:after="120"/>
      </w:pPr>
      <w:r>
        <w:rPr>
          <w:sz w:val="24"/>
          <w:szCs w:val="24"/>
          <w:rFonts w:ascii="Arial" w:cs="Arial" w:eastAsia="Arial" w:hAnsi="Arial"/>
        </w:rPr>
        <w:t xml:space="preserve">Telehealth requires adequate broadband internet infrastructure, which remains unavailable in many rural areas. The Federal Communications Commission (FCC) estimates that approximately 21% of rural Americans lack access to fixed broadband service at speeds sufficient for reliable video telehealth (25 Mbps download / 3 Mbps upload), compared to approximately 2% of urban Americans. This "digital divide" means that the rural communities most in need of telehealth access are often the least able to use it.</w:t>
      </w:r>
    </w:p>
    <w:p>
      <w:pPr>
        <w:spacing w:after="120"/>
      </w:pPr>
      <w:r>
        <w:rPr>
          <w:sz w:val="24"/>
          <w:szCs w:val="24"/>
          <w:rFonts w:ascii="Arial" w:cs="Arial" w:eastAsia="Arial" w:hAnsi="Arial"/>
        </w:rPr>
        <w:t xml:space="preserve">Federal investments in rural broadband — including the FCC's Rural Health Care Program, the USDA's ReConnect Program, and broadband provisions of the Infrastructure Investment and Jobs Act — represent necessary but not sufficient conditions for rural telehealth expansion. The economic return on broadband investment in rural areas includes not only telehealth access but also economic development, educational access, and quality of life improvements that may contribute to population retention and community viability.</w:t>
      </w:r>
    </w:p>
    <w:p>
      <w:pPr>
        <w:pStyle w:val="Heading2"/>
        <w:spacing w:before="300" w:after="150"/>
      </w:pPr>
      <w:r>
        <w:rPr>
          <w:b/>
          <w:bCs/>
          <w:sz w:val="30"/>
          <w:szCs w:val="30"/>
          <w:rFonts w:ascii="Arial" w:cs="Arial" w:eastAsia="Arial" w:hAnsi="Arial"/>
        </w:rPr>
        <w:t xml:space="preserve">Rural Workforce Economics</w:t>
      </w:r>
    </w:p>
    <w:p>
      <w:pPr>
        <w:pStyle w:val="Heading3"/>
        <w:spacing w:before="200" w:after="100"/>
      </w:pPr>
      <w:r>
        <w:rPr>
          <w:b/>
          <w:bCs/>
          <w:sz w:val="26"/>
          <w:szCs w:val="26"/>
          <w:rFonts w:ascii="Arial" w:cs="Arial" w:eastAsia="Arial" w:hAnsi="Arial"/>
        </w:rPr>
        <w:t xml:space="preserve">Recruitment and Retention</w:t>
      </w:r>
    </w:p>
    <w:p>
      <w:pPr>
        <w:spacing w:after="120"/>
      </w:pPr>
      <w:r>
        <w:rPr>
          <w:sz w:val="24"/>
          <w:szCs w:val="24"/>
          <w:rFonts w:ascii="Arial" w:cs="Arial" w:eastAsia="Arial" w:hAnsi="Arial"/>
        </w:rPr>
        <w:t xml:space="preserve">The economics of rural healthcare workforce recruitment and retention reflect the interaction of labor market conditions, provider preferences, policy interventions, and community characteristics. The fundamental challenge is that the supply of healthcare professionals willing to practice in rural settings is insufficient to meet demand at prevailing wage levels, creating persistent shortages that manifest as unfilled positions, excessive workloads for existing providers, and access barriers for patients.</w:t>
      </w:r>
    </w:p>
    <w:p>
      <w:pPr>
        <w:spacing w:after="120"/>
      </w:pPr>
      <w:r>
        <w:rPr>
          <w:sz w:val="24"/>
          <w:szCs w:val="24"/>
          <w:rFonts w:ascii="Arial" w:cs="Arial" w:eastAsia="Arial" w:hAnsi="Arial"/>
        </w:rPr>
      </w:r>
      <w:r>
        <w:rPr>
          <w:b/>
          <w:bCs/>
          <w:sz w:val="24"/>
          <w:szCs w:val="24"/>
          <w:rFonts w:ascii="Arial" w:cs="Arial" w:eastAsia="Arial" w:hAnsi="Arial"/>
        </w:rPr>
        <w:t xml:space="preserve">National Health Service Corps (NHSC).</w:t>
      </w:r>
      <w:r>
        <w:rPr>
          <w:sz w:val="24"/>
          <w:szCs w:val="24"/>
          <w:rFonts w:ascii="Arial" w:cs="Arial" w:eastAsia="Arial" w:hAnsi="Arial"/>
        </w:rPr>
        <w:t xml:space="preserve"> The NHSC provides loan repayment (up to $50,000 for a two-year commitment, with extensions available) and scholarships to healthcare professionals who commit to practicing in Health Professional Shortage Areas (HPSAs). The program places approximately 15,000 clinicians annually and is the largest federal program specifically designed to address healthcare workforce maldistribution.</w:t>
      </w:r>
    </w:p>
    <w:p>
      <w:pPr>
        <w:spacing w:after="120"/>
      </w:pPr>
      <w:r>
        <w:rPr>
          <w:sz w:val="24"/>
          <w:szCs w:val="24"/>
          <w:rFonts w:ascii="Arial" w:cs="Arial" w:eastAsia="Arial" w:hAnsi="Arial"/>
        </w:rPr>
        <w:t xml:space="preserve">The economic evidence on NHSC effectiveness is mixed. Retention rates after the service obligation period vary widely across studies (40% to 80%), and the long-term impact on rural workforce supply depends on whether NHSC participants would have practiced in rural areas anyway (the "deadweight loss" of the subsidy) and on the extent to which NHSC service creates durable attachments to rural practice.</w:t>
      </w:r>
    </w:p>
    <w:p>
      <w:pPr>
        <w:spacing w:after="120"/>
      </w:pPr>
      <w:r>
        <w:rPr>
          <w:sz w:val="24"/>
          <w:szCs w:val="24"/>
          <w:rFonts w:ascii="Arial" w:cs="Arial" w:eastAsia="Arial" w:hAnsi="Arial"/>
        </w:rPr>
      </w:r>
      <w:r>
        <w:rPr>
          <w:b/>
          <w:bCs/>
          <w:sz w:val="24"/>
          <w:szCs w:val="24"/>
          <w:rFonts w:ascii="Arial" w:cs="Arial" w:eastAsia="Arial" w:hAnsi="Arial"/>
        </w:rPr>
        <w:t xml:space="preserve">J-1 Visa Waiver Program.</w:t>
      </w:r>
      <w:r>
        <w:rPr>
          <w:sz w:val="24"/>
          <w:szCs w:val="24"/>
          <w:rFonts w:ascii="Arial" w:cs="Arial" w:eastAsia="Arial" w:hAnsi="Arial"/>
        </w:rPr>
        <w:t xml:space="preserve"> International medical graduates (IMGs) who enter the United States on J-1 exchange visitor visas are normally required to return to their home country for two years before applying for permanent residency. The Conrad State 30 program allows states to waive this requirement for up to 30 physicians per year who agree to practice in underserved areas for at least three years. The J-1 waiver program has become a critical pipeline for rural physician supply, with approximately 1,500 physicians serving in underserved areas under waiver arrangements at any given time.</w:t>
      </w:r>
    </w:p>
    <w:p>
      <w:pPr>
        <w:pStyle w:val="Heading3"/>
        <w:spacing w:before="200" w:after="100"/>
      </w:pPr>
      <w:r>
        <w:rPr>
          <w:b/>
          <w:bCs/>
          <w:sz w:val="26"/>
          <w:szCs w:val="26"/>
          <w:rFonts w:ascii="Arial" w:cs="Arial" w:eastAsia="Arial" w:hAnsi="Arial"/>
        </w:rPr>
        <w:t xml:space="preserve">Scope of Practice and Advanced Practice Providers</w:t>
      </w:r>
    </w:p>
    <w:p>
      <w:pPr>
        <w:spacing w:after="120"/>
      </w:pPr>
      <w:r>
        <w:rPr>
          <w:sz w:val="24"/>
          <w:szCs w:val="24"/>
          <w:rFonts w:ascii="Arial" w:cs="Arial" w:eastAsia="Arial" w:hAnsi="Arial"/>
        </w:rPr>
        <w:t xml:space="preserve">Scope of practice regulations for nurse practitioners, physician assistants, and certified registered nurse anesthetists vary dramatically across states and have significant implications for rural healthcare access and cost.</w:t>
      </w:r>
    </w:p>
    <w:p>
      <w:pPr>
        <w:spacing w:after="120"/>
      </w:pPr>
      <w:r>
        <w:rPr>
          <w:sz w:val="24"/>
          <w:szCs w:val="24"/>
          <w:rFonts w:ascii="Arial" w:cs="Arial" w:eastAsia="Arial" w:hAnsi="Arial"/>
        </w:rPr>
        <w:t xml:space="preserve">Full-practice authority for NPs — the ability to evaluate, diagnose, order and interpret diagnostic tests, initiate and manage treatments, and prescribe medications without physician oversight — is associated with increased primary care supply in rural areas and reduced barriers to entry for NP-led rural clinics. Restricted-practice states, which require physician supervision or collaborative agreements, create barriers that are particularly binding in rural areas where no collaborating physician may be available within a reasonable distance.</w:t>
      </w:r>
    </w:p>
    <w:p>
      <w:pPr>
        <w:spacing w:after="120"/>
      </w:pPr>
      <w:r>
        <w:rPr>
          <w:sz w:val="24"/>
          <w:szCs w:val="24"/>
          <w:rFonts w:ascii="Arial" w:cs="Arial" w:eastAsia="Arial" w:hAnsi="Arial"/>
        </w:rPr>
        <w:t xml:space="preserve">The economic evidence consistently supports broader NP scope of practice for improving rural access. Xue and colleagues (2016) found that states with full NP practice authority had 26% more NPs practicing in rural areas per capita than restricted states. Kleiner and colleagues (2016) found that restrictive regulations reduced primary care visits without improving patient safety outcomes.</w:t>
      </w:r>
    </w:p>
    <w:p>
      <w:pPr>
        <w:spacing w:after="120"/>
      </w:pPr>
      <w:r>
        <w:rPr>
          <w:sz w:val="24"/>
          <w:szCs w:val="24"/>
          <w:rFonts w:ascii="Arial" w:cs="Arial" w:eastAsia="Arial" w:hAnsi="Arial"/>
        </w:rPr>
        <w:t xml:space="preserve">For certified registered nurse anesthetists (CRNAs), the opt-out provision of Medicare's physician supervision requirement — which allows state governors to exempt CRNAs from the requirement of physician supervision — is particularly important for rural surgical access. In opt-out states, CRNAs can provide anesthesia independently, enabling small rural hospitals to maintain surgical and obstetric services without the cost of a physician anesthesiologist.</w:t>
      </w:r>
    </w:p>
    <w:p>
      <w:pPr>
        <w:pStyle w:val="Heading2"/>
        <w:spacing w:before="300" w:after="150"/>
      </w:pPr>
      <w:r>
        <w:rPr>
          <w:b/>
          <w:bCs/>
          <w:sz w:val="30"/>
          <w:szCs w:val="30"/>
          <w:rFonts w:ascii="Arial" w:cs="Arial" w:eastAsia="Arial" w:hAnsi="Arial"/>
        </w:rPr>
        <w:t xml:space="preserve">The Efficiency-Access Tension</w:t>
      </w:r>
    </w:p>
    <w:p>
      <w:pPr>
        <w:pStyle w:val="Heading3"/>
        <w:spacing w:before="200" w:after="100"/>
      </w:pPr>
      <w:r>
        <w:rPr>
          <w:b/>
          <w:bCs/>
          <w:sz w:val="26"/>
          <w:szCs w:val="26"/>
          <w:rFonts w:ascii="Arial" w:cs="Arial" w:eastAsia="Arial" w:hAnsi="Arial"/>
        </w:rPr>
        <w:t xml:space="preserve">The Fundamental Policy Dilemma</w:t>
      </w:r>
    </w:p>
    <w:p>
      <w:pPr>
        <w:spacing w:after="120"/>
      </w:pPr>
      <w:r>
        <w:rPr>
          <w:sz w:val="24"/>
          <w:szCs w:val="24"/>
          <w:rFonts w:ascii="Arial" w:cs="Arial" w:eastAsia="Arial" w:hAnsi="Arial"/>
        </w:rPr>
        <w:t xml:space="preserve">Rural health policy operates within a fundamental tension between efficiency and access. Economic efficiency argues for consolidation — concentrating healthcare services in larger regional centers where economies of scale, subspecialty expertise, and volume-outcome relationships can be optimized. A patient needing cardiac catheterization is better served at a high-volume regional center than at a low-volume rural hospital, and the per-procedure cost is lower at the high-volume facility.</w:t>
      </w:r>
    </w:p>
    <w:p>
      <w:pPr>
        <w:spacing w:after="120"/>
      </w:pPr>
      <w:r>
        <w:rPr>
          <w:sz w:val="24"/>
          <w:szCs w:val="24"/>
          <w:rFonts w:ascii="Arial" w:cs="Arial" w:eastAsia="Arial" w:hAnsi="Arial"/>
        </w:rPr>
        <w:t xml:space="preserve">But access argues for local capacity — maintaining healthcare services close to where rural populations live, even when the volume cannot support efficient production. Emergency care is time-sensitive, and the difference between a 10-minute drive and a 60-minute drive to the nearest emergency department can be the difference between life and death for a patient with an acute MI, stroke, or major trauma. Obstetric services are difficult to provide safely at great distance from the delivery facility. And the economic and social consequences of hospital closure extend beyond healthcare to the viability of the community itself.</w:t>
      </w:r>
    </w:p>
    <w:p>
      <w:pPr>
        <w:pStyle w:val="Heading3"/>
        <w:spacing w:before="200" w:after="100"/>
      </w:pPr>
      <w:r>
        <w:rPr>
          <w:b/>
          <w:bCs/>
          <w:sz w:val="26"/>
          <w:szCs w:val="26"/>
          <w:rFonts w:ascii="Arial" w:cs="Arial" w:eastAsia="Arial" w:hAnsi="Arial"/>
        </w:rPr>
        <w:t xml:space="preserve">Rural Obstetric Unit Closures and Maternity Care Deserts</w:t>
      </w:r>
    </w:p>
    <w:p>
      <w:pPr>
        <w:spacing w:after="120"/>
      </w:pPr>
      <w:r>
        <w:rPr>
          <w:sz w:val="24"/>
          <w:szCs w:val="24"/>
          <w:rFonts w:ascii="Arial" w:cs="Arial" w:eastAsia="Arial" w:hAnsi="Arial"/>
        </w:rPr>
        <w:t xml:space="preserve">The closure of rural obstetric units illustrates the efficiency-access tension with particular clarity. Since 2004, more than 200 rural hospitals have closed their obstetric units, creating "maternity care deserts" — counties with no hospital offering obstetric services and no freestanding birth center. By 2023, approximately 35% of rural counties lacked any obstetric services.</w:t>
      </w:r>
    </w:p>
    <w:p>
      <w:pPr>
        <w:spacing w:after="120"/>
      </w:pPr>
      <w:r>
        <w:rPr>
          <w:sz w:val="24"/>
          <w:szCs w:val="24"/>
          <w:rFonts w:ascii="Arial" w:cs="Arial" w:eastAsia="Arial" w:hAnsi="Arial"/>
        </w:rPr>
        <w:t xml:space="preserve">The economics driving rural obstetric closure are straightforward. Maintaining safe obstetric services requires 24/7 coverage by qualified providers (obstetricians, family physicians with obstetric privileges, or certified nurse-midwives), surgical backup for emergency cesarean section, anesthesia coverage, neonatal resuscitation capability, and blood bank services. The fixed costs of this infrastructure — easily $1 million to $2 million annually — are spread across a declining number of deliveries as rural birth rates fall. When a rural hospital delivers fewer than 200 babies per year, the per-delivery cost of maintaining the obstetric service exceeds revenue, creating a persistent financial loss that threatens the hospital's overall viability.</w:t>
      </w:r>
    </w:p>
    <w:p>
      <w:pPr>
        <w:spacing w:after="120"/>
      </w:pPr>
      <w:r>
        <w:rPr>
          <w:sz w:val="24"/>
          <w:szCs w:val="24"/>
          <w:rFonts w:ascii="Arial" w:cs="Arial" w:eastAsia="Arial" w:hAnsi="Arial"/>
        </w:rPr>
        <w:t xml:space="preserve">The consequences of rural obstetric closure include increased travel distances for prenatal care and delivery (associated with higher rates of out-of-hospital births, preterm delivery, and neonatal complications), loss of local prenatal care capacity, and community impact (young families may avoid or leave communities without local obstetric services, accelerating population decline).</w:t>
      </w:r>
    </w:p>
    <w:p>
      <w:pPr>
        <w:pStyle w:val="Heading3"/>
        <w:spacing w:before="200" w:after="100"/>
      </w:pPr>
      <w:r>
        <w:rPr>
          <w:b/>
          <w:bCs/>
          <w:sz w:val="26"/>
          <w:szCs w:val="26"/>
          <w:rFonts w:ascii="Arial" w:cs="Arial" w:eastAsia="Arial" w:hAnsi="Arial"/>
        </w:rPr>
        <w:t xml:space="preserve">Emergency Medical Services in Rural Areas</w:t>
      </w:r>
    </w:p>
    <w:p>
      <w:pPr>
        <w:spacing w:after="120"/>
      </w:pPr>
      <w:r>
        <w:rPr>
          <w:sz w:val="24"/>
          <w:szCs w:val="24"/>
          <w:rFonts w:ascii="Arial" w:cs="Arial" w:eastAsia="Arial" w:hAnsi="Arial"/>
        </w:rPr>
        <w:t xml:space="preserve">Emergency medical services (EMS) are the first link in the emergency care chain and are disproportionately important in rural areas where travel distances to hospitals are long. Rural EMS faces distinctive economic challenges: low call volumes make it difficult to fund full-time paid EMS staff, leading to reliance on volunteer providers whose availability is declining; long transport distances increase per-call costs; and the shift from basic life support (BLS) to advanced life support (ALS) capabilities requires expensive equipment, medications, and training.</w:t>
      </w:r>
    </w:p>
    <w:p>
      <w:pPr>
        <w:spacing w:after="120"/>
      </w:pPr>
      <w:r>
        <w:rPr>
          <w:sz w:val="24"/>
          <w:szCs w:val="24"/>
          <w:rFonts w:ascii="Arial" w:cs="Arial" w:eastAsia="Arial" w:hAnsi="Arial"/>
        </w:rPr>
        <w:t xml:space="preserve">The economic model for rural EMS is often fundamentally different from urban EMS. Urban EMS systems are typically funded through a combination of fee-for-service billing, municipal tax revenue, and fire department integration. Rural EMS systems frequently depend on volunteer labor, charitable contributions, and subscription models — economic mechanisms that are increasingly unsustainable as volunteer pools shrink and costs rise.</w:t>
      </w:r>
    </w:p>
    <w:p>
      <w:pPr>
        <w:spacing w:after="120"/>
      </w:pPr>
      <w:r>
        <w:rPr>
          <w:sz w:val="24"/>
          <w:szCs w:val="24"/>
          <w:rFonts w:ascii="Arial" w:cs="Arial" w:eastAsia="Arial" w:hAnsi="Arial"/>
        </w:rPr>
      </w:r>
      <w:r>
        <w:rPr>
          <w:b/>
          <w:bCs/>
          <w:sz w:val="24"/>
          <w:szCs w:val="24"/>
          <w:rFonts w:ascii="Arial" w:cs="Arial" w:eastAsia="Arial" w:hAnsi="Arial"/>
        </w:rPr>
        <w:t xml:space="preserve">Table 8.1: Federal Rural Hospital Payment Programs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Program</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Eligibility</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Payment Mechanism</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Financial Feature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Critical Access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≤25 beds, ≤96hr ALOS, 35-mile distance or necessary provider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101% of reasonable costs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Cost-based reimbursement eliminates volume risk</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Sole Community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Sole source of inpatient care in area (35-mile or market share test)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Higher of federal rate or hospital-specific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Hold-harmless protection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Medicare-Dependent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≤100 beds, ≥60% Medicare share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Higher of federal rate or blended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Cost floor protection for high-Medicare facilities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Low-Volume Adjustment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&lt;3,800 discharges, &gt;15 miles from nearest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Up to 25% DRG payment add-on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Compensates for diseconomies of scale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Rural Emergency Hospital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Former CAH or small rural; no inpatient beds; 24hr 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105% OPPS + ~$272K/month facility payment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New model preserving emergency access without inpatient beds</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Rural health economics operates under structural constraints — low volume, geographic isolation, unfavorable payer mix, workforce shortages — that fundamentally alter the market dynamics analyzed in the preceding chapters. The competitive market models of Chapters 2-4 assume multiple providers, informed consumers, and price competition; in rural markets, these conditions are often absent. The payment system analysis of Chapter 5 must be supplemented with an understanding of the special payment programs — CAH cost-based reimbursement, SCH hold-harmless provisions, MDH protections, low-volume adjustments, and the new REH program — that constitute the federal policy response to rural healthcare market failure.</w:t>
      </w:r>
    </w:p>
    <w:p>
      <w:pPr>
        <w:spacing w:after="120"/>
      </w:pPr>
      <w:r>
        <w:rPr>
          <w:sz w:val="24"/>
          <w:szCs w:val="24"/>
          <w:rFonts w:ascii="Arial" w:cs="Arial" w:eastAsia="Arial" w:hAnsi="Arial"/>
        </w:rPr>
        <w:t xml:space="preserve">The evidence base for rural health policy is strengthened by the natural experiments created by state-level variation in Medicaid expansion, scope of practice regulation, and telehealth policy. The staggered adoption of Medicaid expansion across states has been particularly valuable for causal inference, providing difference-in-differences and synthetic control estimates of expansion effects on rural hospital financial performance, closure rates, and population health outcomes. These methods — the core content of Chapters 11 and 12 — are directly applicable to the rural health policy questions discussed here.</w:t>
      </w:r>
    </w:p>
    <w:p>
      <w:pPr>
        <w:spacing w:after="120"/>
      </w:pPr>
      <w:r>
        <w:rPr>
          <w:sz w:val="24"/>
          <w:szCs w:val="24"/>
          <w:rFonts w:ascii="Arial" w:cs="Arial" w:eastAsia="Arial" w:hAnsi="Arial"/>
        </w:rPr>
        <w:t xml:space="preserve">The fundamental policy challenge in rural health is balancing efficiency (which argues for consolidation and regionalization) against access (which argues for maintaining local capacity). The CAH program, the REH program, telehealth expansion, and scope of practice reform represent different policy approaches to this challenge, each with distinct economic trade-offs. The ongoing transformation of rural healthcare delivery — from the traditional full-service hospital model toward more flexible configurations of emergency, outpatient, telehealth, and post-acute services — will continue to generate research questions that demand the theoretical frameworks, econometric methods, and computational tools developed in this textbook.</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Chartis Center for Rural Health. (2023). </w:t>
      </w:r>
      <w:r>
        <w:rPr>
          <w:i/>
          <w:iCs/>
          <w:sz w:val="24"/>
          <w:szCs w:val="24"/>
          <w:rFonts w:ascii="Arial" w:cs="Arial" w:eastAsia="Arial" w:hAnsi="Arial"/>
        </w:rPr>
        <w:t xml:space="preserve">Rural Hospital Vulnerability and Financial Distress</w:t>
      </w:r>
      <w:r>
        <w:rPr>
          <w:sz w:val="24"/>
          <w:szCs w:val="24"/>
          <w:rFonts w:ascii="Arial" w:cs="Arial" w:eastAsia="Arial" w:hAnsi="Arial"/>
        </w:rPr>
        <w:t xml:space="preserve">. The Chartis Group.</w:t>
      </w:r>
    </w:p>
    <w:p>
      <w:pPr>
        <w:spacing w:after="120"/>
      </w:pPr>
      <w:r>
        <w:rPr>
          <w:sz w:val="24"/>
          <w:szCs w:val="24"/>
          <w:rFonts w:ascii="Arial" w:cs="Arial" w:eastAsia="Arial" w:hAnsi="Arial"/>
        </w:rPr>
        <w:t xml:space="preserve">2. Gujral, K., &amp; Basu, A. (2020). Impact of rural and urban hospital closures on inpatient mortality. </w:t>
      </w:r>
      <w:r>
        <w:rPr>
          <w:i/>
          <w:iCs/>
          <w:sz w:val="24"/>
          <w:szCs w:val="24"/>
          <w:rFonts w:ascii="Arial" w:cs="Arial" w:eastAsia="Arial" w:hAnsi="Arial"/>
        </w:rPr>
        <w:t xml:space="preserve">NBER Working Paper No. 26182</w:t>
      </w:r>
      <w:r>
        <w:rPr>
          <w:sz w:val="24"/>
          <w:szCs w:val="24"/>
          <w:rFonts w:ascii="Arial" w:cs="Arial" w:eastAsia="Arial" w:hAnsi="Arial"/>
        </w:rPr>
        <w:t xml:space="preserve">.</w:t>
      </w:r>
    </w:p>
    <w:p>
      <w:pPr>
        <w:spacing w:after="120"/>
      </w:pPr>
      <w:r>
        <w:rPr>
          <w:sz w:val="24"/>
          <w:szCs w:val="24"/>
          <w:rFonts w:ascii="Arial" w:cs="Arial" w:eastAsia="Arial" w:hAnsi="Arial"/>
        </w:rPr>
        <w:t xml:space="preserve">3. Holmes, G. M., Slifkin, R. T., Randolph, R. K., &amp; Poley, S. (2006). The effect of rural hospital closures on community economic health. </w:t>
      </w:r>
      <w:r>
        <w:rPr>
          <w:i/>
          <w:iCs/>
          <w:sz w:val="24"/>
          <w:szCs w:val="24"/>
          <w:rFonts w:ascii="Arial" w:cs="Arial" w:eastAsia="Arial" w:hAnsi="Arial"/>
        </w:rPr>
        <w:t xml:space="preserve">Health Services Research</w:t>
      </w:r>
      <w:r>
        <w:rPr>
          <w:sz w:val="24"/>
          <w:szCs w:val="24"/>
          <w:rFonts w:ascii="Arial" w:cs="Arial" w:eastAsia="Arial" w:hAnsi="Arial"/>
        </w:rPr>
        <w:t xml:space="preserve">, 41(2), 467-485.</w:t>
      </w:r>
    </w:p>
    <w:p>
      <w:pPr>
        <w:spacing w:after="120"/>
      </w:pPr>
      <w:r>
        <w:rPr>
          <w:sz w:val="24"/>
          <w:szCs w:val="24"/>
          <w:rFonts w:ascii="Arial" w:cs="Arial" w:eastAsia="Arial" w:hAnsi="Arial"/>
        </w:rPr>
        <w:t xml:space="preserve">4. Kaufman, B. G., Thomas, S. R., Randolph, R. K., Perry, J. R., Thompson, K. W., Holmes, G. M., &amp; Pink, G. H. (2016). The rising rate of rural hospital closures. </w:t>
      </w:r>
      <w:r>
        <w:rPr>
          <w:i/>
          <w:iCs/>
          <w:sz w:val="24"/>
          <w:szCs w:val="24"/>
          <w:rFonts w:ascii="Arial" w:cs="Arial" w:eastAsia="Arial" w:hAnsi="Arial"/>
        </w:rPr>
        <w:t xml:space="preserve">Journal of Rural Health</w:t>
      </w:r>
      <w:r>
        <w:rPr>
          <w:sz w:val="24"/>
          <w:szCs w:val="24"/>
          <w:rFonts w:ascii="Arial" w:cs="Arial" w:eastAsia="Arial" w:hAnsi="Arial"/>
        </w:rPr>
        <w:t xml:space="preserve">, 32(1), 35-43.</w:t>
      </w:r>
    </w:p>
    <w:p>
      <w:pPr>
        <w:spacing w:after="120"/>
      </w:pPr>
      <w:r>
        <w:rPr>
          <w:sz w:val="24"/>
          <w:szCs w:val="24"/>
          <w:rFonts w:ascii="Arial" w:cs="Arial" w:eastAsia="Arial" w:hAnsi="Arial"/>
        </w:rPr>
        <w:t xml:space="preserve">5. Kleiner, M. M., Marier, A., Park, K. W., &amp; Wing, C. (2016). Relaxing occupational licensing requirements: Analyzing wages and prices for a medical service. </w:t>
      </w:r>
      <w:r>
        <w:rPr>
          <w:i/>
          <w:iCs/>
          <w:sz w:val="24"/>
          <w:szCs w:val="24"/>
          <w:rFonts w:ascii="Arial" w:cs="Arial" w:eastAsia="Arial" w:hAnsi="Arial"/>
        </w:rPr>
        <w:t xml:space="preserve">Journal of Law and Economics</w:t>
      </w:r>
      <w:r>
        <w:rPr>
          <w:sz w:val="24"/>
          <w:szCs w:val="24"/>
          <w:rFonts w:ascii="Arial" w:cs="Arial" w:eastAsia="Arial" w:hAnsi="Arial"/>
        </w:rPr>
        <w:t xml:space="preserve">, 59(2), 261-291.</w:t>
      </w:r>
    </w:p>
    <w:p>
      <w:pPr>
        <w:spacing w:after="120"/>
      </w:pPr>
      <w:r>
        <w:rPr>
          <w:sz w:val="24"/>
          <w:szCs w:val="24"/>
          <w:rFonts w:ascii="Arial" w:cs="Arial" w:eastAsia="Arial" w:hAnsi="Arial"/>
        </w:rPr>
        <w:t xml:space="preserve">6. Lindrooth, R. C., Perraillon, M. C., Hardy, R. Y., &amp; Tung, G. J. (2018). Understanding the relationship between Medicaid expansions and hospital closures. </w:t>
      </w:r>
      <w:r>
        <w:rPr>
          <w:i/>
          <w:iCs/>
          <w:sz w:val="24"/>
          <w:szCs w:val="24"/>
          <w:rFonts w:ascii="Arial" w:cs="Arial" w:eastAsia="Arial" w:hAnsi="Arial"/>
        </w:rPr>
        <w:t xml:space="preserve">Health Affairs</w:t>
      </w:r>
      <w:r>
        <w:rPr>
          <w:sz w:val="24"/>
          <w:szCs w:val="24"/>
          <w:rFonts w:ascii="Arial" w:cs="Arial" w:eastAsia="Arial" w:hAnsi="Arial"/>
        </w:rPr>
        <w:t xml:space="preserve">, 37(1), 111-120.</w:t>
      </w:r>
    </w:p>
    <w:p>
      <w:pPr>
        <w:spacing w:after="120"/>
      </w:pPr>
      <w:r>
        <w:rPr>
          <w:sz w:val="24"/>
          <w:szCs w:val="24"/>
          <w:rFonts w:ascii="Arial" w:cs="Arial" w:eastAsia="Arial" w:hAnsi="Arial"/>
        </w:rPr>
        <w:t xml:space="preserve">7. Moscovice, I. S., &amp; Stensland, J. (2002). How the Medicare program pays for services provided by Critical Access Hospitals. In I. S. Moscovice (Ed.), </w:t>
      </w:r>
      <w:r>
        <w:rPr>
          <w:i/>
          <w:iCs/>
          <w:sz w:val="24"/>
          <w:szCs w:val="24"/>
          <w:rFonts w:ascii="Arial" w:cs="Arial" w:eastAsia="Arial" w:hAnsi="Arial"/>
        </w:rPr>
        <w:t xml:space="preserve">The Critical Access Hospital Program</w:t>
      </w:r>
      <w:r>
        <w:rPr>
          <w:sz w:val="24"/>
          <w:szCs w:val="24"/>
          <w:rFonts w:ascii="Arial" w:cs="Arial" w:eastAsia="Arial" w:hAnsi="Arial"/>
        </w:rPr>
        <w:t xml:space="preserve">. Rural Health Research Center.</w:t>
      </w:r>
    </w:p>
    <w:p>
      <w:pPr>
        <w:spacing w:after="120"/>
      </w:pPr>
      <w:r>
        <w:rPr>
          <w:sz w:val="24"/>
          <w:szCs w:val="24"/>
          <w:rFonts w:ascii="Arial" w:cs="Arial" w:eastAsia="Arial" w:hAnsi="Arial"/>
        </w:rPr>
        <w:t xml:space="preserve">8. Pink, G. H., Holmes, G. M., D'Alpe, C., Strunk, L. A., McGee, P., &amp; Slifkin, R. T. (2006). Financial indicators for critical access hospitals. </w:t>
      </w:r>
      <w:r>
        <w:rPr>
          <w:i/>
          <w:iCs/>
          <w:sz w:val="24"/>
          <w:szCs w:val="24"/>
          <w:rFonts w:ascii="Arial" w:cs="Arial" w:eastAsia="Arial" w:hAnsi="Arial"/>
        </w:rPr>
        <w:t xml:space="preserve">Journal of Rural Health</w:t>
      </w:r>
      <w:r>
        <w:rPr>
          <w:sz w:val="24"/>
          <w:szCs w:val="24"/>
          <w:rFonts w:ascii="Arial" w:cs="Arial" w:eastAsia="Arial" w:hAnsi="Arial"/>
        </w:rPr>
        <w:t xml:space="preserve">, 22(3), 229-236.</w:t>
      </w:r>
    </w:p>
    <w:p>
      <w:pPr>
        <w:spacing w:after="120"/>
      </w:pPr>
      <w:r>
        <w:rPr>
          <w:sz w:val="24"/>
          <w:szCs w:val="24"/>
          <w:rFonts w:ascii="Arial" w:cs="Arial" w:eastAsia="Arial" w:hAnsi="Arial"/>
        </w:rPr>
        <w:t xml:space="preserve">9. Radcliff, T. A., Brasure, M., Moscovice, I. S., &amp; Stensland, J. T. (2003). Understanding rural hospital bypass behavior. </w:t>
      </w:r>
      <w:r>
        <w:rPr>
          <w:i/>
          <w:iCs/>
          <w:sz w:val="24"/>
          <w:szCs w:val="24"/>
          <w:rFonts w:ascii="Arial" w:cs="Arial" w:eastAsia="Arial" w:hAnsi="Arial"/>
        </w:rPr>
        <w:t xml:space="preserve">Journal of Rural Health</w:t>
      </w:r>
      <w:r>
        <w:rPr>
          <w:sz w:val="24"/>
          <w:szCs w:val="24"/>
          <w:rFonts w:ascii="Arial" w:cs="Arial" w:eastAsia="Arial" w:hAnsi="Arial"/>
        </w:rPr>
        <w:t xml:space="preserve">, 19(3), 252-259.</w:t>
      </w:r>
    </w:p>
    <w:p>
      <w:pPr>
        <w:spacing w:after="120"/>
      </w:pPr>
      <w:r>
        <w:rPr>
          <w:sz w:val="24"/>
          <w:szCs w:val="24"/>
          <w:rFonts w:ascii="Arial" w:cs="Arial" w:eastAsia="Arial" w:hAnsi="Arial"/>
        </w:rPr>
        <w:t xml:space="preserve">10. Rosenblatt, R. A., &amp; Hart, L. G. (2000). Physicians and rural America. </w:t>
      </w:r>
      <w:r>
        <w:rPr>
          <w:i/>
          <w:iCs/>
          <w:sz w:val="24"/>
          <w:szCs w:val="24"/>
          <w:rFonts w:ascii="Arial" w:cs="Arial" w:eastAsia="Arial" w:hAnsi="Arial"/>
        </w:rPr>
        <w:t xml:space="preserve">Western Journal of Medicine</w:t>
      </w:r>
      <w:r>
        <w:rPr>
          <w:sz w:val="24"/>
          <w:szCs w:val="24"/>
          <w:rFonts w:ascii="Arial" w:cs="Arial" w:eastAsia="Arial" w:hAnsi="Arial"/>
        </w:rPr>
        <w:t xml:space="preserve">, 173(5), 348-351.</w:t>
      </w:r>
    </w:p>
    <w:p>
      <w:pPr>
        <w:spacing w:after="120"/>
      </w:pPr>
      <w:r>
        <w:rPr>
          <w:sz w:val="24"/>
          <w:szCs w:val="24"/>
          <w:rFonts w:ascii="Arial" w:cs="Arial" w:eastAsia="Arial" w:hAnsi="Arial"/>
        </w:rPr>
        <w:t xml:space="preserve">11. Thomas, S. R., Holmes, G. M., &amp; Pink, G. H. (2016). 2014-2015 profitability of urban and rural hospitals by Medicare payment classification. </w:t>
      </w:r>
      <w:r>
        <w:rPr>
          <w:i/>
          <w:iCs/>
          <w:sz w:val="24"/>
          <w:szCs w:val="24"/>
          <w:rFonts w:ascii="Arial" w:cs="Arial" w:eastAsia="Arial" w:hAnsi="Arial"/>
        </w:rPr>
        <w:t xml:space="preserve">NC Rural Health Research Program Findings Brief</w:t>
      </w:r>
      <w:r>
        <w:rPr>
          <w:sz w:val="24"/>
          <w:szCs w:val="24"/>
          <w:rFonts w:ascii="Arial" w:cs="Arial" w:eastAsia="Arial" w:hAnsi="Arial"/>
        </w:rPr>
        <w:t xml:space="preserve">.</w:t>
      </w:r>
    </w:p>
    <w:p>
      <w:pPr>
        <w:spacing w:after="120"/>
      </w:pPr>
      <w:r>
        <w:rPr>
          <w:sz w:val="24"/>
          <w:szCs w:val="24"/>
          <w:rFonts w:ascii="Arial" w:cs="Arial" w:eastAsia="Arial" w:hAnsi="Arial"/>
        </w:rPr>
        <w:t xml:space="preserve">12. Xue, Y., Ye, Z., Brewer, C., &amp; Spetz, J. (2016). Impact of state nurse practitioner scope-of-practice regulation on health care delivery: Systematic review. </w:t>
      </w:r>
      <w:r>
        <w:rPr>
          <w:i/>
          <w:iCs/>
          <w:sz w:val="24"/>
          <w:szCs w:val="24"/>
          <w:rFonts w:ascii="Arial" w:cs="Arial" w:eastAsia="Arial" w:hAnsi="Arial"/>
        </w:rPr>
        <w:t xml:space="preserve">Nursing Outlook</w:t>
      </w:r>
      <w:r>
        <w:rPr>
          <w:sz w:val="24"/>
          <w:szCs w:val="24"/>
          <w:rFonts w:ascii="Arial" w:cs="Arial" w:eastAsia="Arial" w:hAnsi="Arial"/>
        </w:rPr>
        <w:t xml:space="preserve">, 64(1), 71-85.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8: Rural Health Economics and Critical Acce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2026-04-16T00:40:09.505Z</dcterms:created>
  <dcterms:modified xsi:type="dcterms:W3CDTF">2026-04-16T00:40:09.505Z</dcterms:modified>
</cp:coreProperties>
</file>

<file path=docProps/custom.xml><?xml version="1.0" encoding="utf-8"?>
<Properties xmlns="http://schemas.openxmlformats.org/officeDocument/2006/custom-properties" xmlns:vt="http://schemas.openxmlformats.org/officeDocument/2006/docPropsVTypes"/>
</file>