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18</w:t>
      </w:r>
    </w:p>
    <w:p>
      <w:pPr>
        <w:jc w:val="center"/>
      </w:pPr>
      <w:r>
        <w:rPr>
          <w:i/>
          <w:iCs/>
          <w:sz w:val="32"/>
          <w:szCs w:val="32"/>
          <w:rFonts w:ascii="Arial" w:cs="Arial" w:eastAsia="Arial" w:hAnsi="Arial"/>
        </w:rPr>
        <w:t xml:space="preserve">Healthcare Data Sources and Research Design</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Empirical health economics research is built on data, and the quality, scope, and limitations of available datasets determine what questions can be answered and how credibly. The United States has the richest healthcare data infrastructure in the world — billions of insurance claims records, population-based surveys, clinical registries, electronic health records, hospital cost reports, and provider databases — but navigating this landscape requires detailed knowledge of each data source's construction, strengths, limitations, and access mechanisms. A beautifully identified research design is worthless if the data cannot support the required variables, and a dataset's idiosyncrasies (coding changes, sampling redesigns, coverage gaps) can introduce biases that no econometric method can correct.</w:t>
      </w:r>
    </w:p>
    <w:p>
      <w:pPr>
        <w:spacing w:after="120"/>
      </w:pPr>
      <w:r>
        <w:rPr>
          <w:sz w:val="24"/>
          <w:szCs w:val="24"/>
          <w:rFonts w:ascii="Arial" w:cs="Arial" w:eastAsia="Arial" w:hAnsi="Arial"/>
        </w:rPr>
        <w:t xml:space="preserve">This chapter provides a comprehensive guide to the major US healthcare datasets and the research design considerations for constructing studies from them. We organize the chapter by data type — administrative claims, surveys, clinical/EHR data, hospital-level data, provider-level data, and area-level data — then address the practical considerations of data linkage, cohort construction, outcome measurement, and data quality assessment that are essential for any claims-based health economics study.</w:t>
      </w:r>
    </w:p>
    <w:p>
      <w:pPr>
        <w:pStyle w:val="Heading2"/>
        <w:spacing w:before="300" w:after="150"/>
      </w:pPr>
      <w:r>
        <w:rPr>
          <w:b/>
          <w:bCs/>
          <w:sz w:val="30"/>
          <w:szCs w:val="30"/>
          <w:rFonts w:ascii="Arial" w:cs="Arial" w:eastAsia="Arial" w:hAnsi="Arial"/>
        </w:rPr>
        <w:t xml:space="preserve">Claims-Based Datasets</w:t>
      </w:r>
    </w:p>
    <w:p>
      <w:pPr>
        <w:pStyle w:val="Heading3"/>
        <w:spacing w:before="200" w:after="100"/>
      </w:pPr>
      <w:r>
        <w:rPr>
          <w:b/>
          <w:bCs/>
          <w:sz w:val="26"/>
          <w:szCs w:val="26"/>
          <w:rFonts w:ascii="Arial" w:cs="Arial" w:eastAsia="Arial" w:hAnsi="Arial"/>
        </w:rPr>
        <w:t xml:space="preserve">Medicare Claims</w:t>
      </w:r>
    </w:p>
    <w:p>
      <w:pPr>
        <w:spacing w:after="120"/>
      </w:pPr>
      <w:r>
        <w:rPr>
          <w:sz w:val="24"/>
          <w:szCs w:val="24"/>
          <w:rFonts w:ascii="Arial" w:cs="Arial" w:eastAsia="Arial" w:hAnsi="Arial"/>
        </w:rPr>
        <w:t xml:space="preserve">Medicare claims data are the most widely used administrative data source in US health economics research, covering approximately 65 million beneficiaries and accounting for approximately one-fifth of national health expenditure. The data are generated as a byproduct of the Medicare payment process: every service billed to Medicare generates a claim record containing patient demographics, diagnoses (ICD-10-CM), procedures (ICD-10-PCS for inpatient, CPT/HCPCS for outpatient and professional), provider identifiers (NPI), dates of service, facility information, and payment amounts.</w:t>
      </w:r>
    </w:p>
    <w:p>
      <w:pPr>
        <w:spacing w:after="120"/>
      </w:pPr>
      <w:r>
        <w:rPr>
          <w:sz w:val="24"/>
          <w:szCs w:val="24"/>
          <w:rFonts w:ascii="Arial" w:cs="Arial" w:eastAsia="Arial" w:hAnsi="Arial"/>
        </w:rPr>
        <w:t xml:space="preserve">The key Medicare claims file types include:</w:t>
      </w:r>
    </w:p>
    <w:p>
      <w:pPr>
        <w:spacing w:after="120"/>
      </w:pPr>
      <w:r>
        <w:rPr>
          <w:sz w:val="24"/>
          <w:szCs w:val="24"/>
          <w:rFonts w:ascii="Arial" w:cs="Arial" w:eastAsia="Arial" w:hAnsi="Arial"/>
        </w:rPr>
      </w:r>
      <w:r>
        <w:rPr>
          <w:b/>
          <w:bCs/>
          <w:sz w:val="24"/>
          <w:szCs w:val="24"/>
          <w:rFonts w:ascii="Arial" w:cs="Arial" w:eastAsia="Arial" w:hAnsi="Arial"/>
        </w:rPr>
        <w:t xml:space="preserve">MedPAR (Medicare Provider Analysis and Review).</w:t>
      </w:r>
      <w:r>
        <w:rPr>
          <w:sz w:val="24"/>
          <w:szCs w:val="24"/>
          <w:rFonts w:ascii="Arial" w:cs="Arial" w:eastAsia="Arial" w:hAnsi="Arial"/>
        </w:rPr>
        <w:t xml:space="preserve"> Inpatient hospital stays aggregated to the stay level (one record per admission). Contains the DRG assignment, principal and secondary diagnoses (up to 25), procedures performed, admission and discharge dates, length of stay, total charges, and Medicare payment. MedPAR is the primary file for studies of hospital utilization, DRG-based payment analysis, readmission measurement, and inpatient mortality.</w:t>
      </w:r>
    </w:p>
    <w:p>
      <w:pPr>
        <w:spacing w:after="120"/>
      </w:pPr>
      <w:r>
        <w:rPr>
          <w:sz w:val="24"/>
          <w:szCs w:val="24"/>
          <w:rFonts w:ascii="Arial" w:cs="Arial" w:eastAsia="Arial" w:hAnsi="Arial"/>
        </w:rPr>
      </w:r>
      <w:r>
        <w:rPr>
          <w:b/>
          <w:bCs/>
          <w:sz w:val="24"/>
          <w:szCs w:val="24"/>
          <w:rFonts w:ascii="Arial" w:cs="Arial" w:eastAsia="Arial" w:hAnsi="Arial"/>
        </w:rPr>
        <w:t xml:space="preserve">Carrier (Part B Physician/Supplier).</w:t>
      </w:r>
      <w:r>
        <w:rPr>
          <w:sz w:val="24"/>
          <w:szCs w:val="24"/>
          <w:rFonts w:ascii="Arial" w:cs="Arial" w:eastAsia="Arial" w:hAnsi="Arial"/>
        </w:rPr>
        <w:t xml:space="preserve"> Individual claims for physician services, outpatient procedures, and other Part B-covered services. Each claim line contains the CPT/HCPCS code, modifier codes, diagnosis codes, performing provider NPI, place of service, allowed charges, and Medicare payment. The Carrier file is essential for studies of physician behavior, procedure utilization, specialist referral patterns, and physician-level spending variation.</w:t>
      </w:r>
    </w:p>
    <w:p>
      <w:pPr>
        <w:spacing w:after="120"/>
      </w:pPr>
      <w:r>
        <w:rPr>
          <w:sz w:val="24"/>
          <w:szCs w:val="24"/>
          <w:rFonts w:ascii="Arial" w:cs="Arial" w:eastAsia="Arial" w:hAnsi="Arial"/>
        </w:rPr>
      </w:r>
      <w:r>
        <w:rPr>
          <w:b/>
          <w:bCs/>
          <w:sz w:val="24"/>
          <w:szCs w:val="24"/>
          <w:rFonts w:ascii="Arial" w:cs="Arial" w:eastAsia="Arial" w:hAnsi="Arial"/>
        </w:rPr>
        <w:t xml:space="preserve">Outpatient.</w:t>
      </w:r>
      <w:r>
        <w:rPr>
          <w:sz w:val="24"/>
          <w:szCs w:val="24"/>
          <w:rFonts w:ascii="Arial" w:cs="Arial" w:eastAsia="Arial" w:hAnsi="Arial"/>
        </w:rPr>
        <w:t xml:space="preserve"> Hospital outpatient department claims, including emergency department visits, outpatient surgeries, diagnostic testing, and clinic visits provided in hospital-based settings. Contains revenue center codes, APC (Ambulatory Payment Classification) assignments, and the same diagnosis and procedure coding as inpatient claims.</w:t>
      </w:r>
    </w:p>
    <w:p>
      <w:pPr>
        <w:spacing w:after="120"/>
      </w:pPr>
      <w:r>
        <w:rPr>
          <w:sz w:val="24"/>
          <w:szCs w:val="24"/>
          <w:rFonts w:ascii="Arial" w:cs="Arial" w:eastAsia="Arial" w:hAnsi="Arial"/>
        </w:rPr>
      </w:r>
      <w:r>
        <w:rPr>
          <w:b/>
          <w:bCs/>
          <w:sz w:val="24"/>
          <w:szCs w:val="24"/>
          <w:rFonts w:ascii="Arial" w:cs="Arial" w:eastAsia="Arial" w:hAnsi="Arial"/>
        </w:rPr>
        <w:t xml:space="preserve">Part D Event File.</w:t>
      </w:r>
      <w:r>
        <w:rPr>
          <w:sz w:val="24"/>
          <w:szCs w:val="24"/>
          <w:rFonts w:ascii="Arial" w:cs="Arial" w:eastAsia="Arial" w:hAnsi="Arial"/>
        </w:rPr>
        <w:t xml:space="preserve"> Prescription drug claims from the Medicare Part D program, containing the National Drug Code (NDC), days supply, quantity dispensed, prescriber NPI, pharmacy NPI, and patient cost-sharing. The Part D file is essential for medication adherence research, prescription spending analysis, and studies of drug utilization patterns.</w:t>
      </w:r>
    </w:p>
    <w:p>
      <w:pPr>
        <w:spacing w:after="120"/>
      </w:pPr>
      <w:r>
        <w:rPr>
          <w:sz w:val="24"/>
          <w:szCs w:val="24"/>
          <w:rFonts w:ascii="Arial" w:cs="Arial" w:eastAsia="Arial" w:hAnsi="Arial"/>
        </w:rPr>
      </w:r>
      <w:r>
        <w:rPr>
          <w:b/>
          <w:bCs/>
          <w:sz w:val="24"/>
          <w:szCs w:val="24"/>
          <w:rFonts w:ascii="Arial" w:cs="Arial" w:eastAsia="Arial" w:hAnsi="Arial"/>
        </w:rPr>
        <w:t xml:space="preserve">Medicare Beneficiary Summary File (MBSF).</w:t>
      </w:r>
      <w:r>
        <w:rPr>
          <w:sz w:val="24"/>
          <w:szCs w:val="24"/>
          <w:rFonts w:ascii="Arial" w:cs="Arial" w:eastAsia="Arial" w:hAnsi="Arial"/>
        </w:rPr>
        <w:t xml:space="preserve"> Annual beneficiary-level file containing demographics (age, sex, race/ethnicity, ZIP code of residence), Medicare entitlement information (original reason for entitlement, Part A/B/C/D enrollment months), dual-eligibility status (Medicare-Medicaid), date of death, and the Chronic Conditions Warehouse (CCW) chronic condition flags — binary indicators for 27 common chronic conditions (diabetes, heart failure, COPD, depression, Alzheimer's, etc.) derived algorithmically from claims data.</w:t>
      </w:r>
    </w:p>
    <w:p>
      <w:pPr>
        <w:spacing w:after="120"/>
      </w:pPr>
      <w:r>
        <w:rPr>
          <w:sz w:val="24"/>
          <w:szCs w:val="24"/>
          <w:rFonts w:ascii="Arial" w:cs="Arial" w:eastAsia="Arial" w:hAnsi="Arial"/>
        </w:rPr>
        <w:t xml:space="preserve">Access to Medicare claims requires a Data Use Agreement (DUA) with the CMS Research Data Assistance Center (ResDAC). The application process involves institutional review board (IRB) approval, a detailed research protocol, data security certification, and a fee schedule based on the number of files and years requested. Processing time is typically 3-12 months from application to data delivery. The Chronic Conditions Data Warehouse (CCW) Virtual Research Data Center (VRDC) provides a cloud-based research environment with pre-linked claims and enrollment files, reducing data processing burden.</w:t>
      </w:r>
    </w:p>
    <w:p>
      <w:pPr>
        <w:pStyle w:val="Heading3"/>
        <w:spacing w:before="200" w:after="100"/>
      </w:pPr>
      <w:r>
        <w:rPr>
          <w:b/>
          <w:bCs/>
          <w:sz w:val="26"/>
          <w:szCs w:val="26"/>
          <w:rFonts w:ascii="Arial" w:cs="Arial" w:eastAsia="Arial" w:hAnsi="Arial"/>
        </w:rPr>
        <w:t xml:space="preserve">Medicaid Claims: MAX and T-MSIS</w:t>
      </w:r>
    </w:p>
    <w:p>
      <w:pPr>
        <w:spacing w:after="120"/>
      </w:pPr>
      <w:r>
        <w:rPr>
          <w:sz w:val="24"/>
          <w:szCs w:val="24"/>
          <w:rFonts w:ascii="Arial" w:cs="Arial" w:eastAsia="Arial" w:hAnsi="Arial"/>
        </w:rPr>
        <w:t xml:space="preserve">Medicaid Analytic eXtract (MAX) files provided state-level Medicaid claims data from 1999 through 2014, with a similar structure to Medicare claims (inpatient, outpatient, prescription drug, long-term care, and personal summary files). MAX data quality varied substantially across states, reflecting differences in state Medicaid program administration and data submission practices.</w:t>
      </w:r>
    </w:p>
    <w:p>
      <w:pPr>
        <w:spacing w:after="120"/>
      </w:pPr>
      <w:r>
        <w:rPr>
          <w:sz w:val="24"/>
          <w:szCs w:val="24"/>
          <w:rFonts w:ascii="Arial" w:cs="Arial" w:eastAsia="Arial" w:hAnsi="Arial"/>
        </w:rPr>
        <w:t xml:space="preserve">The Transformed Medicaid Statistical Information System (T-MSIS) replaced MAX beginning in 2014, providing more timely and standardized Medicaid data. T-MSIS includes claims for all Medicaid and CHIP enrollees (approximately 85 million), with improved data quality standards but an ongoing maturation process as states improve their submissions. Access to T-MSIS is through CMS's CCW/VRDC system.</w:t>
      </w:r>
    </w:p>
    <w:p>
      <w:pPr>
        <w:pStyle w:val="Heading3"/>
        <w:spacing w:before="200" w:after="100"/>
      </w:pPr>
      <w:r>
        <w:rPr>
          <w:b/>
          <w:bCs/>
          <w:sz w:val="26"/>
          <w:szCs w:val="26"/>
          <w:rFonts w:ascii="Arial" w:cs="Arial" w:eastAsia="Arial" w:hAnsi="Arial"/>
        </w:rPr>
        <w:t xml:space="preserve">Commercial Claims Databases</w:t>
      </w:r>
    </w:p>
    <w:p>
      <w:pPr>
        <w:spacing w:after="120"/>
      </w:pPr>
      <w:r>
        <w:rPr>
          <w:sz w:val="24"/>
          <w:szCs w:val="24"/>
          <w:rFonts w:ascii="Arial" w:cs="Arial" w:eastAsia="Arial" w:hAnsi="Arial"/>
        </w:rPr>
      </w:r>
      <w:r>
        <w:rPr>
          <w:b/>
          <w:bCs/>
          <w:sz w:val="24"/>
          <w:szCs w:val="24"/>
          <w:rFonts w:ascii="Arial" w:cs="Arial" w:eastAsia="Arial" w:hAnsi="Arial"/>
        </w:rPr>
        <w:t xml:space="preserve">IBM MarketScan (now Merative).</w:t>
      </w:r>
      <w:r>
        <w:rPr>
          <w:sz w:val="24"/>
          <w:szCs w:val="24"/>
          <w:rFonts w:ascii="Arial" w:cs="Arial" w:eastAsia="Arial" w:hAnsi="Arial"/>
        </w:rPr>
        <w:t xml:space="preserve"> The most widely used commercial claims database in health services research, covering approximately 30-50 million covered lives annually from large employers and health plans. MarketScan includes inpatient, outpatient, physician, and pharmacy claims linked to enrollment files with plan design information (deductible amounts, copayment structures, plan type). The database captures employer-sponsored and individual market insurance. Limitations include proprietary access (licensing fees of $50,000-$200,000+), potential sample composition changes as contributing employers change, limited geographic detail in many data versions, and the non-representative nature of large-employer populations (which tend to be higher-income and more stably employed than the general commercial insurance population).</w:t>
      </w:r>
    </w:p>
    <w:p>
      <w:pPr>
        <w:spacing w:after="120"/>
      </w:pPr>
      <w:r>
        <w:rPr>
          <w:sz w:val="24"/>
          <w:szCs w:val="24"/>
          <w:rFonts w:ascii="Arial" w:cs="Arial" w:eastAsia="Arial" w:hAnsi="Arial"/>
        </w:rPr>
      </w:r>
      <w:r>
        <w:rPr>
          <w:b/>
          <w:bCs/>
          <w:sz w:val="24"/>
          <w:szCs w:val="24"/>
          <w:rFonts w:ascii="Arial" w:cs="Arial" w:eastAsia="Arial" w:hAnsi="Arial"/>
        </w:rPr>
        <w:t xml:space="preserve">Optum Clinformatics Data Mart.</w:t>
      </w:r>
      <w:r>
        <w:rPr>
          <w:sz w:val="24"/>
          <w:szCs w:val="24"/>
          <w:rFonts w:ascii="Arial" w:cs="Arial" w:eastAsia="Arial" w:hAnsi="Arial"/>
        </w:rPr>
        <w:t xml:space="preserve"> Commercial and Medicare Advantage claims for approximately 15-20 million lives, with linked clinical data (lab results, vital signs) for a subset. Optum's integrated claims-clinical data enable studies requiring both administrative and clinical variables — for example, linking HbA1c values from laboratory data to diabetes medication adherence measured from pharmacy claims.</w:t>
      </w:r>
    </w:p>
    <w:p>
      <w:pPr>
        <w:spacing w:after="120"/>
      </w:pPr>
      <w:r>
        <w:rPr>
          <w:sz w:val="24"/>
          <w:szCs w:val="24"/>
          <w:rFonts w:ascii="Arial" w:cs="Arial" w:eastAsia="Arial" w:hAnsi="Arial"/>
        </w:rPr>
      </w:r>
      <w:r>
        <w:rPr>
          <w:b/>
          <w:bCs/>
          <w:sz w:val="24"/>
          <w:szCs w:val="24"/>
          <w:rFonts w:ascii="Arial" w:cs="Arial" w:eastAsia="Arial" w:hAnsi="Arial"/>
        </w:rPr>
        <w:t xml:space="preserve">Health Care Cost Institute (HCCI).</w:t>
      </w:r>
      <w:r>
        <w:rPr>
          <w:sz w:val="24"/>
          <w:szCs w:val="24"/>
          <w:rFonts w:ascii="Arial" w:cs="Arial" w:eastAsia="Arial" w:hAnsi="Arial"/>
        </w:rPr>
        <w:t xml:space="preserve"> Aggregated commercial claims from three large insurers (Aetna, Humana, UnitedHealthcare), providing nationally representative commercial insurance data with detailed pricing information (allowed amounts, negotiated rates). Cooper and colleagues (2019) used HCCI data for their landmark study of commercial hospital price variation.</w:t>
      </w:r>
    </w:p>
    <w:p>
      <w:pPr>
        <w:pStyle w:val="Heading3"/>
        <w:spacing w:before="200" w:after="100"/>
      </w:pPr>
      <w:r>
        <w:rPr>
          <w:b/>
          <w:bCs/>
          <w:sz w:val="26"/>
          <w:szCs w:val="26"/>
          <w:rFonts w:ascii="Arial" w:cs="Arial" w:eastAsia="Arial" w:hAnsi="Arial"/>
        </w:rPr>
        <w:t xml:space="preserve">All-Payer Claims Databases</w:t>
      </w:r>
    </w:p>
    <w:p>
      <w:pPr>
        <w:spacing w:after="120"/>
      </w:pPr>
      <w:r>
        <w:rPr>
          <w:sz w:val="24"/>
          <w:szCs w:val="24"/>
          <w:rFonts w:ascii="Arial" w:cs="Arial" w:eastAsia="Arial" w:hAnsi="Arial"/>
        </w:rPr>
        <w:t xml:space="preserve">All-payer claims databases (APCDs) aggregate claims from all payers — commercial, Medicare, Medicaid — within a state, providing a comprehensive picture of healthcare utilization and spending for a state's total population. As of 2024, approximately 20 states maintain APCDs with varying levels of completeness, data quality, and researcher accessibility.</w:t>
      </w:r>
    </w:p>
    <w:p>
      <w:pPr>
        <w:spacing w:after="120"/>
      </w:pPr>
      <w:r>
        <w:rPr>
          <w:sz w:val="24"/>
          <w:szCs w:val="24"/>
          <w:rFonts w:ascii="Arial" w:cs="Arial" w:eastAsia="Arial" w:hAnsi="Arial"/>
        </w:rPr>
        <w:t xml:space="preserve">APCDs are uniquely valuable for research requiring cross-payer analysis: comparing commercial vs. Medicare vs. Medicaid prices for the same services, measuring total cost of care across all payers, analyzing payer mix effects on provider behavior, and studying the effects of commercial insurance market reforms. The APCD Council coordinates standardization efforts, and the Common Data Layout (CDL) provides a standardized format for cross-state APCD research.</w:t>
      </w:r>
    </w:p>
    <w:p>
      <w:pPr>
        <w:pStyle w:val="Heading2"/>
        <w:spacing w:before="300" w:after="150"/>
      </w:pPr>
      <w:r>
        <w:rPr>
          <w:b/>
          <w:bCs/>
          <w:sz w:val="30"/>
          <w:szCs w:val="30"/>
          <w:rFonts w:ascii="Arial" w:cs="Arial" w:eastAsia="Arial" w:hAnsi="Arial"/>
        </w:rPr>
        <w:t xml:space="preserve">Survey Datasets</w:t>
      </w:r>
    </w:p>
    <w:p>
      <w:pPr>
        <w:pStyle w:val="Heading3"/>
        <w:spacing w:before="200" w:after="100"/>
      </w:pPr>
      <w:r>
        <w:rPr>
          <w:b/>
          <w:bCs/>
          <w:sz w:val="26"/>
          <w:szCs w:val="26"/>
          <w:rFonts w:ascii="Arial" w:cs="Arial" w:eastAsia="Arial" w:hAnsi="Arial"/>
        </w:rPr>
        <w:t xml:space="preserve">Medical Expenditure Panel Survey (MEPS)</w:t>
      </w:r>
    </w:p>
    <w:p>
      <w:pPr>
        <w:spacing w:after="120"/>
      </w:pPr>
      <w:r>
        <w:rPr>
          <w:sz w:val="24"/>
          <w:szCs w:val="24"/>
          <w:rFonts w:ascii="Arial" w:cs="Arial" w:eastAsia="Arial" w:hAnsi="Arial"/>
        </w:rPr>
        <w:t xml:space="preserve">MEPS is the gold standard survey for healthcare utilization, expenditure, and insurance coverage research at the individual and family level. Conducted by AHRQ since 1996, MEPS uses an overlapping panel design in which each sampled household is interviewed five times (rounds) over a 2.5-year period. The Household Component captures self-reported healthcare utilization, conditions, health status, and insurance coverage. The Medical Provider Component (MPC) contacts providers identified by households to verify reported events and obtain detailed charge and payment data.</w:t>
      </w:r>
    </w:p>
    <w:p>
      <w:pPr>
        <w:spacing w:after="120"/>
      </w:pPr>
      <w:r>
        <w:rPr>
          <w:sz w:val="24"/>
          <w:szCs w:val="24"/>
          <w:rFonts w:ascii="Arial" w:cs="Arial" w:eastAsia="Arial" w:hAnsi="Arial"/>
        </w:rPr>
        <w:t xml:space="preserve">MEPS is unique in capturing total healthcare expenditure by source of payment — out-of-pocket, private insurance, Medicare, Medicaid, other public, and uncompensated care — for each healthcare event. This comprehensive expenditure decomposition enables analysis of the distribution of healthcare spending across payers and the financial burden on households — analyses impossible with single-payer claims data.</w:t>
      </w:r>
    </w:p>
    <w:p>
      <w:pPr>
        <w:spacing w:after="120"/>
      </w:pPr>
      <w:r>
        <w:rPr>
          <w:sz w:val="24"/>
          <w:szCs w:val="24"/>
          <w:rFonts w:ascii="Arial" w:cs="Arial" w:eastAsia="Arial" w:hAnsi="Arial"/>
        </w:rPr>
        <w:t xml:space="preserve">MEPS limitations include relatively small sample size (approximately 15,000 households per panel, limiting subgroup analysis and state-level estimation), potential recall bias in self-reported utilization (partially mitigated by the MPC verification), and underreporting of mental health and substance use services.</w:t>
      </w:r>
    </w:p>
    <w:p>
      <w:pPr>
        <w:pStyle w:val="Heading3"/>
        <w:spacing w:before="200" w:after="100"/>
      </w:pPr>
      <w:r>
        <w:rPr>
          <w:b/>
          <w:bCs/>
          <w:sz w:val="26"/>
          <w:szCs w:val="26"/>
          <w:rFonts w:ascii="Arial" w:cs="Arial" w:eastAsia="Arial" w:hAnsi="Arial"/>
        </w:rPr>
        <w:t xml:space="preserve">Other Key Surveys</w:t>
      </w:r>
    </w:p>
    <w:p>
      <w:pPr>
        <w:spacing w:after="120"/>
      </w:pPr>
      <w:r>
        <w:rPr>
          <w:sz w:val="24"/>
          <w:szCs w:val="24"/>
          <w:rFonts w:ascii="Arial" w:cs="Arial" w:eastAsia="Arial" w:hAnsi="Arial"/>
        </w:rPr>
      </w:r>
      <w:r>
        <w:rPr>
          <w:b/>
          <w:bCs/>
          <w:sz w:val="24"/>
          <w:szCs w:val="24"/>
          <w:rFonts w:ascii="Arial" w:cs="Arial" w:eastAsia="Arial" w:hAnsi="Arial"/>
        </w:rPr>
        <w:t xml:space="preserve">National Health Interview Survey (NHIS).</w:t>
      </w:r>
      <w:r>
        <w:rPr>
          <w:sz w:val="24"/>
          <w:szCs w:val="24"/>
          <w:rFonts w:ascii="Arial" w:cs="Arial" w:eastAsia="Arial" w:hAnsi="Arial"/>
        </w:rPr>
        <w:t xml:space="preserve"> CDC's principal source of information on health status, healthcare access and utilization, and health insurance coverage for the civilian noninstitutionalized population. Annual cross-sectional survey of approximately 35,000 households. NHIS data are linkable to the National Death Index (NDI) for mortality follow-up, enabling longitudinal analyses of the relationship between baseline health and insurance status and subsequent mortality.</w:t>
      </w:r>
    </w:p>
    <w:p>
      <w:pPr>
        <w:spacing w:after="120"/>
      </w:pPr>
      <w:r>
        <w:rPr>
          <w:sz w:val="24"/>
          <w:szCs w:val="24"/>
          <w:rFonts w:ascii="Arial" w:cs="Arial" w:eastAsia="Arial" w:hAnsi="Arial"/>
        </w:rPr>
      </w:r>
      <w:r>
        <w:rPr>
          <w:b/>
          <w:bCs/>
          <w:sz w:val="24"/>
          <w:szCs w:val="24"/>
          <w:rFonts w:ascii="Arial" w:cs="Arial" w:eastAsia="Arial" w:hAnsi="Arial"/>
        </w:rPr>
        <w:t xml:space="preserve">Behavioral Risk Factor Surveillance System (BRFSS).</w:t>
      </w:r>
      <w:r>
        <w:rPr>
          <w:sz w:val="24"/>
          <w:szCs w:val="24"/>
          <w:rFonts w:ascii="Arial" w:cs="Arial" w:eastAsia="Arial" w:hAnsi="Arial"/>
        </w:rPr>
        <w:t xml:space="preserve"> The world's largest continuously conducted telephone survey, interviewing approximately 400,000 adults annually across all 50 states and territories. BRFSS provides state-level estimates of health behaviors (smoking, physical activity, diet), chronic conditions (diabetes, hypertension, obesity), preventive care utilization (screening, vaccination), and healthcare access. The large sample size enables state-level and even metropolitan-area analysis, making BRFSS valuable for geographic variation studies.</w:t>
      </w:r>
    </w:p>
    <w:p>
      <w:pPr>
        <w:spacing w:after="120"/>
      </w:pPr>
      <w:r>
        <w:rPr>
          <w:sz w:val="24"/>
          <w:szCs w:val="24"/>
          <w:rFonts w:ascii="Arial" w:cs="Arial" w:eastAsia="Arial" w:hAnsi="Arial"/>
        </w:rPr>
      </w:r>
      <w:r>
        <w:rPr>
          <w:b/>
          <w:bCs/>
          <w:sz w:val="24"/>
          <w:szCs w:val="24"/>
          <w:rFonts w:ascii="Arial" w:cs="Arial" w:eastAsia="Arial" w:hAnsi="Arial"/>
        </w:rPr>
        <w:t xml:space="preserve">Current Population Survey (CPS) Annual Social and Economic Supplement.</w:t>
      </w:r>
      <w:r>
        <w:rPr>
          <w:sz w:val="24"/>
          <w:szCs w:val="24"/>
          <w:rFonts w:ascii="Arial" w:cs="Arial" w:eastAsia="Arial" w:hAnsi="Arial"/>
        </w:rPr>
        <w:t xml:space="preserve"> Provides the official Census Bureau estimates of health insurance coverage rates by coverage type, demographic group, and state. The CPS insurance coverage questions were substantially redesigned in 2013, creating a discontinuity in the time series that researchers must address when analyzing coverage trends spanning the redesign.</w:t>
      </w:r>
    </w:p>
    <w:p>
      <w:pPr>
        <w:spacing w:after="120"/>
      </w:pPr>
      <w:r>
        <w:rPr>
          <w:sz w:val="24"/>
          <w:szCs w:val="24"/>
          <w:rFonts w:ascii="Arial" w:cs="Arial" w:eastAsia="Arial" w:hAnsi="Arial"/>
        </w:rPr>
      </w:r>
      <w:r>
        <w:rPr>
          <w:b/>
          <w:bCs/>
          <w:sz w:val="24"/>
          <w:szCs w:val="24"/>
          <w:rFonts w:ascii="Arial" w:cs="Arial" w:eastAsia="Arial" w:hAnsi="Arial"/>
        </w:rPr>
        <w:t xml:space="preserve">Health and Retirement Study (HRS).</w:t>
      </w:r>
      <w:r>
        <w:rPr>
          <w:sz w:val="24"/>
          <w:szCs w:val="24"/>
          <w:rFonts w:ascii="Arial" w:cs="Arial" w:eastAsia="Arial" w:hAnsi="Arial"/>
        </w:rPr>
        <w:t xml:space="preserve"> Longitudinal panel study following approximately 20,000 Americans over age 50, with biennial interviews since 1992. HRS provides exceptionally detailed data on health, cognitive function, functional status, healthcare utilization, wealth, income, retirement, and family structure. HRS is the primary data source for research on aging, retirement, long-term care, and the intersection of health and financial decision-making.</w:t>
      </w:r>
    </w:p>
    <w:p>
      <w:pPr>
        <w:pStyle w:val="Heading2"/>
        <w:spacing w:before="300" w:after="150"/>
      </w:pPr>
      <w:r>
        <w:rPr>
          <w:b/>
          <w:bCs/>
          <w:sz w:val="30"/>
          <w:szCs w:val="30"/>
          <w:rFonts w:ascii="Arial" w:cs="Arial" w:eastAsia="Arial" w:hAnsi="Arial"/>
        </w:rPr>
        <w:t xml:space="preserve">Clinical and EHR Data</w:t>
      </w:r>
    </w:p>
    <w:p>
      <w:pPr>
        <w:spacing w:after="120"/>
      </w:pPr>
      <w:r>
        <w:rPr>
          <w:sz w:val="24"/>
          <w:szCs w:val="24"/>
          <w:rFonts w:ascii="Arial" w:cs="Arial" w:eastAsia="Arial" w:hAnsi="Arial"/>
        </w:rPr>
        <w:t xml:space="preserve">Electronic health record data from multi-institutional research networks — PCORnet (the Patient-Centered Outcomes Research Network), TriNetX, Optum's de-identified EHR database, and Flatiron Health (oncology) — provide clinical detail that claims data lack: vital signs, laboratory values, pathology and radiology results, clinical notes, medication administration records, and clinical assessments.</w:t>
      </w:r>
    </w:p>
    <w:p>
      <w:pPr>
        <w:spacing w:after="120"/>
      </w:pPr>
      <w:r>
        <w:rPr>
          <w:sz w:val="24"/>
          <w:szCs w:val="24"/>
          <w:rFonts w:ascii="Arial" w:cs="Arial" w:eastAsia="Arial" w:hAnsi="Arial"/>
        </w:rPr>
        <w:t xml:space="preserve">EHR data enable research on disease progression, treatment response, clinical phenotyping, and outcomes measured at a granularity impossible with claims alone. However, EHR data present significant methodological challenges:</w:t>
      </w:r>
    </w:p>
    <w:p>
      <w:pPr>
        <w:spacing w:after="120"/>
      </w:pPr>
      <w:r>
        <w:rPr>
          <w:sz w:val="24"/>
          <w:szCs w:val="24"/>
          <w:rFonts w:ascii="Arial" w:cs="Arial" w:eastAsia="Arial" w:hAnsi="Arial"/>
        </w:rPr>
      </w:r>
      <w:r>
        <w:rPr>
          <w:b/>
          <w:bCs/>
          <w:sz w:val="24"/>
          <w:szCs w:val="24"/>
          <w:rFonts w:ascii="Arial" w:cs="Arial" w:eastAsia="Arial" w:hAnsi="Arial"/>
        </w:rPr>
        <w:t xml:space="preserve">Informative missingness.</w:t>
      </w:r>
      <w:r>
        <w:rPr>
          <w:sz w:val="24"/>
          <w:szCs w:val="24"/>
          <w:rFonts w:ascii="Arial" w:cs="Arial" w:eastAsia="Arial" w:hAnsi="Arial"/>
        </w:rPr>
        <w:t xml:space="preserve"> Laboratory tests, vital signs, and imaging studies are ordered when clinically indicated — not randomly. Patients with missing values for a test differ systematically from those with observed values, and the missingness pattern carries clinical information. A patient with no HbA1c measurement in the past year may be undiagnosed (no reason to test), well-controlled on stable therapy (physician deferred testing), or lost to follow-up (no longer receiving care). Standard complete-case analysis or simple imputation methods may produce biased estimates.</w:t>
      </w:r>
    </w:p>
    <w:p>
      <w:pPr>
        <w:spacing w:after="120"/>
      </w:pPr>
      <w:r>
        <w:rPr>
          <w:sz w:val="24"/>
          <w:szCs w:val="24"/>
          <w:rFonts w:ascii="Arial" w:cs="Arial" w:eastAsia="Arial" w:hAnsi="Arial"/>
        </w:rPr>
      </w:r>
      <w:r>
        <w:rPr>
          <w:b/>
          <w:bCs/>
          <w:sz w:val="24"/>
          <w:szCs w:val="24"/>
          <w:rFonts w:ascii="Arial" w:cs="Arial" w:eastAsia="Arial" w:hAnsi="Arial"/>
        </w:rPr>
        <w:t xml:space="preserve">Selection bias.</w:t>
      </w:r>
      <w:r>
        <w:rPr>
          <w:sz w:val="24"/>
          <w:szCs w:val="24"/>
          <w:rFonts w:ascii="Arial" w:cs="Arial" w:eastAsia="Arial" w:hAnsi="Arial"/>
        </w:rPr>
        <w:t xml:space="preserve"> The population captured in any EHR system reflects the market position and referral patterns of the contributing health systems. Academic medical centers overrepresent complex, referred cases. Community health centers overrepresent low-income populations. EHR-based research samples are not representative of any well-defined target population without careful adjustment.</w:t>
      </w:r>
    </w:p>
    <w:p>
      <w:pPr>
        <w:spacing w:after="120"/>
      </w:pPr>
      <w:r>
        <w:rPr>
          <w:sz w:val="24"/>
          <w:szCs w:val="24"/>
          <w:rFonts w:ascii="Arial" w:cs="Arial" w:eastAsia="Arial" w:hAnsi="Arial"/>
        </w:rPr>
      </w:r>
      <w:r>
        <w:rPr>
          <w:b/>
          <w:bCs/>
          <w:sz w:val="24"/>
          <w:szCs w:val="24"/>
          <w:rFonts w:ascii="Arial" w:cs="Arial" w:eastAsia="Arial" w:hAnsi="Arial"/>
        </w:rPr>
        <w:t xml:space="preserve">Fragmented records.</w:t>
      </w:r>
      <w:r>
        <w:rPr>
          <w:sz w:val="24"/>
          <w:szCs w:val="24"/>
          <w:rFonts w:ascii="Arial" w:cs="Arial" w:eastAsia="Arial" w:hAnsi="Arial"/>
        </w:rPr>
        <w:t xml:space="preserve"> Patients receiving care from multiple health systems appear in multiple EHR databases without a common identifier. A patient hospitalized at Hospital A and followed up at Clinic B (in a different health system) appears as two separate patients in each system's EHR, with neither system having the complete clinical picture.</w:t>
      </w:r>
    </w:p>
    <w:p>
      <w:pPr>
        <w:pStyle w:val="Heading2"/>
        <w:spacing w:before="300" w:after="150"/>
      </w:pPr>
      <w:r>
        <w:rPr>
          <w:b/>
          <w:bCs/>
          <w:sz w:val="30"/>
          <w:szCs w:val="30"/>
          <w:rFonts w:ascii="Arial" w:cs="Arial" w:eastAsia="Arial" w:hAnsi="Arial"/>
        </w:rPr>
        <w:t xml:space="preserve">Hospital and Provider Data</w:t>
      </w:r>
    </w:p>
    <w:p>
      <w:pPr>
        <w:spacing w:after="120"/>
      </w:pPr>
      <w:r>
        <w:rPr>
          <w:sz w:val="24"/>
          <w:szCs w:val="24"/>
          <w:rFonts w:ascii="Arial" w:cs="Arial" w:eastAsia="Arial" w:hAnsi="Arial"/>
        </w:rPr>
      </w:r>
      <w:r>
        <w:rPr>
          <w:b/>
          <w:bCs/>
          <w:sz w:val="24"/>
          <w:szCs w:val="24"/>
          <w:rFonts w:ascii="Arial" w:cs="Arial" w:eastAsia="Arial" w:hAnsi="Arial"/>
        </w:rPr>
        <w:t xml:space="preserve">AHA Annual Survey.</w:t>
      </w:r>
      <w:r>
        <w:rPr>
          <w:sz w:val="24"/>
          <w:szCs w:val="24"/>
          <w:rFonts w:ascii="Arial" w:cs="Arial" w:eastAsia="Arial" w:hAnsi="Arial"/>
        </w:rPr>
        <w:t xml:space="preserve"> The American Hospital Association surveys all US registered hospitals annually (approximately 6,200 hospitals), collecting information on organizational characteristics (bed count, ownership, system membership, teaching status), services offered, staffing (FTEs by category), utilization (admissions, outpatient visits, ED visits), and finances (total revenue, expenses). The AHA survey is the primary source for hospital-level structural variables used as covariates in health economics research.</w:t>
      </w:r>
    </w:p>
    <w:p>
      <w:pPr>
        <w:spacing w:after="120"/>
      </w:pPr>
      <w:r>
        <w:rPr>
          <w:sz w:val="24"/>
          <w:szCs w:val="24"/>
          <w:rFonts w:ascii="Arial" w:cs="Arial" w:eastAsia="Arial" w:hAnsi="Arial"/>
        </w:rPr>
      </w:r>
      <w:r>
        <w:rPr>
          <w:b/>
          <w:bCs/>
          <w:sz w:val="24"/>
          <w:szCs w:val="24"/>
          <w:rFonts w:ascii="Arial" w:cs="Arial" w:eastAsia="Arial" w:hAnsi="Arial"/>
        </w:rPr>
        <w:t xml:space="preserve">CMS Hospital Cost Reports (HCRIS).</w:t>
      </w:r>
      <w:r>
        <w:rPr>
          <w:sz w:val="24"/>
          <w:szCs w:val="24"/>
          <w:rFonts w:ascii="Arial" w:cs="Arial" w:eastAsia="Arial" w:hAnsi="Arial"/>
        </w:rPr>
        <w:t xml:space="preserve"> All Medicare-participating hospitals file annual cost reports (CMS Form 2552-10) that provide detailed financial data including costs by cost center (routine inpatient, ancillary, outpatient), revenue by payer, uncompensated care (charity care and bad debt), Medicaid and S-CHIP days and costs, GME costs, and disproportionate share information. HCRIS data are publicly available on CMS.gov and are the primary source for hospital financial analysis, cost efficiency studies, and the construction of cost-to-charge ratios used in claims-based cost estimation.</w:t>
      </w:r>
    </w:p>
    <w:p>
      <w:pPr>
        <w:spacing w:after="120"/>
      </w:pPr>
      <w:r>
        <w:rPr>
          <w:sz w:val="24"/>
          <w:szCs w:val="24"/>
          <w:rFonts w:ascii="Arial" w:cs="Arial" w:eastAsia="Arial" w:hAnsi="Arial"/>
        </w:rPr>
      </w:r>
      <w:r>
        <w:rPr>
          <w:b/>
          <w:bCs/>
          <w:sz w:val="24"/>
          <w:szCs w:val="24"/>
          <w:rFonts w:ascii="Arial" w:cs="Arial" w:eastAsia="Arial" w:hAnsi="Arial"/>
        </w:rPr>
        <w:t xml:space="preserve">Provider-level data.</w:t>
      </w:r>
      <w:r>
        <w:rPr>
          <w:sz w:val="24"/>
          <w:szCs w:val="24"/>
          <w:rFonts w:ascii="Arial" w:cs="Arial" w:eastAsia="Arial" w:hAnsi="Arial"/>
        </w:rPr>
        <w:t xml:space="preserve"> The National Plan and Provider Enumeration System (NPPES) provides NPI-linked provider information (name, specialty, practice address). Medicare Provider Utilization and Payment Data provide aggregate utilization and payment data by provider NPI for Medicare Part B services. The Area Health Resource File (AHRF) provides county-level data on healthcare workforce (physicians by specialty, dentists, nurses, hospital beds), demographics, economics, and health resources.</w:t>
      </w:r>
    </w:p>
    <w:p>
      <w:pPr>
        <w:pStyle w:val="Heading2"/>
        <w:spacing w:before="300" w:after="150"/>
      </w:pPr>
      <w:r>
        <w:rPr>
          <w:b/>
          <w:bCs/>
          <w:sz w:val="30"/>
          <w:szCs w:val="30"/>
          <w:rFonts w:ascii="Arial" w:cs="Arial" w:eastAsia="Arial" w:hAnsi="Arial"/>
        </w:rPr>
        <w:t xml:space="preserve">Research Design Considerations</w:t>
      </w:r>
    </w:p>
    <w:p>
      <w:pPr>
        <w:pStyle w:val="Heading3"/>
        <w:spacing w:before="200" w:after="100"/>
      </w:pPr>
      <w:r>
        <w:rPr>
          <w:b/>
          <w:bCs/>
          <w:sz w:val="26"/>
          <w:szCs w:val="26"/>
          <w:rFonts w:ascii="Arial" w:cs="Arial" w:eastAsia="Arial" w:hAnsi="Arial"/>
        </w:rPr>
        <w:t xml:space="preserve">Cohort Construction from Claims Data</w:t>
      </w:r>
    </w:p>
    <w:p>
      <w:pPr>
        <w:spacing w:after="120"/>
      </w:pPr>
      <w:r>
        <w:rPr>
          <w:sz w:val="24"/>
          <w:szCs w:val="24"/>
          <w:rFonts w:ascii="Arial" w:cs="Arial" w:eastAsia="Arial" w:hAnsi="Arial"/>
        </w:rPr>
        <w:t xml:space="preserve">Building a research cohort from claims data requires careful specification of the study population, time periods, and variables. Key design decisions include:</w:t>
      </w:r>
    </w:p>
    <w:p>
      <w:pPr>
        <w:spacing w:after="120"/>
      </w:pPr>
      <w:r>
        <w:rPr>
          <w:sz w:val="24"/>
          <w:szCs w:val="24"/>
          <w:rFonts w:ascii="Arial" w:cs="Arial" w:eastAsia="Arial" w:hAnsi="Arial"/>
        </w:rPr>
      </w:r>
      <w:r>
        <w:rPr>
          <w:b/>
          <w:bCs/>
          <w:sz w:val="24"/>
          <w:szCs w:val="24"/>
          <w:rFonts w:ascii="Arial" w:cs="Arial" w:eastAsia="Arial" w:hAnsi="Arial"/>
        </w:rPr>
        <w:t xml:space="preserve">Index event identification.</w:t>
      </w:r>
      <w:r>
        <w:rPr>
          <w:sz w:val="24"/>
          <w:szCs w:val="24"/>
          <w:rFonts w:ascii="Arial" w:cs="Arial" w:eastAsia="Arial" w:hAnsi="Arial"/>
        </w:rPr>
        <w:t xml:space="preserve"> The index event (hospital admission, procedure, diagnosis, medication initiation) defines entry into the cohort. The algorithm for identifying the index event from claims codes must be validated — published validation studies report the sensitivity and specificity of claims-based algorithms for specific conditions and procedures, and researchers should cite the relevant validation literature.</w:t>
      </w:r>
    </w:p>
    <w:p>
      <w:pPr>
        <w:spacing w:after="120"/>
      </w:pPr>
      <w:r>
        <w:rPr>
          <w:sz w:val="24"/>
          <w:szCs w:val="24"/>
          <w:rFonts w:ascii="Arial" w:cs="Arial" w:eastAsia="Arial" w:hAnsi="Arial"/>
        </w:rPr>
      </w:r>
      <w:r>
        <w:rPr>
          <w:b/>
          <w:bCs/>
          <w:sz w:val="24"/>
          <w:szCs w:val="24"/>
          <w:rFonts w:ascii="Arial" w:cs="Arial" w:eastAsia="Arial" w:hAnsi="Arial"/>
        </w:rPr>
        <w:t xml:space="preserve">Enrollment continuity.</w:t>
      </w:r>
      <w:r>
        <w:rPr>
          <w:sz w:val="24"/>
          <w:szCs w:val="24"/>
          <w:rFonts w:ascii="Arial" w:cs="Arial" w:eastAsia="Arial" w:hAnsi="Arial"/>
        </w:rPr>
        <w:t xml:space="preserve"> Requiring continuous enrollment for a specified lookback period (typically 6-12 months before the index event) and follow-up period ensures complete capture of baseline comorbidities and outcomes. However, continuous enrollment requirements systematically exclude individuals who change insurance status — disenrolling from a plan, aging into Medicare, losing employer coverage — potentially introducing selection bias.</w:t>
      </w:r>
    </w:p>
    <w:p>
      <w:pPr>
        <w:spacing w:after="120"/>
      </w:pPr>
      <w:r>
        <w:rPr>
          <w:sz w:val="24"/>
          <w:szCs w:val="24"/>
          <w:rFonts w:ascii="Arial" w:cs="Arial" w:eastAsia="Arial" w:hAnsi="Arial"/>
        </w:rPr>
      </w:r>
      <w:r>
        <w:rPr>
          <w:b/>
          <w:bCs/>
          <w:sz w:val="24"/>
          <w:szCs w:val="24"/>
          <w:rFonts w:ascii="Arial" w:cs="Arial" w:eastAsia="Arial" w:hAnsi="Arial"/>
        </w:rPr>
        <w:t xml:space="preserve">Washout periods.</w:t>
      </w:r>
      <w:r>
        <w:rPr>
          <w:sz w:val="24"/>
          <w:szCs w:val="24"/>
          <w:rFonts w:ascii="Arial" w:cs="Arial" w:eastAsia="Arial" w:hAnsi="Arial"/>
        </w:rPr>
        <w:t xml:space="preserve"> For studies of treatment initiation (new users), a washout period (period without claims for the treatment of interest preceding the index date) ensures that the cohort captures true new starts. The washout length involves a tradeoff: longer washouts improve specificity (excluding prevalent users who had a gap in treatment) but reduce sample size and may introduce selection toward healthier patients.</w:t>
      </w:r>
    </w:p>
    <w:p>
      <w:pPr>
        <w:spacing w:after="120"/>
      </w:pPr>
      <w:r>
        <w:rPr>
          <w:sz w:val="24"/>
          <w:szCs w:val="24"/>
          <w:rFonts w:ascii="Arial" w:cs="Arial" w:eastAsia="Arial" w:hAnsi="Arial"/>
        </w:rPr>
      </w:r>
      <w:r>
        <w:rPr>
          <w:b/>
          <w:bCs/>
          <w:sz w:val="24"/>
          <w:szCs w:val="24"/>
          <w:rFonts w:ascii="Arial" w:cs="Arial" w:eastAsia="Arial" w:hAnsi="Arial"/>
        </w:rPr>
        <w:t xml:space="preserve">Comorbidity measurement.</w:t>
      </w:r>
      <w:r>
        <w:rPr>
          <w:sz w:val="24"/>
          <w:szCs w:val="24"/>
          <w:rFonts w:ascii="Arial" w:cs="Arial" w:eastAsia="Arial" w:hAnsi="Arial"/>
        </w:rPr>
        <w:t xml:space="preserve"> The Elixhauser Comorbidity Index (31 categories) and Charlson Comorbidity Index (17 categories) are the standard claims-based comorbidity measures, mapping ICD-10-CM diagnosis codes from the lookback period to comorbidity indicators. The lookback window length affects sensitivity (longer windows capture more conditions) and the completeness of the comorbidity profile. The Quan et al. (2005) ICD-10 coding algorithms are the standard reference for implementing both indices.</w:t>
      </w:r>
    </w:p>
    <w:p>
      <w:pPr>
        <w:pStyle w:val="Heading3"/>
        <w:spacing w:before="200" w:after="100"/>
      </w:pPr>
      <w:r>
        <w:rPr>
          <w:b/>
          <w:bCs/>
          <w:sz w:val="26"/>
          <w:szCs w:val="26"/>
          <w:rFonts w:ascii="Arial" w:cs="Arial" w:eastAsia="Arial" w:hAnsi="Arial"/>
        </w:rPr>
        <w:t xml:space="preserve">Data Quality and Measurement Issues</w:t>
      </w:r>
    </w:p>
    <w:p>
      <w:pPr>
        <w:spacing w:after="120"/>
      </w:pPr>
      <w:r>
        <w:rPr>
          <w:sz w:val="24"/>
          <w:szCs w:val="24"/>
          <w:rFonts w:ascii="Arial" w:cs="Arial" w:eastAsia="Arial" w:hAnsi="Arial"/>
        </w:rPr>
      </w:r>
      <w:r>
        <w:rPr>
          <w:b/>
          <w:bCs/>
          <w:sz w:val="24"/>
          <w:szCs w:val="24"/>
          <w:rFonts w:ascii="Arial" w:cs="Arial" w:eastAsia="Arial" w:hAnsi="Arial"/>
        </w:rPr>
        <w:t xml:space="preserve">ICD-9 to ICD-10 transition.</w:t>
      </w:r>
      <w:r>
        <w:rPr>
          <w:sz w:val="24"/>
          <w:szCs w:val="24"/>
          <w:rFonts w:ascii="Arial" w:cs="Arial" w:eastAsia="Arial" w:hAnsi="Arial"/>
        </w:rPr>
        <w:t xml:space="preserve"> The October 2015 transition from ICD-9-CM (~14,000 codes) to ICD-10-CM (~68,000 codes) created discontinuities in diagnosis-based variables that researchers must address. Cross-walk files (General Equivalence Mappings, GEMs) provide approximate mappings between coding systems, but many mappings are imprecise (one-to-many, many-to-one). Studies spanning the transition should conduct sensitivity analyses comparing results using different crosswalk approaches and should consider excluding a transition window around October 2015.</w:t>
      </w:r>
    </w:p>
    <w:p>
      <w:pPr>
        <w:spacing w:after="120"/>
      </w:pPr>
      <w:r>
        <w:rPr>
          <w:sz w:val="24"/>
          <w:szCs w:val="24"/>
          <w:rFonts w:ascii="Arial" w:cs="Arial" w:eastAsia="Arial" w:hAnsi="Arial"/>
        </w:rPr>
      </w:r>
      <w:r>
        <w:rPr>
          <w:b/>
          <w:bCs/>
          <w:sz w:val="24"/>
          <w:szCs w:val="24"/>
          <w:rFonts w:ascii="Arial" w:cs="Arial" w:eastAsia="Arial" w:hAnsi="Arial"/>
        </w:rPr>
        <w:t xml:space="preserve">Coding accuracy.</w:t>
      </w:r>
      <w:r>
        <w:rPr>
          <w:sz w:val="24"/>
          <w:szCs w:val="24"/>
          <w:rFonts w:ascii="Arial" w:cs="Arial" w:eastAsia="Arial" w:hAnsi="Arial"/>
        </w:rPr>
        <w:t xml:space="preserve"> Claims-based diagnosis and procedure codes reflect what providers document and coders translate, which may differ from the patient's true clinical status. Sensitivity (the probability that a patient with a condition has the condition coded) and specificity (the probability that a patient without the condition does not have it coded) vary by condition, by provider type, and over time. Low sensitivity leads to underascertainment (missing true cases); low specificity leads to false positives (coding a condition that is not present).</w:t>
      </w:r>
    </w:p>
    <w:p>
      <w:pPr>
        <w:spacing w:after="120"/>
      </w:pPr>
      <w:r>
        <w:rPr>
          <w:sz w:val="24"/>
          <w:szCs w:val="24"/>
          <w:rFonts w:ascii="Arial" w:cs="Arial" w:eastAsia="Arial" w:hAnsi="Arial"/>
        </w:rPr>
      </w:r>
      <w:r>
        <w:rPr>
          <w:b/>
          <w:bCs/>
          <w:sz w:val="24"/>
          <w:szCs w:val="24"/>
          <w:rFonts w:ascii="Arial" w:cs="Arial" w:eastAsia="Arial" w:hAnsi="Arial"/>
        </w:rPr>
        <w:t xml:space="preserve">Table 18.1: Major US Healthcare Datasets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Dataset</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Population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Variables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Access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Claims (ResDAC)</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65+, disabled, ESRD (~65M)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Claims, enrollment, death, chronic conditions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DUA with CMS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T-MSIS Medicaid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Medicaid/CHIP (~85M)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Claims, enrollment, eligibility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DUA with CMS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MarketScan (Merative)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Commercially insured (~30-50M)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Claims, enrollment, plan design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Licensed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Optum Clinformatics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Commercial + MA (~15-20M)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Claims + lab results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Licensed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MEPS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Nationally representative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Utilization, expenditure by payer, insurance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(AHRQ)</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NHIS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~35,000 households/year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Health status, access, coverage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(NCHS)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BRFSS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~400,000 adults/year</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Behaviors, chronic conditions, by state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(CDC)</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HRS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~20,000 adults 50+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Health, cognition, wealth, retirement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(NIA)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AHA Annual Survey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All US hospitals (~6,200)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Structure, staffing, services, finances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Licensed (AHA)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HCRIS Cost Reports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Medicare-participating hospitals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Detailed costs, revenue, payer mix</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(CMS)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AHRF</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All US counties (~3,100)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Workforce, demographics, economics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Public (HRSA)</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richness of US healthcare data creates enormous opportunities for health economics research, but realizing these opportunities requires detailed knowledge of each dataset's construction, population, variables, and limitations. The most credible research typically combines multiple data sources — claims for utilization and spending, surveys for self-reported health and access, cost reports for institutional finances, area-level files for contextual characteristics — cross-validating findings across data sources and exploiting the complementary strengths of each.</w:t>
      </w:r>
    </w:p>
    <w:p>
      <w:pPr>
        <w:spacing w:after="120"/>
      </w:pPr>
      <w:r>
        <w:rPr>
          <w:sz w:val="24"/>
          <w:szCs w:val="24"/>
          <w:rFonts w:ascii="Arial" w:cs="Arial" w:eastAsia="Arial" w:hAnsi="Arial"/>
        </w:rPr>
        <w:t xml:space="preserve">The Julia data management tools for working with these datasets — CSV.jl for delimited files, Arrow.jl for columnar storage of large claims files, DataFrames.jl for manipulation, and database connectors (LibPQ.jl, SQLite.jl) for server-based data — are covered in Chapter 20.</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Agency for Healthcare Research and Quality. Medical Expenditure Panel Survey. https://meps.ahrq.gov</w:t>
      </w:r>
    </w:p>
    <w:p>
      <w:pPr>
        <w:spacing w:after="120"/>
      </w:pPr>
      <w:r>
        <w:rPr>
          <w:sz w:val="24"/>
          <w:szCs w:val="24"/>
          <w:rFonts w:ascii="Arial" w:cs="Arial" w:eastAsia="Arial" w:hAnsi="Arial"/>
        </w:rPr>
        <w:t xml:space="preserve">2. Cooper, Z., Craig, S. V., Gaynor, M., &amp; Van Reenen, J. (2019). The price ain't right? Hospital prices and health spending on the privately insured. </w:t>
      </w:r>
      <w:r>
        <w:rPr>
          <w:i/>
          <w:iCs/>
          <w:sz w:val="24"/>
          <w:szCs w:val="24"/>
          <w:rFonts w:ascii="Arial" w:cs="Arial" w:eastAsia="Arial" w:hAnsi="Arial"/>
        </w:rPr>
        <w:t xml:space="preserve">QJE</w:t>
      </w:r>
      <w:r>
        <w:rPr>
          <w:sz w:val="24"/>
          <w:szCs w:val="24"/>
          <w:rFonts w:ascii="Arial" w:cs="Arial" w:eastAsia="Arial" w:hAnsi="Arial"/>
        </w:rPr>
        <w:t xml:space="preserve">, 134(1), 51-107.</w:t>
      </w:r>
    </w:p>
    <w:p>
      <w:pPr>
        <w:spacing w:after="120"/>
      </w:pPr>
      <w:r>
        <w:rPr>
          <w:sz w:val="24"/>
          <w:szCs w:val="24"/>
          <w:rFonts w:ascii="Arial" w:cs="Arial" w:eastAsia="Arial" w:hAnsi="Arial"/>
        </w:rPr>
        <w:t xml:space="preserve">3. Elixhauser, A., Steiner, C., Harris, D. R., &amp; Coffey, R. M. (1998). Comorbidity measures for use with administrative data. </w:t>
      </w:r>
      <w:r>
        <w:rPr>
          <w:i/>
          <w:iCs/>
          <w:sz w:val="24"/>
          <w:szCs w:val="24"/>
          <w:rFonts w:ascii="Arial" w:cs="Arial" w:eastAsia="Arial" w:hAnsi="Arial"/>
        </w:rPr>
        <w:t xml:space="preserve">Medical Care</w:t>
      </w:r>
      <w:r>
        <w:rPr>
          <w:sz w:val="24"/>
          <w:szCs w:val="24"/>
          <w:rFonts w:ascii="Arial" w:cs="Arial" w:eastAsia="Arial" w:hAnsi="Arial"/>
        </w:rPr>
        <w:t xml:space="preserve">, 36(1), 8-27.</w:t>
      </w:r>
    </w:p>
    <w:p>
      <w:pPr>
        <w:spacing w:after="120"/>
      </w:pPr>
      <w:r>
        <w:rPr>
          <w:sz w:val="24"/>
          <w:szCs w:val="24"/>
          <w:rFonts w:ascii="Arial" w:cs="Arial" w:eastAsia="Arial" w:hAnsi="Arial"/>
        </w:rPr>
        <w:t xml:space="preserve">4. Quan, H., Sundararajan, V., Halfon, P., et al. (2005). Coding algorithms for defining comorbidities in ICD-9-CM and ICD-10 administrative data. </w:t>
      </w:r>
      <w:r>
        <w:rPr>
          <w:i/>
          <w:iCs/>
          <w:sz w:val="24"/>
          <w:szCs w:val="24"/>
          <w:rFonts w:ascii="Arial" w:cs="Arial" w:eastAsia="Arial" w:hAnsi="Arial"/>
        </w:rPr>
        <w:t xml:space="preserve">Medical Care</w:t>
      </w:r>
      <w:r>
        <w:rPr>
          <w:sz w:val="24"/>
          <w:szCs w:val="24"/>
          <w:rFonts w:ascii="Arial" w:cs="Arial" w:eastAsia="Arial" w:hAnsi="Arial"/>
        </w:rPr>
        <w:t xml:space="preserve">, 43(11), 1130-1139.</w:t>
      </w:r>
    </w:p>
    <w:p>
      <w:pPr>
        <w:spacing w:after="120"/>
      </w:pPr>
      <w:r>
        <w:rPr>
          <w:sz w:val="24"/>
          <w:szCs w:val="24"/>
          <w:rFonts w:ascii="Arial" w:cs="Arial" w:eastAsia="Arial" w:hAnsi="Arial"/>
        </w:rPr>
        <w:t xml:space="preserve">5. Research Data Assistance Center. https://resdac.org</w:t>
      </w:r>
    </w:p>
    <w:p>
      <w:pPr>
        <w:spacing w:after="120"/>
      </w:pPr>
      <w:r>
        <w:rPr>
          <w:sz w:val="24"/>
          <w:szCs w:val="24"/>
          <w:rFonts w:ascii="Arial" w:cs="Arial" w:eastAsia="Arial" w:hAnsi="Arial"/>
        </w:rPr>
        <w:t xml:space="preserve">6. Chronic Conditions Data Warehouse. https://www2.ccwdata.org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18: Healthcare Data Sources and Research 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2026-04-16T00:41:20.279Z</dcterms:created>
  <dcterms:modified xsi:type="dcterms:W3CDTF">2026-04-16T00:41:20.279Z</dcterms:modified>
</cp:coreProperties>
</file>

<file path=docProps/custom.xml><?xml version="1.0" encoding="utf-8"?>
<Properties xmlns="http://schemas.openxmlformats.org/officeDocument/2006/custom-properties" xmlns:vt="http://schemas.openxmlformats.org/officeDocument/2006/docPropsVTypes"/>
</file>