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28</w:t>
      </w:r>
    </w:p>
    <w:p>
      <w:pPr>
        <w:jc w:val="center"/>
      </w:pPr>
      <w:r>
        <w:rPr>
          <w:i/>
          <w:iCs/>
          <w:sz w:val="32"/>
          <w:szCs w:val="32"/>
          <w:rFonts w:ascii="Arial" w:cs="Arial" w:eastAsia="Arial" w:hAnsi="Arial"/>
        </w:rPr>
        <w:t xml:space="preserve">Advanced Topics: Spatial Health Economics and Geographic Variation</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Geographic variation in healthcare spending, utilization, and outcomes is one of the most extensively documented and debated phenomena in US health economics. The Dartmouth Atlas research program demonstrated that Medicare spending per beneficiary varies by more than twofold across hospital referral regions, with much of the variation unexplained by differences in patient health status, preferences, or outcomes. This geographic variation raises fundamental questions about efficiency (higher-spending regions do not achieve better outcomes) and equity (access and quality vary systematically by geography). This chapter develops the spatial econometric methods needed to analyze geographic patterns in health economics, including spatial regression models, geographic access measurement, hospital market definition, and the movers design for decomposing variation into demand and supply components.</w:t>
      </w:r>
    </w:p>
    <w:p>
      <w:pPr>
        <w:pStyle w:val="Heading2"/>
        <w:spacing w:before="300" w:after="150"/>
      </w:pPr>
      <w:r>
        <w:rPr>
          <w:b/>
          <w:bCs/>
          <w:sz w:val="30"/>
          <w:szCs w:val="30"/>
          <w:rFonts w:ascii="Arial" w:cs="Arial" w:eastAsia="Arial" w:hAnsi="Arial"/>
        </w:rPr>
        <w:t xml:space="preserve">The Dartmouth Atlas and Supply-Sensitive Care</w:t>
      </w:r>
    </w:p>
    <w:p>
      <w:pPr>
        <w:spacing w:after="120"/>
      </w:pPr>
      <w:r>
        <w:rPr>
          <w:sz w:val="24"/>
          <w:szCs w:val="24"/>
          <w:rFonts w:ascii="Arial" w:cs="Arial" w:eastAsia="Arial" w:hAnsi="Arial"/>
        </w:rPr>
        <w:t xml:space="preserve">Wennberg's foundational research classified medical care into three categories: effective care (evidence-based interventions with clear net benefit, such as aspirin for MI — geographic variation is small because the evidence is clear), preference-sensitive care (decisions depending on patient values and preferences, such as prostatectomy vs. watchful waiting for early prostate cancer — moderate variation reflecting differences in clinical culture and shared decision-making), and supply-sensitive care (utilization driven by local supply rather than patient need or preference, such as frequency of follow-up visits, intensity of end-of-life care, specialist referral rates — the largest source of variation).</w:t>
      </w:r>
    </w:p>
    <w:p>
      <w:pPr>
        <w:spacing w:after="120"/>
      </w:pPr>
      <w:r>
        <w:rPr>
          <w:sz w:val="24"/>
          <w:szCs w:val="24"/>
          <w:rFonts w:ascii="Arial" w:cs="Arial" w:eastAsia="Arial" w:hAnsi="Arial"/>
        </w:rPr>
        <w:t xml:space="preserve">The policy implication is profound: if much of the geographic variation in healthcare spending reflects supply-sensitive utilization rather than patient need, then high-spending regions are not providing more valuable care — they are providing more care, with the volume determined by the local supply of physicians, hospital beds, and specialists rather than by the marginal clinical benefit to patients. Fisher and colleagues (2003) confirmed this interpretation by showing that Medicare beneficiaries in higher-spending regions do not have better outcomes (mortality, functional status, satisfaction) than those in lower-spending regions.</w:t>
      </w:r>
    </w:p>
    <w:p>
      <w:pPr>
        <w:pStyle w:val="Heading2"/>
        <w:spacing w:before="300" w:after="150"/>
      </w:pPr>
      <w:r>
        <w:rPr>
          <w:b/>
          <w:bCs/>
          <w:sz w:val="30"/>
          <w:szCs w:val="30"/>
          <w:rFonts w:ascii="Arial" w:cs="Arial" w:eastAsia="Arial" w:hAnsi="Arial"/>
        </w:rPr>
        <w:t xml:space="preserve">Spatial Econometrics</w:t>
      </w:r>
    </w:p>
    <w:p>
      <w:pPr>
        <w:pStyle w:val="Heading3"/>
        <w:spacing w:before="200" w:after="100"/>
      </w:pPr>
      <w:r>
        <w:rPr>
          <w:b/>
          <w:bCs/>
          <w:sz w:val="26"/>
          <w:szCs w:val="26"/>
          <w:rFonts w:ascii="Arial" w:cs="Arial" w:eastAsia="Arial" w:hAnsi="Arial"/>
        </w:rPr>
        <w:t xml:space="preserve">Spatial Weight Matrices</w:t>
      </w:r>
    </w:p>
    <w:p>
      <w:pPr>
        <w:spacing w:after="120"/>
      </w:pPr>
      <w:r>
        <w:rPr>
          <w:sz w:val="24"/>
          <w:szCs w:val="24"/>
          <w:rFonts w:ascii="Arial" w:cs="Arial" w:eastAsia="Arial" w:hAnsi="Arial"/>
        </w:rPr>
        <w:t xml:space="preserve">Spatial econometric models require a weight matrix W that defines the neighborhood structure among geographic units. Common specifications include:</w:t>
      </w:r>
    </w:p>
    <w:p>
      <w:pPr>
        <w:spacing w:after="120"/>
      </w:pPr>
      <w:r>
        <w:rPr>
          <w:sz w:val="24"/>
          <w:szCs w:val="24"/>
          <w:rFonts w:ascii="Arial" w:cs="Arial" w:eastAsia="Arial" w:hAnsi="Arial"/>
        </w:rPr>
      </w:r>
      <w:r>
        <w:rPr>
          <w:b/>
          <w:bCs/>
          <w:sz w:val="24"/>
          <w:szCs w:val="24"/>
          <w:rFonts w:ascii="Arial" w:cs="Arial" w:eastAsia="Arial" w:hAnsi="Arial"/>
        </w:rPr>
        <w:t xml:space="preserve">Contiguity weights</w:t>
      </w:r>
      <w:r>
        <w:rPr>
          <w:sz w:val="24"/>
          <w:szCs w:val="24"/>
          <w:rFonts w:ascii="Arial" w:cs="Arial" w:eastAsia="Arial" w:hAnsi="Arial"/>
        </w:rPr>
        <w:t xml:space="preserve">: Wᵢⱼ = 1 if areas i and j share a boundary (queen contiguity includes corner-touching; rook contiguity requires shared edges). Row-standardized so that each row sums to 1: W̃ᵢⱼ = Wᵢⱼ / Σⱼ Wᵢⱼ.</w:t>
      </w:r>
    </w:p>
    <w:p>
      <w:pPr>
        <w:spacing w:after="120"/>
      </w:pPr>
      <w:r>
        <w:rPr>
          <w:sz w:val="24"/>
          <w:szCs w:val="24"/>
          <w:rFonts w:ascii="Arial" w:cs="Arial" w:eastAsia="Arial" w:hAnsi="Arial"/>
        </w:rPr>
      </w:r>
      <w:r>
        <w:rPr>
          <w:b/>
          <w:bCs/>
          <w:sz w:val="24"/>
          <w:szCs w:val="24"/>
          <w:rFonts w:ascii="Arial" w:cs="Arial" w:eastAsia="Arial" w:hAnsi="Arial"/>
        </w:rPr>
        <w:t xml:space="preserve">Distance-based weights</w:t>
      </w:r>
      <w:r>
        <w:rPr>
          <w:sz w:val="24"/>
          <w:szCs w:val="24"/>
          <w:rFonts w:ascii="Arial" w:cs="Arial" w:eastAsia="Arial" w:hAnsi="Arial"/>
        </w:rPr>
        <w:t xml:space="preserve">: Wᵢⱼ = f(dᵢⱼ) for a declining function f (inverse distance, inverse distance squared, or Gaussian kernel). Requires a distance threshold beyond which weights are zero.</w:t>
      </w:r>
    </w:p>
    <w:p>
      <w:pPr>
        <w:spacing w:after="120"/>
      </w:pPr>
      <w:r>
        <w:rPr>
          <w:sz w:val="24"/>
          <w:szCs w:val="24"/>
          <w:rFonts w:ascii="Arial" w:cs="Arial" w:eastAsia="Arial" w:hAnsi="Arial"/>
        </w:rPr>
      </w:r>
      <w:r>
        <w:rPr>
          <w:b/>
          <w:bCs/>
          <w:sz w:val="24"/>
          <w:szCs w:val="24"/>
          <w:rFonts w:ascii="Arial" w:cs="Arial" w:eastAsia="Arial" w:hAnsi="Arial"/>
        </w:rPr>
        <w:t xml:space="preserve">K-nearest-neighbor weights</w:t>
      </w:r>
      <w:r>
        <w:rPr>
          <w:sz w:val="24"/>
          <w:szCs w:val="24"/>
          <w:rFonts w:ascii="Arial" w:cs="Arial" w:eastAsia="Arial" w:hAnsi="Arial"/>
        </w:rPr>
        <w:t xml:space="preserve">: Wᵢⱼ = 1 if j is among the K nearest neighbors of i. Ensures that every unit has the same number of neighbors, regardless of local density.</w:t>
      </w:r>
    </w:p>
    <w:p>
      <w:pPr>
        <w:spacing w:after="120"/>
      </w:pPr>
      <w:r>
        <w:rPr>
          <w:sz w:val="24"/>
          <w:szCs w:val="24"/>
          <w:rFonts w:ascii="Arial" w:cs="Arial" w:eastAsia="Arial" w:hAnsi="Arial"/>
        </w:rPr>
        <w:t xml:space="preserve">Implementation in Julia: construct the weight matrix from shapefiles using GeoDataFrames.jl and Shapefile.jl to extract polygon geometries, compute adjacency or distances between centroids, and build the sparse weight matrix using SparseArrays.</w:t>
      </w:r>
    </w:p>
    <w:p>
      <w:pPr>
        <w:pStyle w:val="Heading3"/>
        <w:spacing w:before="200" w:after="100"/>
      </w:pPr>
      <w:r>
        <w:rPr>
          <w:b/>
          <w:bCs/>
          <w:sz w:val="26"/>
          <w:szCs w:val="26"/>
          <w:rFonts w:ascii="Arial" w:cs="Arial" w:eastAsia="Arial" w:hAnsi="Arial"/>
        </w:rPr>
        <w:t xml:space="preserve">Spatial Autocorrelation Testing</w:t>
      </w:r>
    </w:p>
    <w:p>
      <w:pPr>
        <w:spacing w:after="120"/>
      </w:pPr>
      <w:r>
        <w:rPr>
          <w:sz w:val="24"/>
          <w:szCs w:val="24"/>
          <w:rFonts w:ascii="Arial" w:cs="Arial" w:eastAsia="Arial" w:hAnsi="Arial"/>
        </w:rPr>
      </w:r>
      <w:r>
        <w:rPr>
          <w:b/>
          <w:bCs/>
          <w:sz w:val="24"/>
          <w:szCs w:val="24"/>
          <w:rFonts w:ascii="Arial" w:cs="Arial" w:eastAsia="Arial" w:hAnsi="Arial"/>
        </w:rPr>
        <w:t xml:space="preserve">Moran's I</w:t>
      </w:r>
      <w:r>
        <w:rPr>
          <w:sz w:val="24"/>
          <w:szCs w:val="24"/>
          <w:rFonts w:ascii="Arial" w:cs="Arial" w:eastAsia="Arial" w:hAnsi="Arial"/>
        </w:rPr>
        <w:t xml:space="preserve"> tests for global spatial autocorrelation:</w:t>
      </w:r>
    </w:p>
    <w:p>
      <w:pPr>
        <w:spacing w:after="120"/>
      </w:pPr>
      <w:r>
        <w:rPr>
          <w:sz w:val="24"/>
          <w:szCs w:val="24"/>
          <w:rFonts w:ascii="Arial" w:cs="Arial" w:eastAsia="Arial" w:hAnsi="Arial"/>
        </w:rPr>
        <w:t xml:space="preserve">I = (n / Σᵢⱼ wᵢⱼ) × (Σᵢⱼ wᵢⱼ(xᵢ - x̄)(xⱼ - x̄)) / Σᵢ(xᵢ - x̄)²</w:t>
      </w:r>
    </w:p>
    <w:p>
      <w:pPr>
        <w:spacing w:after="120"/>
      </w:pPr>
      <w:r>
        <w:rPr>
          <w:sz w:val="24"/>
          <w:szCs w:val="24"/>
          <w:rFonts w:ascii="Arial" w:cs="Arial" w:eastAsia="Arial" w:hAnsi="Arial"/>
        </w:rPr>
        <w:t xml:space="preserve">Under the null of no spatial autocorrelation, I is approximately normally distributed with known mean and variance. A significant positive Moran's I indicates spatial clustering (similar values near each other); negative indicates spatial dispersion.</w:t>
      </w:r>
    </w:p>
    <w:p>
      <w:pPr>
        <w:spacing w:after="120"/>
      </w:pPr>
      <w:r>
        <w:rPr>
          <w:sz w:val="24"/>
          <w:szCs w:val="24"/>
          <w:rFonts w:ascii="Arial" w:cs="Arial" w:eastAsia="Arial" w:hAnsi="Arial"/>
        </w:rPr>
      </w:r>
      <w:r>
        <w:rPr>
          <w:b/>
          <w:bCs/>
          <w:sz w:val="24"/>
          <w:szCs w:val="24"/>
          <w:rFonts w:ascii="Arial" w:cs="Arial" w:eastAsia="Arial" w:hAnsi="Arial"/>
        </w:rPr>
        <w:t xml:space="preserve">Local Moran's I</w:t>
      </w:r>
      <w:r>
        <w:rPr>
          <w:sz w:val="24"/>
          <w:szCs w:val="24"/>
          <w:rFonts w:ascii="Arial" w:cs="Arial" w:eastAsia="Arial" w:hAnsi="Arial"/>
        </w:rPr>
        <w:t xml:space="preserve"> (LISA — Local Indicators of Spatial Association) decomposes the global statistic into contributions from each area, identifying local clusters (hot spots and cold spots) and spatial outliers (high values surrounded by low values, or vice versa).</w:t>
      </w:r>
    </w:p>
    <w:p>
      <w:pPr>
        <w:pStyle w:val="Heading3"/>
        <w:spacing w:before="200" w:after="100"/>
      </w:pPr>
      <w:r>
        <w:rPr>
          <w:b/>
          <w:bCs/>
          <w:sz w:val="26"/>
          <w:szCs w:val="26"/>
          <w:rFonts w:ascii="Arial" w:cs="Arial" w:eastAsia="Arial" w:hAnsi="Arial"/>
        </w:rPr>
        <w:t xml:space="preserve">Spatial Regression Models</w:t>
      </w:r>
    </w:p>
    <w:p>
      <w:pPr>
        <w:spacing w:after="120"/>
      </w:pPr>
      <w:r>
        <w:rPr>
          <w:sz w:val="24"/>
          <w:szCs w:val="24"/>
          <w:rFonts w:ascii="Arial" w:cs="Arial" w:eastAsia="Arial" w:hAnsi="Arial"/>
        </w:rPr>
      </w:r>
      <w:r>
        <w:rPr>
          <w:b/>
          <w:bCs/>
          <w:sz w:val="24"/>
          <w:szCs w:val="24"/>
          <w:rFonts w:ascii="Arial" w:cs="Arial" w:eastAsia="Arial" w:hAnsi="Arial"/>
        </w:rPr>
        <w:t xml:space="preserve">Spatial lag model (SAR)</w:t>
      </w:r>
      <w:r>
        <w:rPr>
          <w:sz w:val="24"/>
          <w:szCs w:val="24"/>
          <w:rFonts w:ascii="Arial" w:cs="Arial" w:eastAsia="Arial" w:hAnsi="Arial"/>
        </w:rPr>
        <w:t xml:space="preserve">: Y = ρWY + Xβ + ε. The spatially lagged dependent variable WY captures the influence of neighbors' outcomes on each area's outcome. In health economics: a county's healthcare spending may be influenced by neighboring counties' spending through physician practice pattern diffusion, patient cross-boundary flow, or market competition spillovers.</w:t>
      </w:r>
    </w:p>
    <w:p>
      <w:pPr>
        <w:spacing w:after="120"/>
      </w:pPr>
      <w:r>
        <w:rPr>
          <w:sz w:val="24"/>
          <w:szCs w:val="24"/>
          <w:rFonts w:ascii="Arial" w:cs="Arial" w:eastAsia="Arial" w:hAnsi="Arial"/>
        </w:rPr>
      </w:r>
      <w:r>
        <w:rPr>
          <w:b/>
          <w:bCs/>
          <w:sz w:val="24"/>
          <w:szCs w:val="24"/>
          <w:rFonts w:ascii="Arial" w:cs="Arial" w:eastAsia="Arial" w:hAnsi="Arial"/>
        </w:rPr>
        <w:t xml:space="preserve">Spatial error model (SEM)</w:t>
      </w:r>
      <w:r>
        <w:rPr>
          <w:sz w:val="24"/>
          <w:szCs w:val="24"/>
          <w:rFonts w:ascii="Arial" w:cs="Arial" w:eastAsia="Arial" w:hAnsi="Arial"/>
        </w:rPr>
        <w:t xml:space="preserve">: Y = Xβ + u, u = λWu + ε. Spatial correlation in the error term reflects spatially correlated omitted variables — area-level health status, environmental exposures, or socioeconomic factors not captured by the included covariates.</w:t>
      </w:r>
    </w:p>
    <w:p>
      <w:pPr>
        <w:spacing w:after="120"/>
      </w:pPr>
      <w:r>
        <w:rPr>
          <w:sz w:val="24"/>
          <w:szCs w:val="24"/>
          <w:rFonts w:ascii="Arial" w:cs="Arial" w:eastAsia="Arial" w:hAnsi="Arial"/>
        </w:rPr>
      </w:r>
      <w:r>
        <w:rPr>
          <w:b/>
          <w:bCs/>
          <w:sz w:val="24"/>
          <w:szCs w:val="24"/>
          <w:rFonts w:ascii="Arial" w:cs="Arial" w:eastAsia="Arial" w:hAnsi="Arial"/>
        </w:rPr>
        <w:t xml:space="preserve">Spatial Durbin model (SDM)</w:t>
      </w:r>
      <w:r>
        <w:rPr>
          <w:sz w:val="24"/>
          <w:szCs w:val="24"/>
          <w:rFonts w:ascii="Arial" w:cs="Arial" w:eastAsia="Arial" w:hAnsi="Arial"/>
        </w:rPr>
        <w:t xml:space="preserve">: Y = ρWY + Xβ + WXθ + ε. Includes both spatial lags of Y and spatial lags of X, nesting SAR and SEM as special cases and decomposing effects into direct effects (an area's own X on its Y) and indirect/spillover effects (neighbors' X on the area's Y).</w:t>
      </w:r>
    </w:p>
    <w:p>
      <w:pPr>
        <w:spacing w:after="120"/>
      </w:pPr>
      <w:r>
        <w:rPr>
          <w:sz w:val="24"/>
          <w:szCs w:val="24"/>
          <w:rFonts w:ascii="Arial" w:cs="Arial" w:eastAsia="Arial" w:hAnsi="Arial"/>
        </w:rPr>
        <w:t xml:space="preserve">Estimation uses maximum likelihood or generalized spatial two-stage least squares. Interpretation requires computing the partial derivatives of E[Y|X] with respect to X, which include both the direct coefficient β and the indirect effects transmitted through the spatial lag structure.</w:t>
      </w:r>
    </w:p>
    <w:p>
      <w:pPr>
        <w:pStyle w:val="Heading2"/>
        <w:spacing w:before="300" w:after="150"/>
      </w:pPr>
      <w:r>
        <w:rPr>
          <w:b/>
          <w:bCs/>
          <w:sz w:val="30"/>
          <w:szCs w:val="30"/>
          <w:rFonts w:ascii="Arial" w:cs="Arial" w:eastAsia="Arial" w:hAnsi="Arial"/>
        </w:rPr>
        <w:t xml:space="preserve">Geographic Access to Care</w:t>
      </w:r>
    </w:p>
    <w:p>
      <w:pPr>
        <w:pStyle w:val="Heading3"/>
        <w:spacing w:before="200" w:after="100"/>
      </w:pPr>
      <w:r>
        <w:rPr>
          <w:b/>
          <w:bCs/>
          <w:sz w:val="26"/>
          <w:szCs w:val="26"/>
          <w:rFonts w:ascii="Arial" w:cs="Arial" w:eastAsia="Arial" w:hAnsi="Arial"/>
        </w:rPr>
        <w:t xml:space="preserve">Two-Step Floating Catchment Area Method</w:t>
      </w:r>
    </w:p>
    <w:p>
      <w:pPr>
        <w:spacing w:after="120"/>
      </w:pPr>
      <w:r>
        <w:rPr>
          <w:sz w:val="24"/>
          <w:szCs w:val="24"/>
          <w:rFonts w:ascii="Arial" w:cs="Arial" w:eastAsia="Arial" w:hAnsi="Arial"/>
        </w:rPr>
        <w:t xml:space="preserve">The 2SFCA method measures geographic access by combining supply-side availability with demand-side population need:</w:t>
      </w:r>
    </w:p>
    <w:p>
      <w:pPr>
        <w:spacing w:after="120"/>
      </w:pPr>
      <w:r>
        <w:rPr>
          <w:sz w:val="24"/>
          <w:szCs w:val="24"/>
          <w:rFonts w:ascii="Arial" w:cs="Arial" w:eastAsia="Arial" w:hAnsi="Arial"/>
        </w:rPr>
      </w:r>
      <w:r>
        <w:rPr>
          <w:b/>
          <w:bCs/>
          <w:sz w:val="24"/>
          <w:szCs w:val="24"/>
          <w:rFonts w:ascii="Arial" w:cs="Arial" w:eastAsia="Arial" w:hAnsi="Arial"/>
        </w:rPr>
        <w:t xml:space="preserve">Step 1</w:t>
      </w:r>
      <w:r>
        <w:rPr>
          <w:sz w:val="24"/>
          <w:szCs w:val="24"/>
          <w:rFonts w:ascii="Arial" w:cs="Arial" w:eastAsia="Arial" w:hAnsi="Arial"/>
        </w:rPr>
        <w:t xml:space="preserve">: For each provider j, compute the provider-to-population ratio within a travel time catchment: Rⱼ = Sⱼ / Σₖ∈{d(k,j)≤d₀} Pₖ, where Sⱼ is the provider's capacity, Pₖ is the population at location k, and d₀ is the travel time threshold.</w:t>
      </w:r>
    </w:p>
    <w:p>
      <w:pPr>
        <w:spacing w:after="120"/>
      </w:pPr>
      <w:r>
        <w:rPr>
          <w:sz w:val="24"/>
          <w:szCs w:val="24"/>
          <w:rFonts w:ascii="Arial" w:cs="Arial" w:eastAsia="Arial" w:hAnsi="Arial"/>
        </w:rPr>
      </w:r>
      <w:r>
        <w:rPr>
          <w:b/>
          <w:bCs/>
          <w:sz w:val="24"/>
          <w:szCs w:val="24"/>
          <w:rFonts w:ascii="Arial" w:cs="Arial" w:eastAsia="Arial" w:hAnsi="Arial"/>
        </w:rPr>
        <w:t xml:space="preserve">Step 2</w:t>
      </w:r>
      <w:r>
        <w:rPr>
          <w:sz w:val="24"/>
          <w:szCs w:val="24"/>
          <w:rFonts w:ascii="Arial" w:cs="Arial" w:eastAsia="Arial" w:hAnsi="Arial"/>
        </w:rPr>
        <w:t xml:space="preserve">: For each population location i, sum the ratios of all providers within the travel time catchment: Aᵢ = Σⱼ∈{d(i,j)≤d₀} Rⱼ.</w:t>
      </w:r>
    </w:p>
    <w:p>
      <w:pPr>
        <w:spacing w:after="120"/>
      </w:pPr>
      <w:r>
        <w:rPr>
          <w:sz w:val="24"/>
          <w:szCs w:val="24"/>
          <w:rFonts w:ascii="Arial" w:cs="Arial" w:eastAsia="Arial" w:hAnsi="Arial"/>
        </w:rPr>
        <w:t xml:space="preserve">The resulting access index Aᵢ incorporates both provider density and population density, providing a spatially smoothed measure that accounts for patients' willingness to travel and for competition among providers for the same patient population.</w:t>
      </w:r>
    </w:p>
    <w:p>
      <w:pPr>
        <w:spacing w:after="120"/>
      </w:pPr>
      <w:r>
        <w:rPr>
          <w:sz w:val="24"/>
          <w:szCs w:val="24"/>
          <w:rFonts w:ascii="Arial" w:cs="Arial" w:eastAsia="Arial" w:hAnsi="Arial"/>
        </w:rPr>
        <w:t xml:space="preserve">Implementation in Julia: compute travel time matrices between population centroids and provider locations using road network distances (OpenStreetMap data via LightOSM.jl or pre-computed matrices), define catchment thresholds (30 minutes for primary care, 60 minutes for specialty care), and iterate the two-step computation.</w:t>
      </w:r>
    </w:p>
    <w:p>
      <w:pPr>
        <w:pStyle w:val="Heading2"/>
        <w:spacing w:before="300" w:after="150"/>
      </w:pPr>
      <w:r>
        <w:rPr>
          <w:b/>
          <w:bCs/>
          <w:sz w:val="30"/>
          <w:szCs w:val="30"/>
          <w:rFonts w:ascii="Arial" w:cs="Arial" w:eastAsia="Arial" w:hAnsi="Arial"/>
        </w:rPr>
        <w:t xml:space="preserve">Hospital Market Definition</w:t>
      </w:r>
    </w:p>
    <w:p>
      <w:pPr>
        <w:spacing w:after="120"/>
      </w:pPr>
      <w:r>
        <w:rPr>
          <w:sz w:val="24"/>
          <w:szCs w:val="24"/>
          <w:rFonts w:ascii="Arial" w:cs="Arial" w:eastAsia="Arial" w:hAnsi="Arial"/>
        </w:rPr>
        <w:t xml:space="preserve">Defining the relevant geographic market for hospital antitrust analysis is critical for measuring market concentration and predicting merger effects. Methods include:</w:t>
      </w:r>
    </w:p>
    <w:p>
      <w:pPr>
        <w:spacing w:after="120"/>
      </w:pPr>
      <w:r>
        <w:rPr>
          <w:sz w:val="24"/>
          <w:szCs w:val="24"/>
          <w:rFonts w:ascii="Arial" w:cs="Arial" w:eastAsia="Arial" w:hAnsi="Arial"/>
        </w:rPr>
      </w:r>
      <w:r>
        <w:rPr>
          <w:b/>
          <w:bCs/>
          <w:sz w:val="24"/>
          <w:szCs w:val="24"/>
          <w:rFonts w:ascii="Arial" w:cs="Arial" w:eastAsia="Arial" w:hAnsi="Arial"/>
        </w:rPr>
        <w:t xml:space="preserve">Elzinga-Hogarty test</w:t>
      </w:r>
      <w:r>
        <w:rPr>
          <w:sz w:val="24"/>
          <w:szCs w:val="24"/>
          <w:rFonts w:ascii="Arial" w:cs="Arial" w:eastAsia="Arial" w:hAnsi="Arial"/>
        </w:rPr>
        <w:t xml:space="preserve">: A geographic area is a market if most patients within the area receive care within it (LIFO: Little In From Outside, &gt;75%) and most patients receiving care in the area's hospitals come from within it (LOFI: Little Out From Inside, &gt;75%).</w:t>
      </w:r>
    </w:p>
    <w:p>
      <w:pPr>
        <w:spacing w:after="120"/>
      </w:pPr>
      <w:r>
        <w:rPr>
          <w:sz w:val="24"/>
          <w:szCs w:val="24"/>
          <w:rFonts w:ascii="Arial" w:cs="Arial" w:eastAsia="Arial" w:hAnsi="Arial"/>
        </w:rPr>
      </w:r>
      <w:r>
        <w:rPr>
          <w:b/>
          <w:bCs/>
          <w:sz w:val="24"/>
          <w:szCs w:val="24"/>
          <w:rFonts w:ascii="Arial" w:cs="Arial" w:eastAsia="Arial" w:hAnsi="Arial"/>
        </w:rPr>
        <w:t xml:space="preserve">Variable-radius methods</w:t>
      </w:r>
      <w:r>
        <w:rPr>
          <w:sz w:val="24"/>
          <w:szCs w:val="24"/>
          <w:rFonts w:ascii="Arial" w:cs="Arial" w:eastAsia="Arial" w:hAnsi="Arial"/>
        </w:rPr>
        <w:t xml:space="preserve">: For each hospital, define the market as the smallest circle containing 75% (or 90%) of the hospital's patients. Overlapping markets are merged.</w:t>
      </w:r>
    </w:p>
    <w:p>
      <w:pPr>
        <w:spacing w:after="120"/>
      </w:pPr>
      <w:r>
        <w:rPr>
          <w:sz w:val="24"/>
          <w:szCs w:val="24"/>
          <w:rFonts w:ascii="Arial" w:cs="Arial" w:eastAsia="Arial" w:hAnsi="Arial"/>
        </w:rPr>
      </w:r>
      <w:r>
        <w:rPr>
          <w:b/>
          <w:bCs/>
          <w:sz w:val="24"/>
          <w:szCs w:val="24"/>
          <w:rFonts w:ascii="Arial" w:cs="Arial" w:eastAsia="Arial" w:hAnsi="Arial"/>
        </w:rPr>
        <w:t xml:space="preserve">Patient-flow-based methods</w:t>
      </w:r>
      <w:r>
        <w:rPr>
          <w:sz w:val="24"/>
          <w:szCs w:val="24"/>
          <w:rFonts w:ascii="Arial" w:cs="Arial" w:eastAsia="Arial" w:hAnsi="Arial"/>
        </w:rPr>
        <w:t xml:space="preserve">: Use actual patient discharge data to construct markets based on observed referral patterns, allowing irregularly shaped markets that follow real patient flows rather than geometric shapes.</w:t>
      </w:r>
    </w:p>
    <w:p>
      <w:pPr>
        <w:pStyle w:val="Heading2"/>
        <w:spacing w:before="300" w:after="150"/>
      </w:pPr>
      <w:r>
        <w:rPr>
          <w:b/>
          <w:bCs/>
          <w:sz w:val="30"/>
          <w:szCs w:val="30"/>
          <w:rFonts w:ascii="Arial" w:cs="Arial" w:eastAsia="Arial" w:hAnsi="Arial"/>
        </w:rPr>
        <w:t xml:space="preserve">The Finkelstein-Gentzkow-Williams Movers Design</w:t>
      </w:r>
    </w:p>
    <w:p>
      <w:pPr>
        <w:spacing w:after="120"/>
      </w:pPr>
      <w:r>
        <w:rPr>
          <w:sz w:val="24"/>
          <w:szCs w:val="24"/>
          <w:rFonts w:ascii="Arial" w:cs="Arial" w:eastAsia="Arial" w:hAnsi="Arial"/>
        </w:rPr>
        <w:t xml:space="preserve">Finkelstein, Gentzkow, and Williams (2016) developed a research design that exploits individuals who move between areas to decompose geographic variation into demand-side (patient) and supply-side (place) components. The key insight: if a patient who moves from a high-spending area to a low-spending area immediately adopts the spending level of the destination area, the variation is driven by place (supply) factors. If the patient retains their origin area's spending level, the variation is driven by patient (demand) factors.</w:t>
      </w:r>
    </w:p>
    <w:p>
      <w:pPr>
        <w:spacing w:after="120"/>
      </w:pPr>
      <w:r>
        <w:rPr>
          <w:sz w:val="24"/>
          <w:szCs w:val="24"/>
          <w:rFonts w:ascii="Arial" w:cs="Arial" w:eastAsia="Arial" w:hAnsi="Arial"/>
        </w:rPr>
        <w:t xml:space="preserve">Their specification:</w:t>
      </w:r>
    </w:p>
    <w:p>
      <w:pPr>
        <w:spacing w:after="120"/>
      </w:pPr>
      <w:r>
        <w:rPr>
          <w:sz w:val="24"/>
          <w:szCs w:val="24"/>
          <w:rFonts w:ascii="Arial" w:cs="Arial" w:eastAsia="Arial" w:hAnsi="Arial"/>
        </w:rPr>
        <w:t xml:space="preserve">Yᵢₜ = αᵢ + γⱼ(i,t) + X'ᵢₜβ + εᵢₜ</w:t>
      </w:r>
    </w:p>
    <w:p>
      <w:pPr>
        <w:spacing w:after="120"/>
      </w:pPr>
      <w:r>
        <w:rPr>
          <w:sz w:val="24"/>
          <w:szCs w:val="24"/>
          <w:rFonts w:ascii="Arial" w:cs="Arial" w:eastAsia="Arial" w:hAnsi="Arial"/>
        </w:rPr>
        <w:t xml:space="preserve">where αᵢ is a patient fixed effect (capturing time-invariant patient characteristics) and γⱼ(i,t) is a place effect (the area where patient i resides at time t). The patient fixed effects absorb all demand-side factors; the place effects capture supply-side factors.</w:t>
      </w:r>
    </w:p>
    <w:p>
      <w:pPr>
        <w:spacing w:after="120"/>
      </w:pPr>
      <w:r>
        <w:rPr>
          <w:sz w:val="24"/>
          <w:szCs w:val="24"/>
          <w:rFonts w:ascii="Arial" w:cs="Arial" w:eastAsia="Arial" w:hAnsi="Arial"/>
        </w:rPr>
        <w:t xml:space="preserve">Their landmark finding: approximately 50% of geographic variation in Medicare utilization is attributable to place (supply-side) factors and 50% to patient (demand-side) factors. This finding refines the Dartmouth Atlas interpretation: supply does matter (validating the supply-sensitive care hypothesis), but patient characteristics contribute equally to geographic variation (suggesting that demand-side factors — health status, preferences, socioeconomic characteristics — are also important drivers).</w:t>
      </w: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Spatial methods provide the analytical toolkit for health economics research on geographic variation — one of the field's most important and policy-relevant topics. The combination of spatial econometrics (for modeling spatial dependence), geographic access measurement (for quantifying access barriers), market definition (for antitrust analysis), and the movers design (for decomposing variation into supply and demand components) enables rigorous investigation of why healthcare differs across places and what policy interventions can reduce unwarranted variation.</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Anselin, L. (2003). Spatial econometrics. In B. H. Baltagi (Ed.), </w:t>
      </w:r>
      <w:r>
        <w:rPr>
          <w:i/>
          <w:iCs/>
          <w:sz w:val="24"/>
          <w:szCs w:val="24"/>
          <w:rFonts w:ascii="Arial" w:cs="Arial" w:eastAsia="Arial" w:hAnsi="Arial"/>
        </w:rPr>
        <w:t xml:space="preserve">A Companion to Theoretical Econometrics</w:t>
      </w:r>
      <w:r>
        <w:rPr>
          <w:sz w:val="24"/>
          <w:szCs w:val="24"/>
          <w:rFonts w:ascii="Arial" w:cs="Arial" w:eastAsia="Arial" w:hAnsi="Arial"/>
        </w:rPr>
        <w:t xml:space="preserve"> (pp. 310-330). Blackwell.</w:t>
      </w:r>
    </w:p>
    <w:p>
      <w:pPr>
        <w:spacing w:after="120"/>
      </w:pPr>
      <w:r>
        <w:rPr>
          <w:sz w:val="24"/>
          <w:szCs w:val="24"/>
          <w:rFonts w:ascii="Arial" w:cs="Arial" w:eastAsia="Arial" w:hAnsi="Arial"/>
        </w:rPr>
        <w:t xml:space="preserve">2. Finkelstein, A., Gentzkow, M., &amp; Williams, H. (2016). Sources of geographic variation in health care. </w:t>
      </w:r>
      <w:r>
        <w:rPr>
          <w:i/>
          <w:iCs/>
          <w:sz w:val="24"/>
          <w:szCs w:val="24"/>
          <w:rFonts w:ascii="Arial" w:cs="Arial" w:eastAsia="Arial" w:hAnsi="Arial"/>
        </w:rPr>
        <w:t xml:space="preserve">QJE</w:t>
      </w:r>
      <w:r>
        <w:rPr>
          <w:sz w:val="24"/>
          <w:szCs w:val="24"/>
          <w:rFonts w:ascii="Arial" w:cs="Arial" w:eastAsia="Arial" w:hAnsi="Arial"/>
        </w:rPr>
        <w:t xml:space="preserve">, 131(4), 1681-1726.</w:t>
      </w:r>
    </w:p>
    <w:p>
      <w:pPr>
        <w:spacing w:after="120"/>
      </w:pPr>
      <w:r>
        <w:rPr>
          <w:sz w:val="24"/>
          <w:szCs w:val="24"/>
          <w:rFonts w:ascii="Arial" w:cs="Arial" w:eastAsia="Arial" w:hAnsi="Arial"/>
        </w:rPr>
        <w:t xml:space="preserve">3. Fisher, E. S., et al. (2003). The implications of regional variations in Medicare spending. </w:t>
      </w:r>
      <w:r>
        <w:rPr>
          <w:i/>
          <w:iCs/>
          <w:sz w:val="24"/>
          <w:szCs w:val="24"/>
          <w:rFonts w:ascii="Arial" w:cs="Arial" w:eastAsia="Arial" w:hAnsi="Arial"/>
        </w:rPr>
        <w:t xml:space="preserve">Annals of Internal Medicine</w:t>
      </w:r>
      <w:r>
        <w:rPr>
          <w:sz w:val="24"/>
          <w:szCs w:val="24"/>
          <w:rFonts w:ascii="Arial" w:cs="Arial" w:eastAsia="Arial" w:hAnsi="Arial"/>
        </w:rPr>
        <w:t xml:space="preserve">, 138(4), 273-287.</w:t>
      </w:r>
    </w:p>
    <w:p>
      <w:pPr>
        <w:spacing w:after="120"/>
      </w:pPr>
      <w:r>
        <w:rPr>
          <w:sz w:val="24"/>
          <w:szCs w:val="24"/>
          <w:rFonts w:ascii="Arial" w:cs="Arial" w:eastAsia="Arial" w:hAnsi="Arial"/>
        </w:rPr>
        <w:t xml:space="preserve">4. Luo, W., &amp; Wang, F. (2003). Measures of spatial accessibility to health care in a GIS environment. </w:t>
      </w:r>
      <w:r>
        <w:rPr>
          <w:i/>
          <w:iCs/>
          <w:sz w:val="24"/>
          <w:szCs w:val="24"/>
          <w:rFonts w:ascii="Arial" w:cs="Arial" w:eastAsia="Arial" w:hAnsi="Arial"/>
        </w:rPr>
        <w:t xml:space="preserve">Annals of GIS</w:t>
      </w:r>
      <w:r>
        <w:rPr>
          <w:sz w:val="24"/>
          <w:szCs w:val="24"/>
          <w:rFonts w:ascii="Arial" w:cs="Arial" w:eastAsia="Arial" w:hAnsi="Arial"/>
        </w:rPr>
        <w:t xml:space="preserve">, 9(1), 18-28.</w:t>
      </w:r>
    </w:p>
    <w:p>
      <w:pPr>
        <w:spacing w:after="120"/>
      </w:pPr>
      <w:r>
        <w:rPr>
          <w:sz w:val="24"/>
          <w:szCs w:val="24"/>
          <w:rFonts w:ascii="Arial" w:cs="Arial" w:eastAsia="Arial" w:hAnsi="Arial"/>
        </w:rPr>
        <w:t xml:space="preserve">5. Wennberg, J. E. (2010). </w:t>
      </w:r>
      <w:r>
        <w:rPr>
          <w:i/>
          <w:iCs/>
          <w:sz w:val="24"/>
          <w:szCs w:val="24"/>
          <w:rFonts w:ascii="Arial" w:cs="Arial" w:eastAsia="Arial" w:hAnsi="Arial"/>
        </w:rPr>
        <w:t xml:space="preserve">Tracking Medicine</w:t>
      </w:r>
      <w:r>
        <w:rPr>
          <w:sz w:val="24"/>
          <w:szCs w:val="24"/>
          <w:rFonts w:ascii="Arial" w:cs="Arial" w:eastAsia="Arial" w:hAnsi="Arial"/>
        </w:rPr>
        <w:t xml:space="preserve">. Oxford University Press.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28: Advanced Topics: Spatial Health Economic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2026-04-16T00:41:20.643Z</dcterms:created>
  <dcterms:modified xsi:type="dcterms:W3CDTF">2026-04-16T00:41:20.643Z</dcterms:modified>
</cp:coreProperties>
</file>

<file path=docProps/custom.xml><?xml version="1.0" encoding="utf-8"?>
<Properties xmlns="http://schemas.openxmlformats.org/officeDocument/2006/custom-properties" xmlns:vt="http://schemas.openxmlformats.org/officeDocument/2006/docPropsVTypes"/>
</file>