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29</w:t>
      </w:r>
    </w:p>
    <w:p>
      <w:pPr>
        <w:jc w:val="center"/>
      </w:pPr>
      <w:r>
        <w:rPr>
          <w:i/>
          <w:iCs/>
          <w:sz w:val="32"/>
          <w:szCs w:val="32"/>
          <w:rFonts w:ascii="Arial" w:cs="Arial" w:eastAsia="Arial" w:hAnsi="Arial"/>
        </w:rPr>
        <w:t xml:space="preserve">Advanced Topics: Dynamic Models, Optimal Policy, and Mechanism Design</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This chapter addresses the most theoretically advanced topics in health economics methodology — dynamic optimization, mechanism design, optimal policy, and market design. These methods require substantial mathematical sophistication and computational power, but they provide insights that reduced-form and static methods cannot: the optimal design of insurance contracts that balance risk protection against moral hazard under asymmetric information, the optimal structure of provider payment systems that elicit effort while managing multitasking distortions, the dynamic treatment regimes that personalize sequential clinical decisions, and the market design mechanisms that allocate scarce medical resources efficiently and equitably.</w:t>
      </w:r>
    </w:p>
    <w:p>
      <w:pPr>
        <w:pStyle w:val="Heading2"/>
        <w:spacing w:before="300" w:after="150"/>
      </w:pPr>
      <w:r>
        <w:rPr>
          <w:b/>
          <w:bCs/>
          <w:sz w:val="30"/>
          <w:szCs w:val="30"/>
          <w:rFonts w:ascii="Arial" w:cs="Arial" w:eastAsia="Arial" w:hAnsi="Arial"/>
        </w:rPr>
        <w:t xml:space="preserve">Dynamic Optimization in Health Economics</w:t>
      </w:r>
    </w:p>
    <w:p>
      <w:pPr>
        <w:pStyle w:val="Heading3"/>
        <w:spacing w:before="200" w:after="100"/>
      </w:pPr>
      <w:r>
        <w:rPr>
          <w:b/>
          <w:bCs/>
          <w:sz w:val="26"/>
          <w:szCs w:val="26"/>
          <w:rFonts w:ascii="Arial" w:cs="Arial" w:eastAsia="Arial" w:hAnsi="Arial"/>
        </w:rPr>
        <w:t xml:space="preserve">The Grossman Model as Optimal Control</w:t>
      </w:r>
    </w:p>
    <w:p>
      <w:pPr>
        <w:spacing w:after="120"/>
      </w:pPr>
      <w:r>
        <w:rPr>
          <w:sz w:val="24"/>
          <w:szCs w:val="24"/>
          <w:rFonts w:ascii="Arial" w:cs="Arial" w:eastAsia="Arial" w:hAnsi="Arial"/>
        </w:rPr>
        <w:t xml:space="preserve">The Grossman health capital model (Chapter 1) can be formulated as a continuous-time optimal control problem. The individual maximizes lifetime utility:</w:t>
      </w:r>
    </w:p>
    <w:p>
      <w:pPr>
        <w:spacing w:after="120"/>
      </w:pPr>
      <w:r>
        <w:rPr>
          <w:sz w:val="24"/>
          <w:szCs w:val="24"/>
          <w:rFonts w:ascii="Arial" w:cs="Arial" w:eastAsia="Arial" w:hAnsi="Arial"/>
        </w:rPr>
        <w:t xml:space="preserve">max ∫₀ᵀ e⁻ʳᵗ U(C(t), φ(H(t))) dt</w:t>
      </w:r>
    </w:p>
    <w:p>
      <w:pPr>
        <w:spacing w:after="120"/>
      </w:pPr>
      <w:r>
        <w:rPr>
          <w:sz w:val="24"/>
          <w:szCs w:val="24"/>
          <w:rFonts w:ascii="Arial" w:cs="Arial" w:eastAsia="Arial" w:hAnsi="Arial"/>
        </w:rPr>
        <w:t xml:space="preserve">subject to the health capital evolution equation dH/dt = I(M(t), E) - δ(t)H(t) and the budget constraint. The current-value Hamiltonian is:</w:t>
      </w:r>
    </w:p>
    <w:p>
      <w:pPr>
        <w:spacing w:after="120"/>
      </w:pPr>
      <w:r>
        <w:rPr>
          <w:sz w:val="24"/>
          <w:szCs w:val="24"/>
          <w:rFonts w:ascii="Arial" w:cs="Arial" w:eastAsia="Arial" w:hAnsi="Arial"/>
        </w:rPr>
        <w:t xml:space="preserve">ℋ = U(C, φ(H)) + λ[I(M, E) - δH] + μ[wφ(H) - pₘM - C]</w:t>
      </w:r>
    </w:p>
    <w:p>
      <w:pPr>
        <w:spacing w:after="120"/>
      </w:pPr>
      <w:r>
        <w:rPr>
          <w:sz w:val="24"/>
          <w:szCs w:val="24"/>
          <w:rFonts w:ascii="Arial" w:cs="Arial" w:eastAsia="Arial" w:hAnsi="Arial"/>
        </w:rPr>
        <w:t xml:space="preserve">where λ is the costate variable (shadow price of health capital — the marginal value of an additional unit of health stock) and μ is the multiplier on the budget constraint. The first-order conditions yield the Euler equation for optimal health investment:</w:t>
      </w:r>
    </w:p>
    <w:p>
      <w:pPr>
        <w:spacing w:after="120"/>
      </w:pPr>
      <w:r>
        <w:rPr>
          <w:sz w:val="24"/>
          <w:szCs w:val="24"/>
          <w:rFonts w:ascii="Arial" w:cs="Arial" w:eastAsia="Arial" w:hAnsi="Arial"/>
        </w:rPr>
        <w:t xml:space="preserve">dλ/dt = (r + δ)λ - ∂U/∂H - μw∂φ/∂H</w:t>
      </w:r>
    </w:p>
    <w:p>
      <w:pPr>
        <w:spacing w:after="120"/>
      </w:pPr>
      <w:r>
        <w:rPr>
          <w:sz w:val="24"/>
          <w:szCs w:val="24"/>
          <w:rFonts w:ascii="Arial" w:cs="Arial" w:eastAsia="Arial" w:hAnsi="Arial"/>
        </w:rPr>
        <w:t xml:space="preserve">In steady state, the marginal cost of health capital equals its user cost: the interest rate plus the depreciation rate, times the cost of acquiring a unit of health capital. Comparative statics predict how the optimal health stock responds to changes in the wage rate, the price of medical care, the depreciation rate, and education.</w:t>
      </w:r>
    </w:p>
    <w:p>
      <w:pPr>
        <w:spacing w:after="120"/>
      </w:pPr>
      <w:r>
        <w:rPr>
          <w:sz w:val="24"/>
          <w:szCs w:val="24"/>
          <w:rFonts w:ascii="Arial" w:cs="Arial" w:eastAsia="Arial" w:hAnsi="Arial"/>
        </w:rPr>
        <w:t xml:space="preserve">Numerical solution in Julia: discretize the state space (health stock H on a grid), solve the Bellman equation by value function iteration (iterating V(H) = max_{M,C} {U(C, φ(H)) + β × E[V(H')]} until convergence), and extract the optimal policy function M*(H) that maps health stock to optimal medical care investment.</w:t>
      </w:r>
    </w:p>
    <w:p>
      <w:pPr>
        <w:pStyle w:val="Heading2"/>
        <w:spacing w:before="300" w:after="150"/>
      </w:pPr>
      <w:r>
        <w:rPr>
          <w:b/>
          <w:bCs/>
          <w:sz w:val="30"/>
          <w:szCs w:val="30"/>
          <w:rFonts w:ascii="Arial" w:cs="Arial" w:eastAsia="Arial" w:hAnsi="Arial"/>
        </w:rPr>
        <w:t xml:space="preserve">Optimal Insurance Design Under Asymmetric Information</w:t>
      </w:r>
    </w:p>
    <w:p>
      <w:pPr>
        <w:pStyle w:val="Heading3"/>
        <w:spacing w:before="200" w:after="100"/>
      </w:pPr>
      <w:r>
        <w:rPr>
          <w:b/>
          <w:bCs/>
          <w:sz w:val="26"/>
          <w:szCs w:val="26"/>
          <w:rFonts w:ascii="Arial" w:cs="Arial" w:eastAsia="Arial" w:hAnsi="Arial"/>
        </w:rPr>
        <w:t xml:space="preserve">The Mechanism Design Problem</w:t>
      </w:r>
    </w:p>
    <w:p>
      <w:pPr>
        <w:spacing w:after="120"/>
      </w:pPr>
      <w:r>
        <w:rPr>
          <w:sz w:val="24"/>
          <w:szCs w:val="24"/>
          <w:rFonts w:ascii="Arial" w:cs="Arial" w:eastAsia="Arial" w:hAnsi="Arial"/>
        </w:rPr>
        <w:t xml:space="preserve">Optimal health insurance design is a screening problem: the insurer (principal) designs a menu of contracts to separate heterogeneous consumers (agents) who have private information about their risk type. The Rothschild-Stiglitz (1976) framework established that the separating equilibrium features full insurance for high-risk types and partial insurance (with a deductible) for low-risk types — the deductible serving as the screening device that makes the low-risk contract unattractive to high-risk imitators.</w:t>
      </w:r>
    </w:p>
    <w:p>
      <w:pPr>
        <w:spacing w:after="120"/>
      </w:pPr>
      <w:r>
        <w:rPr>
          <w:sz w:val="24"/>
          <w:szCs w:val="24"/>
          <w:rFonts w:ascii="Arial" w:cs="Arial" w:eastAsia="Arial" w:hAnsi="Arial"/>
        </w:rPr>
        <w:t xml:space="preserve">More recent work has enriched this framework. Handel, Hendel, and Whinston (2015) estimated a structural model of insurance choice and utilization that jointly identifies risk preferences and moral hazard, enabling simulation of optimal contract designs that trade off risk protection, moral hazard, and administrative costs. Their framework incorporates the insight from Chapter 4 that optimal cost-sharing varies by service type — high-value services (medications for chronic conditions, preventive care) should have lower cost-sharing, while low-value services should have higher cost-sharing.</w:t>
      </w:r>
    </w:p>
    <w:p>
      <w:pPr>
        <w:pStyle w:val="Heading2"/>
        <w:spacing w:before="300" w:after="150"/>
      </w:pPr>
      <w:r>
        <w:rPr>
          <w:b/>
          <w:bCs/>
          <w:sz w:val="30"/>
          <w:szCs w:val="30"/>
          <w:rFonts w:ascii="Arial" w:cs="Arial" w:eastAsia="Arial" w:hAnsi="Arial"/>
        </w:rPr>
        <w:t xml:space="preserve">Dynamic Treatment Regimes</w:t>
      </w:r>
    </w:p>
    <w:p>
      <w:pPr>
        <w:pStyle w:val="Heading3"/>
        <w:spacing w:before="200" w:after="100"/>
      </w:pPr>
      <w:r>
        <w:rPr>
          <w:b/>
          <w:bCs/>
          <w:sz w:val="26"/>
          <w:szCs w:val="26"/>
          <w:rFonts w:ascii="Arial" w:cs="Arial" w:eastAsia="Arial" w:hAnsi="Arial"/>
        </w:rPr>
        <w:t xml:space="preserve">Sequential Decision Problems in Medicine</w:t>
      </w:r>
    </w:p>
    <w:p>
      <w:pPr>
        <w:spacing w:after="120"/>
      </w:pPr>
      <w:r>
        <w:rPr>
          <w:sz w:val="24"/>
          <w:szCs w:val="24"/>
          <w:rFonts w:ascii="Arial" w:cs="Arial" w:eastAsia="Arial" w:hAnsi="Arial"/>
        </w:rPr>
        <w:t xml:space="preserve">Dynamic treatment regimes (DTRs) formalize the sequential decision problem in personalized medicine: at each decision point (initial diagnosis, first response assessment, treatment modification), choose a treatment based on the patient's current state (biomarkers, symptoms, treatment history) and prior treatment response, to maximize a long-run health outcome (quality-adjusted survival, disease-free survival, cumulative cost-effectiveness).</w:t>
      </w:r>
    </w:p>
    <w:p>
      <w:pPr>
        <w:spacing w:after="120"/>
      </w:pPr>
      <w:r>
        <w:rPr>
          <w:sz w:val="24"/>
          <w:szCs w:val="24"/>
          <w:rFonts w:ascii="Arial" w:cs="Arial" w:eastAsia="Arial" w:hAnsi="Arial"/>
        </w:rPr>
      </w:r>
      <w:r>
        <w:rPr>
          <w:b/>
          <w:bCs/>
          <w:sz w:val="24"/>
          <w:szCs w:val="24"/>
          <w:rFonts w:ascii="Arial" w:cs="Arial" w:eastAsia="Arial" w:hAnsi="Arial"/>
        </w:rPr>
        <w:t xml:space="preserve">Q-learning</w:t>
      </w:r>
      <w:r>
        <w:rPr>
          <w:sz w:val="24"/>
          <w:szCs w:val="24"/>
          <w:rFonts w:ascii="Arial" w:cs="Arial" w:eastAsia="Arial" w:hAnsi="Arial"/>
        </w:rPr>
        <w:t xml:space="preserve"> estimates the optimal treatment rule by backward induction. At the final decision point K, estimate the Q-function Q_K(H_K, A_K) = E[Y | H_K, A_K] (expected outcome as a function of the patient's history H_K and treatment A_K). The optimal treatment at stage K is A*_K = argmax Q_K. Working backward to earlier stages, the Q-function at stage k incorporates the value of future optimal decisions: Q_k(H_k, A_k) = E[Y + V_{k+1}(H_{k+1}) | H_k, A_k].</w:t>
      </w:r>
    </w:p>
    <w:p>
      <w:pPr>
        <w:spacing w:after="120"/>
      </w:pPr>
      <w:r>
        <w:rPr>
          <w:sz w:val="24"/>
          <w:szCs w:val="24"/>
          <w:rFonts w:ascii="Arial" w:cs="Arial" w:eastAsia="Arial" w:hAnsi="Arial"/>
        </w:rPr>
      </w:r>
      <w:r>
        <w:rPr>
          <w:b/>
          <w:bCs/>
          <w:sz w:val="24"/>
          <w:szCs w:val="24"/>
          <w:rFonts w:ascii="Arial" w:cs="Arial" w:eastAsia="Arial" w:hAnsi="Arial"/>
        </w:rPr>
        <w:t xml:space="preserve">A-learning</w:t>
      </w:r>
      <w:r>
        <w:rPr>
          <w:sz w:val="24"/>
          <w:szCs w:val="24"/>
          <w:rFonts w:ascii="Arial" w:cs="Arial" w:eastAsia="Arial" w:hAnsi="Arial"/>
        </w:rPr>
        <w:t xml:space="preserve"> (advantage learning) provides a more robust alternative by modeling only the treatment contrast (the advantage of one treatment over another) rather than the full conditional mean, reducing sensitivity to misspecification of the baseline outcome model.</w:t>
      </w:r>
    </w:p>
    <w:p>
      <w:pPr>
        <w:spacing w:after="120"/>
      </w:pPr>
      <w:r>
        <w:rPr>
          <w:sz w:val="24"/>
          <w:szCs w:val="24"/>
          <w:rFonts w:ascii="Arial" w:cs="Arial" w:eastAsia="Arial" w:hAnsi="Arial"/>
        </w:rPr>
        <w:t xml:space="preserve">Implementation in Julia: estimate Q-functions using GLM.jl or MLJ.jl at each stage, extract optimal treatment rules, and validate using inverse-probability-weighted estimators that account for the observational (non-randomized) nature of the treatment assignment data.</w:t>
      </w:r>
    </w:p>
    <w:p>
      <w:pPr>
        <w:pStyle w:val="Heading2"/>
        <w:spacing w:before="300" w:after="150"/>
      </w:pPr>
      <w:r>
        <w:rPr>
          <w:b/>
          <w:bCs/>
          <w:sz w:val="30"/>
          <w:szCs w:val="30"/>
          <w:rFonts w:ascii="Arial" w:cs="Arial" w:eastAsia="Arial" w:hAnsi="Arial"/>
        </w:rPr>
        <w:t xml:space="preserve">Healthcare Market Design</w:t>
      </w:r>
    </w:p>
    <w:p>
      <w:pPr>
        <w:pStyle w:val="Heading3"/>
        <w:spacing w:before="200" w:after="100"/>
      </w:pPr>
      <w:r>
        <w:rPr>
          <w:b/>
          <w:bCs/>
          <w:sz w:val="26"/>
          <w:szCs w:val="26"/>
          <w:rFonts w:ascii="Arial" w:cs="Arial" w:eastAsia="Arial" w:hAnsi="Arial"/>
        </w:rPr>
        <w:t xml:space="preserve">Matching Markets for Medical Resources</w:t>
      </w:r>
    </w:p>
    <w:p>
      <w:pPr>
        <w:spacing w:after="120"/>
      </w:pPr>
      <w:r>
        <w:rPr>
          <w:sz w:val="24"/>
          <w:szCs w:val="24"/>
          <w:rFonts w:ascii="Arial" w:cs="Arial" w:eastAsia="Arial" w:hAnsi="Arial"/>
        </w:rPr>
        <w:t xml:space="preserve">The Gale-Shapley deferred acceptance algorithm, used by the National Resident Matching Program (NRMP) since 1952, produces a stable matching between medical school graduates and residency programs — a matching in which no unmatched graduate-program pair would both prefer to be matched with each other. Roth (2002) demonstrated that this stability property is essential for the market's function: without stability, participants have incentives to circumvent the match through early offers and side deals.</w:t>
      </w:r>
    </w:p>
    <w:p>
      <w:pPr>
        <w:spacing w:after="120"/>
      </w:pPr>
      <w:r>
        <w:rPr>
          <w:sz w:val="24"/>
          <w:szCs w:val="24"/>
          <w:rFonts w:ascii="Arial" w:cs="Arial" w:eastAsia="Arial" w:hAnsi="Arial"/>
        </w:rPr>
        <w:t xml:space="preserve">The kidney exchange problem extends matching theory to organ allocation. Incompatible donor-recipient pairs can be matched in chains and cycles: pair A's donor gives to pair B's recipient, and pair B's donor gives to pair A's recipient. Roth, Sönmez, and Ünver (2004) developed algorithms for finding optimal exchange cycles in kidney exchange pools, demonstrating how economic theory directly saves lives by enabling transplants that would otherwise not occur.</w:t>
      </w:r>
    </w:p>
    <w:p>
      <w:pPr>
        <w:pStyle w:val="Heading3"/>
        <w:spacing w:before="200" w:after="100"/>
      </w:pPr>
      <w:r>
        <w:rPr>
          <w:b/>
          <w:bCs/>
          <w:sz w:val="26"/>
          <w:szCs w:val="26"/>
          <w:rFonts w:ascii="Arial" w:cs="Arial" w:eastAsia="Arial" w:hAnsi="Arial"/>
        </w:rPr>
        <w:t xml:space="preserve">Auction Design for Medicare Advantage</w:t>
      </w:r>
    </w:p>
    <w:p>
      <w:pPr>
        <w:spacing w:after="120"/>
      </w:pPr>
      <w:r>
        <w:rPr>
          <w:sz w:val="24"/>
          <w:szCs w:val="24"/>
          <w:rFonts w:ascii="Arial" w:cs="Arial" w:eastAsia="Arial" w:hAnsi="Arial"/>
        </w:rPr>
        <w:t xml:space="preserve">Medicare Advantage payment rates are effectively set through a quasi-auction mechanism in which plans submit bids (their estimated cost of providing the standard Medicare benefit package), and CMS compares the bid to a benchmark (determined by local fee-for-service Medicare spending). Plans bidding below the benchmark receive a rebate (shared with beneficiaries as supplemental benefits); plans bidding above receive a reduced payment. The economic design of this bidding mechanism — the benchmark formula, the rebate sharing percentage, the quality bonus structure — determines the level of competition, plan generosity, taxpayer cost, and beneficiary welfare.</w:t>
      </w:r>
    </w:p>
    <w:p>
      <w:pPr>
        <w:spacing w:after="120"/>
      </w:pPr>
      <w:r>
        <w:rPr>
          <w:sz w:val="24"/>
          <w:szCs w:val="24"/>
          <w:rFonts w:ascii="Arial" w:cs="Arial" w:eastAsia="Arial" w:hAnsi="Arial"/>
        </w:rPr>
        <w:t xml:space="preserve">Curto and colleagues (2021) used a structural model of plan bidding to simulate the effects of alternative benchmark designs, demonstrating how mechanism design analysis can inform the specific parameters of Medicare Advantage payment policy.</w:t>
      </w: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The methods in this chapter — dynamic optimization, mechanism design, dynamic treatment regimes, and market design — represent the theoretical frontier of health economics, requiring the deepest integration of economic theory, econometric methods, and computational tools. Julia's strengths in numerical optimization (JuMP.jl, Optim.jl), dynamic programming (value function iteration on discretized state spaces), and simulation (DifferentialEquations.jl for continuous-time models, custom DDC implementations) make it well-suited for implementing these advanced methods.</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Curto, V., Einav, L., Finkelstein, A., Levin, J., &amp; Bhattacharya, J. (2021). Health care spending and utilization in public and private Medicare. </w:t>
      </w:r>
      <w:r>
        <w:rPr>
          <w:i/>
          <w:iCs/>
          <w:sz w:val="24"/>
          <w:szCs w:val="24"/>
          <w:rFonts w:ascii="Arial" w:cs="Arial" w:eastAsia="Arial" w:hAnsi="Arial"/>
        </w:rPr>
        <w:t xml:space="preserve">AER</w:t>
      </w:r>
      <w:r>
        <w:rPr>
          <w:sz w:val="24"/>
          <w:szCs w:val="24"/>
          <w:rFonts w:ascii="Arial" w:cs="Arial" w:eastAsia="Arial" w:hAnsi="Arial"/>
        </w:rPr>
        <w:t xml:space="preserve">, 111(11), 3535-3578.</w:t>
      </w:r>
    </w:p>
    <w:p>
      <w:pPr>
        <w:spacing w:after="120"/>
      </w:pPr>
      <w:r>
        <w:rPr>
          <w:sz w:val="24"/>
          <w:szCs w:val="24"/>
          <w:rFonts w:ascii="Arial" w:cs="Arial" w:eastAsia="Arial" w:hAnsi="Arial"/>
        </w:rPr>
        <w:t xml:space="preserve">2. Grossman, M. (1972). On the concept of health capital. </w:t>
      </w:r>
      <w:r>
        <w:rPr>
          <w:i/>
          <w:iCs/>
          <w:sz w:val="24"/>
          <w:szCs w:val="24"/>
          <w:rFonts w:ascii="Arial" w:cs="Arial" w:eastAsia="Arial" w:hAnsi="Arial"/>
        </w:rPr>
        <w:t xml:space="preserve">JPE</w:t>
      </w:r>
      <w:r>
        <w:rPr>
          <w:sz w:val="24"/>
          <w:szCs w:val="24"/>
          <w:rFonts w:ascii="Arial" w:cs="Arial" w:eastAsia="Arial" w:hAnsi="Arial"/>
        </w:rPr>
        <w:t xml:space="preserve">, 80(2), 223-255.</w:t>
      </w:r>
    </w:p>
    <w:p>
      <w:pPr>
        <w:spacing w:after="120"/>
      </w:pPr>
      <w:r>
        <w:rPr>
          <w:sz w:val="24"/>
          <w:szCs w:val="24"/>
          <w:rFonts w:ascii="Arial" w:cs="Arial" w:eastAsia="Arial" w:hAnsi="Arial"/>
        </w:rPr>
        <w:t xml:space="preserve">3. Murphy, S. A. (2003). Optimal dynamic treatment regimes. </w:t>
      </w:r>
      <w:r>
        <w:rPr>
          <w:i/>
          <w:iCs/>
          <w:sz w:val="24"/>
          <w:szCs w:val="24"/>
          <w:rFonts w:ascii="Arial" w:cs="Arial" w:eastAsia="Arial" w:hAnsi="Arial"/>
        </w:rPr>
        <w:t xml:space="preserve">JRSS-B</w:t>
      </w:r>
      <w:r>
        <w:rPr>
          <w:sz w:val="24"/>
          <w:szCs w:val="24"/>
          <w:rFonts w:ascii="Arial" w:cs="Arial" w:eastAsia="Arial" w:hAnsi="Arial"/>
        </w:rPr>
        <w:t xml:space="preserve">, 65(2), 331-355.</w:t>
      </w:r>
    </w:p>
    <w:p>
      <w:pPr>
        <w:spacing w:after="120"/>
      </w:pPr>
      <w:r>
        <w:rPr>
          <w:sz w:val="24"/>
          <w:szCs w:val="24"/>
          <w:rFonts w:ascii="Arial" w:cs="Arial" w:eastAsia="Arial" w:hAnsi="Arial"/>
        </w:rPr>
        <w:t xml:space="preserve">4. Rothschild, M., &amp; Stiglitz, J. (1976). Equilibrium in competitive insurance markets. </w:t>
      </w:r>
      <w:r>
        <w:rPr>
          <w:i/>
          <w:iCs/>
          <w:sz w:val="24"/>
          <w:szCs w:val="24"/>
          <w:rFonts w:ascii="Arial" w:cs="Arial" w:eastAsia="Arial" w:hAnsi="Arial"/>
        </w:rPr>
        <w:t xml:space="preserve">QJE</w:t>
      </w:r>
      <w:r>
        <w:rPr>
          <w:sz w:val="24"/>
          <w:szCs w:val="24"/>
          <w:rFonts w:ascii="Arial" w:cs="Arial" w:eastAsia="Arial" w:hAnsi="Arial"/>
        </w:rPr>
        <w:t xml:space="preserve">, 90(4), 629-649.</w:t>
      </w:r>
    </w:p>
    <w:p>
      <w:pPr>
        <w:spacing w:after="120"/>
      </w:pPr>
      <w:r>
        <w:rPr>
          <w:sz w:val="24"/>
          <w:szCs w:val="24"/>
          <w:rFonts w:ascii="Arial" w:cs="Arial" w:eastAsia="Arial" w:hAnsi="Arial"/>
        </w:rPr>
        <w:t xml:space="preserve">5. Roth, A. E. (2002). The economist as engineer. </w:t>
      </w:r>
      <w:r>
        <w:rPr>
          <w:i/>
          <w:iCs/>
          <w:sz w:val="24"/>
          <w:szCs w:val="24"/>
          <w:rFonts w:ascii="Arial" w:cs="Arial" w:eastAsia="Arial" w:hAnsi="Arial"/>
        </w:rPr>
        <w:t xml:space="preserve">Econometrica</w:t>
      </w:r>
      <w:r>
        <w:rPr>
          <w:sz w:val="24"/>
          <w:szCs w:val="24"/>
          <w:rFonts w:ascii="Arial" w:cs="Arial" w:eastAsia="Arial" w:hAnsi="Arial"/>
        </w:rPr>
        <w:t xml:space="preserve">, 70(4), 1341-1378.</w:t>
      </w:r>
    </w:p>
    <w:p>
      <w:pPr>
        <w:spacing w:after="120"/>
      </w:pPr>
      <w:r>
        <w:rPr>
          <w:sz w:val="24"/>
          <w:szCs w:val="24"/>
          <w:rFonts w:ascii="Arial" w:cs="Arial" w:eastAsia="Arial" w:hAnsi="Arial"/>
        </w:rPr>
        <w:t xml:space="preserve">6. Roth, A. E., Sönmez, T., &amp; Ünver, M. U. (2004). Kidney exchange. </w:t>
      </w:r>
      <w:r>
        <w:rPr>
          <w:i/>
          <w:iCs/>
          <w:sz w:val="24"/>
          <w:szCs w:val="24"/>
          <w:rFonts w:ascii="Arial" w:cs="Arial" w:eastAsia="Arial" w:hAnsi="Arial"/>
        </w:rPr>
        <w:t xml:space="preserve">QJE</w:t>
      </w:r>
      <w:r>
        <w:rPr>
          <w:sz w:val="24"/>
          <w:szCs w:val="24"/>
          <w:rFonts w:ascii="Arial" w:cs="Arial" w:eastAsia="Arial" w:hAnsi="Arial"/>
        </w:rPr>
        <w:t xml:space="preserve">, 119(2), 457-488.</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29: Advanced Topics: Dynamic Models, Optimal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2026-04-16T00:41:20.720Z</dcterms:created>
  <dcterms:modified xsi:type="dcterms:W3CDTF">2026-04-16T00:41:20.720Z</dcterms:modified>
</cp:coreProperties>
</file>

<file path=docProps/custom.xml><?xml version="1.0" encoding="utf-8"?>
<Properties xmlns="http://schemas.openxmlformats.org/officeDocument/2006/custom-properties" xmlns:vt="http://schemas.openxmlformats.org/officeDocument/2006/docPropsVTypes"/>
</file>