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65" w:rsidRDefault="004E6E58">
      <w:pPr>
        <w:rPr>
          <w:b/>
          <w:bCs/>
        </w:rPr>
      </w:pPr>
      <w:r w:rsidRPr="004E6E58">
        <w:rPr>
          <w:b/>
          <w:bCs/>
        </w:rPr>
        <w:t>Рекурсия. Подключение стандартных модулей</w:t>
      </w:r>
    </w:p>
    <w:p w:rsidR="004E6E58" w:rsidRPr="004E6E58" w:rsidRDefault="004E6E58" w:rsidP="004E6E5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В языке </w:t>
      </w:r>
      <w:proofErr w:type="spellStart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имеется ограничение на максимальную глубину рекурсии. Допустим, мы вызвали функцию для вычисления факториала числа </w:t>
      </w:r>
      <w:r w:rsidRPr="004E6E5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4E6E5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.</w:t>
      </w:r>
      <w:bookmarkStart w:id="0" w:name="_GoBack"/>
      <w:bookmarkEnd w:id="0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Эта функция вызовет себя с параметром </w:t>
      </w:r>
      <w:r w:rsidRPr="004E6E5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4E6E5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а внутри этого вызова будет вызвана функция с параметром </w:t>
      </w:r>
      <w:r w:rsidRPr="004E6E5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4E6E5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−2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и так пока значение параметра не дойдёт до значения </w:t>
      </w:r>
      <w:r w:rsidRPr="004E6E5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Таким образом, возникнет цепочка рекурсивных вызовов, которая уходит на глубину </w:t>
      </w:r>
      <w:r w:rsidRPr="004E6E5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Если, например, </w:t>
      </w:r>
      <w:r w:rsidRPr="004E6E5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4E6E5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=1000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мы получим ошибку исполнения, связанную с превышением максимально допустимой глубины рекурсии.</w:t>
      </w:r>
    </w:p>
    <w:p w:rsidR="004E6E58" w:rsidRPr="004E6E58" w:rsidRDefault="004E6E58" w:rsidP="004E6E5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Внутри языка </w:t>
      </w:r>
      <w:proofErr w:type="spellStart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есть счётчик, который хранит глубину рекурсии. Если значение глубины рекурсии превышает максимально допустимое значение, то программа получает ошибку во время исполнения. Это сделано для того, чтобы избежать ошибок, связанных с условием завершения рекурсии, которые приводят к бесконечной рекурсии и переполнению памяти компьютера. Бывают ситуации, когда ограничение на максимальную допустимую глубину рекурсии требуется увеличить. Например, если мы хотим вычислить факториал числа больше </w:t>
      </w:r>
      <w:r w:rsidRPr="004E6E5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1000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 с использованием рекурсивной функции. Для этого есть специальная функция в языке </w:t>
      </w:r>
      <w:proofErr w:type="spellStart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которая называется </w:t>
      </w:r>
      <w:proofErr w:type="spellStart"/>
      <w:proofErr w:type="gramStart"/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setrecursionlimit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Для того чтобы её использовать, требуется подключить модуль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в котором она лежит. Чтобы увеличить максимально допустимую глубину рекурсии до миллиарда, надо написать: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import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sys</w:t>
      </w:r>
      <w:proofErr w:type="spellEnd"/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sys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.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setrecursionlimit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E6E5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10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** </w:t>
      </w:r>
      <w:r w:rsidRPr="004E6E5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9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этом примере мы подключили модуль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 после этого использовали функцию </w:t>
      </w:r>
      <w:proofErr w:type="spellStart"/>
      <w:proofErr w:type="gramStart"/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setrecursionlimit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из этого модуля, при этом мы должны указывать перед именем функции название модуля и разделять эти имена точкой: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sys</w:t>
      </w:r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.</w:t>
      </w:r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setrecursionlimit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Однако, даже после этого мы можем получить ошибку выполнения программы. Дело в том, что у операционной системы есть своё ограничение на размер стека, которое может зависеть от различных факторов, и мы его превысили. Но нескольких миллионов глубина рекурсии достигать может.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В языке </w:t>
      </w:r>
      <w:proofErr w:type="spellStart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имеется много полезных модулей, которые можно подключить и использовать функции, которые в них имеются. Например, можно подключить модуль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работы со случайными числами: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import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random</w:t>
      </w:r>
      <w:proofErr w:type="spellEnd"/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подключить модуль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в котором лежат различные математические функции: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import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math</w:t>
      </w:r>
      <w:proofErr w:type="spellEnd"/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модуле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есть такие функции, как </w:t>
      </w:r>
      <w:proofErr w:type="spellStart"/>
      <w:proofErr w:type="gramStart"/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вычисления квадратного корня, </w:t>
      </w:r>
      <w:proofErr w:type="spellStart"/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factorial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вычисления факториала числа, тригонометрические функции, экспонента, логарифм и многие другие.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Для копирования вложенных списков или других сложных объектов может понадобиться модуль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copy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import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copy</w:t>
      </w:r>
      <w:proofErr w:type="spellEnd"/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мы подключили модуль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 хотим использовать функцию квадратного корня из этого модуля, то мы должны не забыть через точку указать название модуля перед названием функции: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math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.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E6E5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2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 одной стороны, это удобно. Потому что мы можем написать свою функцию </w:t>
      </w:r>
      <w:proofErr w:type="spellStart"/>
      <w:proofErr w:type="gramStart"/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и это не приведёт к ошибке, так как функции </w:t>
      </w:r>
      <w:proofErr w:type="spellStart"/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math</w:t>
      </w:r>
      <w:r w:rsidRPr="004E6E5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.</w:t>
      </w:r>
      <w:r w:rsidRPr="004E6E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записываются различным образом.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 другой стороны, не всегда хочется писать название модуля каждый раз перед вызовом функции. Чтобы этого не делать, можно использовать другой способ импортировать функции из модуля: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from</w:t>
      </w:r>
      <w:proofErr w:type="gram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val="en-US" w:eastAsia="ru-RU"/>
        </w:rPr>
        <w:t>math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import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sqrt</w:t>
      </w:r>
      <w:proofErr w:type="spellEnd"/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spellStart"/>
      <w:proofErr w:type="gramStart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E6E5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импортировать сразу несколько функций из модуля: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from</w:t>
      </w:r>
      <w:proofErr w:type="gram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val="en-US" w:eastAsia="ru-RU"/>
        </w:rPr>
        <w:t>math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import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factorial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sqrt</w:t>
      </w:r>
      <w:proofErr w:type="spellEnd"/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6E5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4E6E5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factorial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4E6E5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5</w:t>
      </w:r>
      <w:r w:rsidRPr="004E6E5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4E6E58" w:rsidRPr="004E6E58" w:rsidRDefault="004E6E58" w:rsidP="004E6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4E6E5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Также можно импортировать сразу все функции из модуля следующей строчкой:</w:t>
      </w:r>
    </w:p>
    <w:p w:rsidR="004E6E58" w:rsidRPr="004E6E58" w:rsidRDefault="004E6E58" w:rsidP="004E6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from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math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4E6E5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import</w:t>
      </w:r>
      <w:proofErr w:type="spellEnd"/>
      <w:r w:rsidRPr="004E6E5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*</w:t>
      </w:r>
    </w:p>
    <w:p w:rsidR="004E6E58" w:rsidRDefault="004E6E58"/>
    <w:sectPr w:rsidR="004E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58"/>
    <w:rsid w:val="003A0565"/>
    <w:rsid w:val="004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59187-8F80-4226-A3D5-E4A0172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2021-04-18T08:14:00Z</dcterms:created>
  <dcterms:modified xsi:type="dcterms:W3CDTF">2021-04-18T08:17:00Z</dcterms:modified>
</cp:coreProperties>
</file>