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E72E0" w14:textId="77777777" w:rsidR="00906CC6" w:rsidRDefault="00297799">
      <w:pPr>
        <w:spacing w:after="0"/>
      </w:pPr>
      <w:r>
        <w:rPr>
          <w:b/>
          <w:sz w:val="24"/>
        </w:rPr>
        <w:t>IEE309 TRABAJO DE TESIS 2</w:t>
      </w:r>
    </w:p>
    <w:p w14:paraId="4639BE83" w14:textId="77777777" w:rsidR="00906CC6" w:rsidRDefault="00297799">
      <w:pPr>
        <w:spacing w:after="0"/>
      </w:pPr>
      <w:r>
        <w:rPr>
          <w:b/>
          <w:sz w:val="24"/>
        </w:rPr>
        <w:t>FORMATO DE REUNIONES DE ASESORÍA</w:t>
      </w:r>
    </w:p>
    <w:p w14:paraId="304E77D7" w14:textId="77777777" w:rsidR="00906CC6" w:rsidRDefault="00297799">
      <w:r>
        <w:t>Reunión Nº : ___ (completar)   Fecha: 12/10/2026</w:t>
      </w:r>
    </w:p>
    <w:p w14:paraId="4D583B30" w14:textId="77777777" w:rsidR="00906CC6" w:rsidRDefault="00297799">
      <w:pPr>
        <w:spacing w:after="80"/>
      </w:pPr>
      <w:r>
        <w:t>Link de reunión grabada vía zoom:  Reunión presencial / virtual (completar)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8731"/>
      </w:tblGrid>
      <w:tr w:rsidR="00906CC6" w14:paraId="70B91BD0" w14:textId="77777777">
        <w:tc>
          <w:tcPr>
            <w:tcW w:w="1474" w:type="dxa"/>
            <w:shd w:val="clear" w:color="auto" w:fill="D9D9D9"/>
          </w:tcPr>
          <w:p w14:paraId="4CE3703C" w14:textId="77777777" w:rsidR="00906CC6" w:rsidRDefault="00297799">
            <w:r>
              <w:rPr>
                <w:b/>
                <w:sz w:val="15"/>
              </w:rPr>
              <w:t>A SER LLENADO POR EL ALUMNO / ALUMNA</w:t>
            </w:r>
          </w:p>
        </w:tc>
        <w:tc>
          <w:tcPr>
            <w:tcW w:w="8731" w:type="dxa"/>
          </w:tcPr>
          <w:p w14:paraId="4C5598CB" w14:textId="77777777" w:rsidR="00906CC6" w:rsidRDefault="00297799">
            <w:r>
              <w:rPr>
                <w:b/>
              </w:rPr>
              <w:t>Nombre del alumno / alumna:</w:t>
            </w:r>
          </w:p>
          <w:p w14:paraId="0AD38C46" w14:textId="77777777" w:rsidR="00906CC6" w:rsidRDefault="00297799">
            <w:r>
              <w:t>Ricardo Bryan Uribe Bejarano</w:t>
            </w:r>
          </w:p>
        </w:tc>
      </w:tr>
      <w:tr w:rsidR="00906CC6" w14:paraId="01E7046E" w14:textId="77777777">
        <w:tc>
          <w:tcPr>
            <w:tcW w:w="1474" w:type="dxa"/>
            <w:shd w:val="clear" w:color="auto" w:fill="D9D9D9"/>
          </w:tcPr>
          <w:p w14:paraId="086CF839" w14:textId="77777777" w:rsidR="00906CC6" w:rsidRDefault="00297799">
            <w:r>
              <w:rPr>
                <w:b/>
                <w:sz w:val="15"/>
              </w:rPr>
              <w:t>A SER LLENADO POR EL ALUMNO / ALUMNA</w:t>
            </w:r>
          </w:p>
        </w:tc>
        <w:tc>
          <w:tcPr>
            <w:tcW w:w="8731" w:type="dxa"/>
          </w:tcPr>
          <w:p w14:paraId="577B4759" w14:textId="77777777" w:rsidR="00906CC6" w:rsidRDefault="00297799">
            <w:r>
              <w:rPr>
                <w:b/>
              </w:rPr>
              <w:t>Nombre del asesor:</w:t>
            </w:r>
          </w:p>
          <w:p w14:paraId="2F6CF45B" w14:textId="77777777" w:rsidR="00906CC6" w:rsidRDefault="00297799">
            <w:r>
              <w:t>John Esquiagola Aranda</w:t>
            </w:r>
          </w:p>
        </w:tc>
      </w:tr>
      <w:tr w:rsidR="00906CC6" w14:paraId="78B57C8C" w14:textId="77777777">
        <w:tc>
          <w:tcPr>
            <w:tcW w:w="1474" w:type="dxa"/>
            <w:shd w:val="clear" w:color="auto" w:fill="D9D9D9"/>
          </w:tcPr>
          <w:p w14:paraId="16A19A60" w14:textId="77777777" w:rsidR="00906CC6" w:rsidRDefault="00297799">
            <w:r>
              <w:rPr>
                <w:b/>
                <w:sz w:val="15"/>
              </w:rPr>
              <w:t>A SER LLENADO POR EL ALUMNO / ALUMNA</w:t>
            </w:r>
          </w:p>
        </w:tc>
        <w:tc>
          <w:tcPr>
            <w:tcW w:w="8731" w:type="dxa"/>
          </w:tcPr>
          <w:p w14:paraId="50AC0102" w14:textId="77777777" w:rsidR="00906CC6" w:rsidRDefault="00297799">
            <w:r>
              <w:rPr>
                <w:b/>
              </w:rPr>
              <w:t>Título del Trabajo de Tesis:</w:t>
            </w:r>
          </w:p>
          <w:p w14:paraId="71AF9A0B" w14:textId="77777777" w:rsidR="00906CC6" w:rsidRDefault="00297799">
            <w:r>
              <w:t>Integración y validación del canal de comunicación V2I de una RSU con middleware</w:t>
            </w:r>
            <w:r>
              <w:t xml:space="preserve"> NTCIP para la priorización semáforica de vehículos de emergencia en Lima Metropolitana</w:t>
            </w:r>
          </w:p>
        </w:tc>
      </w:tr>
      <w:tr w:rsidR="00906CC6" w14:paraId="3B715BA1" w14:textId="77777777">
        <w:tc>
          <w:tcPr>
            <w:tcW w:w="1474" w:type="dxa"/>
            <w:shd w:val="clear" w:color="auto" w:fill="D9D9D9"/>
          </w:tcPr>
          <w:p w14:paraId="6577FE11" w14:textId="77777777" w:rsidR="00906CC6" w:rsidRDefault="00297799">
            <w:r>
              <w:rPr>
                <w:b/>
                <w:sz w:val="15"/>
              </w:rPr>
              <w:t>A SER LLENADO POR EL ALUMNO / ALUMNA</w:t>
            </w:r>
          </w:p>
        </w:tc>
        <w:tc>
          <w:tcPr>
            <w:tcW w:w="8731" w:type="dxa"/>
          </w:tcPr>
          <w:p w14:paraId="475AD214" w14:textId="77777777" w:rsidR="00906CC6" w:rsidRDefault="00297799">
            <w:r>
              <w:rPr>
                <w:b/>
              </w:rPr>
              <w:t>Mencionar las actividades-tareas desarrolladas en la semana y presentadas en la reunión</w:t>
            </w:r>
          </w:p>
          <w:p w14:paraId="023A256E" w14:textId="77777777" w:rsidR="00906CC6" w:rsidRDefault="00297799">
            <w:pPr>
              <w:spacing w:before="80" w:after="20"/>
            </w:pPr>
            <w:r>
              <w:rPr>
                <w:b/>
                <w:sz w:val="19"/>
                <w:u w:val="single"/>
              </w:rPr>
              <w:t>Avance por objetivo específico (OE1–OE5, n</w:t>
            </w:r>
            <w:r>
              <w:rPr>
                <w:b/>
                <w:sz w:val="19"/>
                <w:u w:val="single"/>
              </w:rPr>
              <w:t>umeración vigente de main.tex)</w:t>
            </w:r>
          </w:p>
          <w:p w14:paraId="0BBAB07A" w14:textId="77777777" w:rsidR="00906CC6" w:rsidRDefault="00297799">
            <w:r>
              <w:rPr>
                <w:i/>
                <w:sz w:val="16"/>
              </w:rPr>
              <w:t>Porcentajes = hitos del plan completados / hitos planeados para ese OE en docs/PLAN_IMPLEMENTACION.md, no una estimación subjetiva.</w:t>
            </w:r>
          </w:p>
          <w:p w14:paraId="1410DEB0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7"/>
              </w:rPr>
              <w:t xml:space="preserve">• OE1 (arquitectura y límites): </w:t>
            </w:r>
            <w:r>
              <w:rPr>
                <w:sz w:val="17"/>
              </w:rPr>
              <w:t xml:space="preserve">sin avance medible en esta etapa de </w:t>
            </w:r>
            <w:r>
              <w:rPr>
                <w:sz w:val="17"/>
              </w:rPr>
              <w:t>implementación; el diseño ya está en los Capítulos I–III.</w:t>
            </w:r>
          </w:p>
          <w:p w14:paraId="663BD068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7"/>
              </w:rPr>
              <w:t xml:space="preserve">• OE2 (plataforma física RSU): </w:t>
            </w:r>
            <w:r>
              <w:rPr>
                <w:sz w:val="17"/>
              </w:rPr>
              <w:t xml:space="preserve">~50% (1/2). Raspberry Pi desplegada y operativa por systemd sobre Ethernet/LAN (rsu-controller, rsu-agent, mosquitto, chrony); falta el módulo 4G SIM7670G (P6, semana </w:t>
            </w:r>
            <w:r>
              <w:rPr>
                <w:sz w:val="17"/>
              </w:rPr>
              <w:t>3).</w:t>
            </w:r>
          </w:p>
          <w:p w14:paraId="1FB70581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7"/>
              </w:rPr>
              <w:t xml:space="preserve">• OE3 (middleware NTCIP): </w:t>
            </w:r>
            <w:r>
              <w:rPr>
                <w:sz w:val="17"/>
              </w:rPr>
              <w:t>80% (4/5, P0–P3 de 5). Núcleo funcional completo: eventos (P1), NTCIP 1202 real (P2), NTCIP 1211 real + RF-05/06/09 (P3, más la revisión de RF-06 de hoy). Falta P4: seguridad de transporte (CA, mTLS, TLSTM vs. USM).</w:t>
            </w:r>
          </w:p>
          <w:p w14:paraId="4B5AEE3E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7"/>
              </w:rPr>
              <w:t>• OE4 (OBU</w:t>
            </w:r>
            <w:r>
              <w:rPr>
                <w:b/>
                <w:sz w:val="17"/>
              </w:rPr>
              <w:t xml:space="preserve">): </w:t>
            </w:r>
            <w:r>
              <w:rPr>
                <w:sz w:val="17"/>
              </w:rPr>
              <w:t>~0% del diseño final (P5). Solo existe un simulador mínimo (gateway/obu_simulator.py, publica M1 por MQTT a mano) usado para probar el lazo; sin trayectoria, geocerca ni identificación de acceso todavía.</w:t>
            </w:r>
          </w:p>
          <w:p w14:paraId="7A72AC31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7"/>
              </w:rPr>
              <w:t xml:space="preserve">• OE5 (canal V2I y lazo completo): </w:t>
            </w:r>
            <w:r>
              <w:rPr>
                <w:sz w:val="17"/>
              </w:rPr>
              <w:t>25% (1/4). Ins</w:t>
            </w:r>
            <w:r>
              <w:rPr>
                <w:sz w:val="17"/>
              </w:rPr>
              <w:t>trumentación lista desde P1 (scripts/analisis/latencia_tramos.py) con una corrida local registrada; las campañas reales (P6, P8, P9) no se han ejecutado.</w:t>
            </w:r>
          </w:p>
          <w:p w14:paraId="1C44D4AE" w14:textId="77777777" w:rsidR="00906CC6" w:rsidRDefault="00297799">
            <w:pPr>
              <w:spacing w:before="80" w:after="20"/>
            </w:pPr>
            <w:r>
              <w:rPr>
                <w:b/>
                <w:sz w:val="19"/>
                <w:u w:val="single"/>
              </w:rPr>
              <w:t>Implementado y verificado desde la última reunión (P0–P3)</w:t>
            </w:r>
          </w:p>
          <w:p w14:paraId="179FDAE0" w14:textId="77777777" w:rsidR="00906CC6" w:rsidRDefault="00297799">
            <w:pPr>
              <w:spacing w:after="20"/>
              <w:ind w:left="170"/>
            </w:pPr>
            <w:r>
              <w:rPr>
                <w:sz w:val="17"/>
              </w:rPr>
              <w:t>• P0 / P0.5: contexto del repositorio actual</w:t>
            </w:r>
            <w:r>
              <w:rPr>
                <w:sz w:val="17"/>
              </w:rPr>
              <w:t>izado al alcance vigente; flujo laptop↔Pi (scripts/pi.sh, unidades systemd, chrony, medición de offset de reloj).</w:t>
            </w:r>
          </w:p>
          <w:p w14:paraId="6A9C77AC" w14:textId="77777777" w:rsidR="00906CC6" w:rsidRDefault="00297799">
            <w:pPr>
              <w:spacing w:after="20"/>
              <w:ind w:left="170"/>
            </w:pPr>
            <w:r>
              <w:rPr>
                <w:sz w:val="17"/>
              </w:rPr>
              <w:t>• P1: registro de eventos CSV (RF-10) en los tres procesos (OBU, RSU, controlador) + scripts/analisis/latencia_tramos.py.</w:t>
            </w:r>
          </w:p>
          <w:p w14:paraId="0FA7F973" w14:textId="77777777" w:rsidR="00906CC6" w:rsidRDefault="00297799">
            <w:pPr>
              <w:spacing w:after="20"/>
              <w:ind w:left="170"/>
            </w:pPr>
            <w:r>
              <w:rPr>
                <w:sz w:val="17"/>
              </w:rPr>
              <w:t>• P2: objetos reales</w:t>
            </w:r>
            <w:r>
              <w:rPr>
                <w:sz w:val="17"/>
              </w:rPr>
              <w:t xml:space="preserve"> de NTCIP 1202 v03B (phaseMinimumGreen, phaseYellowChange, phaseRedClear, phaseStatusGroupReds/Yellows/Greens), verificados a mano contra el PDF oficial publicado; ciclo real de 4 intervalos en el controlador emulado.</w:t>
            </w:r>
          </w:p>
          <w:p w14:paraId="3A195CD6" w14:textId="77777777" w:rsidR="00906CC6" w:rsidRDefault="00297799">
            <w:pPr>
              <w:spacing w:after="20"/>
              <w:ind w:left="170"/>
            </w:pPr>
            <w:r>
              <w:rPr>
                <w:sz w:val="17"/>
              </w:rPr>
              <w:t>• P3: objetos reales de NTCIP 1211 (bo</w:t>
            </w:r>
            <w:r>
              <w:rPr>
                <w:sz w:val="17"/>
              </w:rPr>
              <w:t>rrador v02A-SE03): SET de prgPriorityRequestAbsolute (29 bytes OER), priorityRequestTable de lectura, RF-05 (clase no reconocida), RF-06 (límites operacionales) y RF-09/RNF-03 (caducidad a 3 s).</w:t>
            </w:r>
          </w:p>
          <w:p w14:paraId="7A0B5016" w14:textId="77777777" w:rsidR="00906CC6" w:rsidRDefault="00297799">
            <w:pPr>
              <w:spacing w:after="20"/>
              <w:ind w:left="170"/>
            </w:pPr>
            <w:r>
              <w:rPr>
                <w:sz w:val="17"/>
              </w:rPr>
              <w:t>• Hoy: RF-06 revisado a pedido — ya no rechaza durante ámbar/</w:t>
            </w:r>
            <w:r>
              <w:rPr>
                <w:sz w:val="17"/>
              </w:rPr>
              <w:t>todo rojo; la solicitud queda en readyQueued y se activa sola al terminar el despeje, si sigue vigente dentro del TTL.</w:t>
            </w:r>
          </w:p>
          <w:p w14:paraId="1F0C4DBC" w14:textId="77777777" w:rsidR="00906CC6" w:rsidRDefault="00297799">
            <w:pPr>
              <w:spacing w:after="20"/>
              <w:ind w:left="170"/>
            </w:pPr>
            <w:r>
              <w:rPr>
                <w:sz w:val="17"/>
              </w:rPr>
              <w:t>• Todo verificado en dos niveles: pruebas unitarias (17 casos) y en vivo contra la Raspberry Pi real (snmpset/snmpwalk/journalctl), no so</w:t>
            </w:r>
            <w:r>
              <w:rPr>
                <w:sz w:val="17"/>
              </w:rPr>
              <w:t>lo en forma local.</w:t>
            </w:r>
          </w:p>
          <w:p w14:paraId="360EF4F2" w14:textId="77777777" w:rsidR="00906CC6" w:rsidRDefault="00297799">
            <w:pPr>
              <w:spacing w:before="80" w:after="20"/>
            </w:pPr>
            <w:r>
              <w:rPr>
                <w:b/>
                <w:sz w:val="19"/>
                <w:u w:val="single"/>
              </w:rPr>
              <w:t>Hallazgos</w:t>
            </w:r>
          </w:p>
          <w:p w14:paraId="76D7C4F9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7"/>
              </w:rPr>
              <w:t xml:space="preserve">• Objeto inexistente en main.tex: </w:t>
            </w:r>
            <w:r>
              <w:rPr>
                <w:sz w:val="17"/>
              </w:rPr>
              <w:t>se citaba phaseStatusCurrentGroup, que no existe en NTCIP 1202 v03B; el objeto real es el conjunto phaseStatusGroupReds/Yellows/Greens. Ya corregido en la tesis.</w:t>
            </w:r>
          </w:p>
          <w:p w14:paraId="4EAC7539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7"/>
              </w:rPr>
              <w:t xml:space="preserve">• Deriva de reloj laptop↔Pi: </w:t>
            </w:r>
            <w:r>
              <w:rPr>
                <w:sz w:val="17"/>
              </w:rPr>
              <w:t>con W32Time detenido, el desfase acumulado llegó a ~194 ms. Al activarlo, Windows corrige por "slew" gradual (~4 ms/min), no de un salto, incluso forzando /resync /force; la convergencia completa habría tomado 40–50 min. Se ado</w:t>
            </w:r>
            <w:r>
              <w:rPr>
                <w:sz w:val="17"/>
              </w:rPr>
              <w:t>ptó medir el offset en el momento de cada corrida y corregir analíticamente.</w:t>
            </w:r>
          </w:p>
          <w:p w14:paraId="4919F3C8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7"/>
              </w:rPr>
              <w:t xml:space="preserve">• Bug de pysnmp con ACCESS write-only: </w:t>
            </w:r>
            <w:r>
              <w:rPr>
                <w:sz w:val="17"/>
              </w:rPr>
              <w:t>declarar 'writeonly' (como exige la norma para prgPriorityRequestAbsolute) bloquea también la escritura, porque pysnmp solo reconoce 'readon</w:t>
            </w:r>
            <w:r>
              <w:rPr>
                <w:sz w:val="17"/>
              </w:rPr>
              <w:t>ly'/'readwrite'/'readcreate'. Solución: declarar 'readwrite' y preservar la semántica write-only en la propia instancia (el GET siempre devuelve vacío).</w:t>
            </w:r>
          </w:p>
          <w:p w14:paraId="03AA24F7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7"/>
              </w:rPr>
              <w:t xml:space="preserve">• Codificación OER de 29 bytes: </w:t>
            </w:r>
            <w:r>
              <w:rPr>
                <w:sz w:val="17"/>
              </w:rPr>
              <w:t>prgPriorityRequestAbsolute se codifica como la concatenación de 8 campo</w:t>
            </w:r>
            <w:r>
              <w:rPr>
                <w:sz w:val="17"/>
              </w:rPr>
              <w:t>s de ancho fijo, big-endian, sin preámbulo (no hay OPTIONAL/DEFAULT en el SEQUENCE). Implementado y probado con 17 casos unitarios; el orden de campos sale del borrador v02A-SE03 (2017), pendiente de confirmar contra la versión publicada (correo a NEMA sin</w:t>
            </w:r>
            <w:r>
              <w:rPr>
                <w:sz w:val="17"/>
              </w:rPr>
              <w:t xml:space="preserve"> respuesta a la fecha).</w:t>
            </w:r>
          </w:p>
          <w:p w14:paraId="3158BB06" w14:textId="77777777" w:rsidR="00906CC6" w:rsidRDefault="00297799">
            <w:pPr>
              <w:spacing w:before="80" w:after="20"/>
            </w:pPr>
            <w:r>
              <w:rPr>
                <w:b/>
                <w:sz w:val="19"/>
                <w:u w:val="single"/>
              </w:rPr>
              <w:t>Decisiones que necesito que el asesor tome</w:t>
            </w:r>
          </w:p>
          <w:p w14:paraId="340B9DDC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6"/>
              </w:rPr>
              <w:t xml:space="preserve">• 1) TLSTM frente a USM (G1): </w:t>
            </w:r>
            <w:r>
              <w:rPr>
                <w:sz w:val="16"/>
              </w:rPr>
              <w:t>aún no se verificó experimentalmente si pysnmp soporta TLSTM (RFC 6353) — esa verificación está programada recién para P4, no hecha todavía. El prototipo usa h</w:t>
            </w:r>
            <w:r>
              <w:rPr>
                <w:sz w:val="16"/>
              </w:rPr>
              <w:t>oy USM (auth SHA-1 / priv AES-128) por ser más simple de levantar, no porque TLSTM ya se haya descartado. Pedido: aprobar continuar con USM como plan A si P4 confirma que pysnmp no soporta TLSTM maduro, y ajustar ssec:sel_snmp/ssec:seg_tlstm en ese caso.</w:t>
            </w:r>
          </w:p>
          <w:p w14:paraId="3CB3E21B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6"/>
              </w:rPr>
              <w:t>•</w:t>
            </w:r>
            <w:r>
              <w:rPr>
                <w:b/>
                <w:sz w:val="16"/>
              </w:rPr>
              <w:t xml:space="preserve"> 2) Retirar NTCIP 1209 del OE3: </w:t>
            </w:r>
            <w:r>
              <w:rPr>
                <w:sz w:val="16"/>
              </w:rPr>
              <w:t xml:space="preserve">ya retirado y confirmado en main.tex (ssec:alcance, ssec:mw_1202_1209 y la lista de trabajo futuro declaran explícitamente que 1209 queda fuera de esta etapa). Se presenta como confirmación, no </w:t>
            </w:r>
            <w:r>
              <w:rPr>
                <w:sz w:val="16"/>
              </w:rPr>
              <w:lastRenderedPageBreak/>
              <w:t>como decisión pendiente.</w:t>
            </w:r>
          </w:p>
          <w:p w14:paraId="5BF5EFD6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6"/>
              </w:rPr>
              <w:t xml:space="preserve">• 3) </w:t>
            </w:r>
            <w:r>
              <w:rPr>
                <w:b/>
                <w:sz w:val="16"/>
              </w:rPr>
              <w:t xml:space="preserve">OBU como programa Python vs. app Android nativa: </w:t>
            </w:r>
            <w:r>
              <w:rPr>
                <w:sz w:val="16"/>
              </w:rPr>
              <w:t>main.tex (ssec:app) especifica una app nativa en Kotlin para Android, justificada por el acceso Bluetooth SPP que exige RF-01 (OBD-II). El prototipo actual (gateway/obu_simulator.py) es, en cambio, un script</w:t>
            </w:r>
            <w:r>
              <w:rPr>
                <w:sz w:val="16"/>
              </w:rPr>
              <w:t xml:space="preserve"> Python que solo simula el envío M1 por MQTT, sin OBD-II ni GNSS reales. Pedido: decidir si el camino de implementación final sigue siendo la app Android de main.tex, o si se reemplaza por un programa Python sobre el enlace celular del teléfono — en ese se</w:t>
            </w:r>
            <w:r>
              <w:rPr>
                <w:sz w:val="16"/>
              </w:rPr>
              <w:t>gundo caso hay que reescribir ssec:app y la justificación de RF-01.</w:t>
            </w:r>
          </w:p>
          <w:p w14:paraId="04FED045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6"/>
              </w:rPr>
              <w:t xml:space="preserve">• 4) Broker EMQX Cloud (us-east-1) frente a uno local: </w:t>
            </w:r>
            <w:r>
              <w:rPr>
                <w:sz w:val="16"/>
              </w:rPr>
              <w:t>se provisionó un despliegue EMQX Cloud Serverless el 2026-10-04 (gratuito, Running), pero P0–P3 se verificaron contra mosquitto local</w:t>
            </w:r>
            <w:r>
              <w:rPr>
                <w:sz w:val="16"/>
              </w:rPr>
              <w:t xml:space="preserve"> en la propia RSU (127.0.0.1:1883), no contra EMQX. Falta decidir cuál usa el prototipo final y medir el efecto del salto Lima–Virginia (us-east-1) sobre la latencia reportada en 4.3.</w:t>
            </w:r>
          </w:p>
          <w:p w14:paraId="3E888D48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6"/>
              </w:rPr>
              <w:t xml:space="preserve">• 5) MIB de NTCIP 1211 del borrador 2017: </w:t>
            </w:r>
            <w:r>
              <w:rPr>
                <w:sz w:val="16"/>
              </w:rPr>
              <w:t xml:space="preserve">se implementó con el borrador </w:t>
            </w:r>
            <w:r>
              <w:rPr>
                <w:sz w:val="16"/>
              </w:rPr>
              <w:t>v02A-SE03 (2017) a falta de la versión publicada v02 (2014); se pidió a ntcip@nema.org (correo_nema.md) y no hay respuesta a la fecha de este reporte. Pedido: aceptar esta limitación declarada mientras se espera la respuesta, o definir una fecha límite par</w:t>
            </w:r>
            <w:r>
              <w:rPr>
                <w:sz w:val="16"/>
              </w:rPr>
              <w:t>a seguir sin confirmación.</w:t>
            </w:r>
          </w:p>
          <w:p w14:paraId="17A0CF10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6"/>
              </w:rPr>
              <w:t xml:space="preserve">• 6) Retiro del enlace I2I: </w:t>
            </w:r>
            <w:r>
              <w:rPr>
                <w:sz w:val="16"/>
              </w:rPr>
              <w:t>ya retirado y confirmado — 5 commits en el repo de la tesis (7f56bc0, acbe312, 662f2f3, fff0a1e, 5e4c79e) eliminaron por completo el enlace I2I, la coordinación de ola verde y toda mención a Wi-SUN/wat</w:t>
            </w:r>
            <w:r>
              <w:rPr>
                <w:sz w:val="16"/>
              </w:rPr>
              <w:t>chdog del documento, a pedido explícito del autor. Se presenta como confirmación, no como decisión pendiente.</w:t>
            </w:r>
          </w:p>
          <w:p w14:paraId="0F344C5E" w14:textId="77777777" w:rsidR="00906CC6" w:rsidRDefault="00297799">
            <w:pPr>
              <w:spacing w:before="80" w:after="20"/>
            </w:pPr>
            <w:r>
              <w:rPr>
                <w:b/>
                <w:sz w:val="19"/>
                <w:u w:val="single"/>
              </w:rPr>
              <w:t>Próximos pasos (docs/PLAN_IMPLEMENTACION.md)</w:t>
            </w:r>
          </w:p>
          <w:p w14:paraId="6462646C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6"/>
              </w:rPr>
              <w:t xml:space="preserve">• 19–25 oct.: </w:t>
            </w:r>
            <w:r>
              <w:rPr>
                <w:sz w:val="16"/>
              </w:rPr>
              <w:t>P4 — CA propia y mTLS en Mosquitto (TLS 1.3); decisión TLSTM/USM (G1). P5 — OBU simulad</w:t>
            </w:r>
            <w:r>
              <w:rPr>
                <w:sz w:val="16"/>
              </w:rPr>
              <w:t>a con geocerca (RF-01 a RF-04, RF-14).</w:t>
            </w:r>
          </w:p>
          <w:p w14:paraId="2DB37EDE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6"/>
              </w:rPr>
              <w:t xml:space="preserve">• 26 oct.–1 nov.: </w:t>
            </w:r>
            <w:r>
              <w:rPr>
                <w:sz w:val="16"/>
              </w:rPr>
              <w:t>P6 — RSU por 4G (SIM7670G); lectura OBD-II real (P7); campaña de latencia V2I (sección 4.3).</w:t>
            </w:r>
          </w:p>
          <w:p w14:paraId="5A16D93F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6"/>
              </w:rPr>
              <w:t xml:space="preserve">• 2–8 nov.: </w:t>
            </w:r>
            <w:r>
              <w:rPr>
                <w:sz w:val="16"/>
              </w:rPr>
              <w:t xml:space="preserve">P8 — segunda RSU, chrony y M4 a 1 Hz; campaña de sincronización (4.4). P9 — lazo </w:t>
            </w:r>
            <w:r>
              <w:rPr>
                <w:sz w:val="16"/>
              </w:rPr>
              <w:t>completo OBU→RSU→controlador (4.5).</w:t>
            </w:r>
          </w:p>
          <w:p w14:paraId="3999347B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6"/>
              </w:rPr>
              <w:t xml:space="preserve">• 9–15 nov.: </w:t>
            </w:r>
            <w:r>
              <w:rPr>
                <w:sz w:val="16"/>
              </w:rPr>
              <w:t>Capítulo IV: pruebas de seguridad (4.6), tabla de cumplimiento (4.7), discusión (4.8), conclusiones por OE.</w:t>
            </w:r>
          </w:p>
          <w:p w14:paraId="457F306B" w14:textId="77777777" w:rsidR="00906CC6" w:rsidRDefault="00297799">
            <w:pPr>
              <w:spacing w:after="20"/>
              <w:ind w:left="170"/>
            </w:pPr>
            <w:r>
              <w:rPr>
                <w:b/>
                <w:sz w:val="16"/>
              </w:rPr>
              <w:t xml:space="preserve">• 16–20 nov.: </w:t>
            </w:r>
            <w:r>
              <w:rPr>
                <w:sz w:val="16"/>
              </w:rPr>
              <w:t>Revisión final y entrega. Sin desarrollo nuevo.</w:t>
            </w:r>
          </w:p>
        </w:tc>
      </w:tr>
      <w:tr w:rsidR="00906CC6" w14:paraId="16A42C32" w14:textId="77777777">
        <w:tc>
          <w:tcPr>
            <w:tcW w:w="1474" w:type="dxa"/>
            <w:shd w:val="clear" w:color="auto" w:fill="D9D9D9"/>
          </w:tcPr>
          <w:p w14:paraId="06D4F267" w14:textId="77777777" w:rsidR="00906CC6" w:rsidRDefault="00297799">
            <w:r>
              <w:rPr>
                <w:b/>
                <w:sz w:val="15"/>
              </w:rPr>
              <w:lastRenderedPageBreak/>
              <w:t>A SER LLENADO POR EL ASESOR / ASESOR</w:t>
            </w:r>
            <w:r>
              <w:rPr>
                <w:b/>
                <w:sz w:val="15"/>
              </w:rPr>
              <w:t>A</w:t>
            </w:r>
          </w:p>
        </w:tc>
        <w:tc>
          <w:tcPr>
            <w:tcW w:w="8731" w:type="dxa"/>
          </w:tcPr>
          <w:p w14:paraId="326414C3" w14:textId="77777777" w:rsidR="00906CC6" w:rsidRDefault="00297799">
            <w:r>
              <w:rPr>
                <w:b/>
              </w:rPr>
              <w:t xml:space="preserve">Conclusiones de la reunión: </w:t>
            </w:r>
          </w:p>
          <w:p w14:paraId="447D5149" w14:textId="77777777" w:rsidR="00906CC6" w:rsidRDefault="00906CC6"/>
        </w:tc>
      </w:tr>
    </w:tbl>
    <w:p w14:paraId="3340495D" w14:textId="77777777" w:rsidR="00906CC6" w:rsidRDefault="00906CC6"/>
    <w:tbl>
      <w:tblPr>
        <w:tblW w:w="0" w:type="auto"/>
        <w:tblLook w:val="04A0" w:firstRow="1" w:lastRow="0" w:firstColumn="1" w:lastColumn="0" w:noHBand="0" w:noVBand="1"/>
      </w:tblPr>
      <w:tblGrid>
        <w:gridCol w:w="5811"/>
        <w:gridCol w:w="5811"/>
      </w:tblGrid>
      <w:tr w:rsidR="00906CC6" w14:paraId="0C8E2AD5" w14:textId="77777777">
        <w:tc>
          <w:tcPr>
            <w:tcW w:w="5811" w:type="dxa"/>
          </w:tcPr>
          <w:p w14:paraId="444B4E66" w14:textId="77777777" w:rsidR="00906CC6" w:rsidRDefault="00297799">
            <w:r>
              <w:t>_____________________________</w:t>
            </w:r>
          </w:p>
        </w:tc>
        <w:tc>
          <w:tcPr>
            <w:tcW w:w="5811" w:type="dxa"/>
          </w:tcPr>
          <w:p w14:paraId="180B8230" w14:textId="77777777" w:rsidR="00906CC6" w:rsidRDefault="00297799">
            <w:r>
              <w:t>_____________________________</w:t>
            </w:r>
          </w:p>
        </w:tc>
      </w:tr>
      <w:tr w:rsidR="00906CC6" w14:paraId="1C5E766A" w14:textId="77777777">
        <w:tc>
          <w:tcPr>
            <w:tcW w:w="5811" w:type="dxa"/>
          </w:tcPr>
          <w:p w14:paraId="450DD41E" w14:textId="77777777" w:rsidR="00906CC6" w:rsidRDefault="00297799">
            <w:r>
              <w:rPr>
                <w:b/>
              </w:rPr>
              <w:t>Firma de alumno/alumna</w:t>
            </w:r>
          </w:p>
        </w:tc>
        <w:tc>
          <w:tcPr>
            <w:tcW w:w="5811" w:type="dxa"/>
          </w:tcPr>
          <w:p w14:paraId="3E8F5937" w14:textId="77777777" w:rsidR="00906CC6" w:rsidRDefault="00297799">
            <w:r>
              <w:rPr>
                <w:b/>
              </w:rPr>
              <w:t>Firma del asesor/asesora</w:t>
            </w:r>
          </w:p>
        </w:tc>
      </w:tr>
    </w:tbl>
    <w:p w14:paraId="6EF17568" w14:textId="77777777" w:rsidR="00000000" w:rsidRDefault="00297799"/>
    <w:sectPr w:rsidR="00000000" w:rsidSect="00034616">
      <w:pgSz w:w="11906" w:h="16838"/>
      <w:pgMar w:top="113" w:right="113" w:bottom="113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799"/>
    <w:rsid w:val="00326F90"/>
    <w:rsid w:val="00906C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84785BB"/>
  <w14:defaultImageDpi w14:val="300"/>
  <w15:docId w15:val="{AD21C60D-A264-4D2D-92DC-DFE54AF5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1121</Words>
  <Characters>6335</Characters>
  <Application>Microsoft Office Word</Application>
  <DocSecurity>0</DocSecurity>
  <Lines>119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uribe bejarano</cp:lastModifiedBy>
  <cp:revision>2</cp:revision>
  <cp:lastPrinted>2026-10-12T01:14:00Z</cp:lastPrinted>
  <dcterms:created xsi:type="dcterms:W3CDTF">2013-12-23T23:15:00Z</dcterms:created>
  <dcterms:modified xsi:type="dcterms:W3CDTF">2026-10-12T01:14:00Z</dcterms:modified>
  <cp:category/>
</cp:coreProperties>
</file>