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9" w:name="асу-гтк"/>
    <w:p>
      <w:pPr>
        <w:pStyle w:val="Heading2"/>
      </w:pPr>
      <w:r>
        <w:t xml:space="preserve">АСУ ГТК</w:t>
      </w:r>
    </w:p>
    <w:p>
      <w:pPr>
        <w:pStyle w:val="FirstParagraph"/>
      </w:pPr>
      <w:r>
        <w:t xml:space="preserve">Автоматизированная Система Управления Горно-Транспортным Комплексом — основная система для сбора телеметрии, контроля и диспетчеризации в горнодобыче.</w:t>
      </w:r>
    </w:p>
    <w:bookmarkEnd w:id="9"/>
    <w:bookmarkStart w:id="10" w:name="бвр"/>
    <w:p>
      <w:pPr>
        <w:pStyle w:val="Heading2"/>
      </w:pPr>
      <w:r>
        <w:t xml:space="preserve">БВР</w:t>
      </w:r>
    </w:p>
    <w:p>
      <w:pPr>
        <w:pStyle w:val="FirstParagraph"/>
      </w:pPr>
      <w:r>
        <w:t xml:space="preserve">Бурение-Взрывные Работы — процесс подготовки горной массы к добыче, включает бурение и взрывы; требует аналитики качества.</w:t>
      </w:r>
    </w:p>
    <w:bookmarkEnd w:id="10"/>
    <w:bookmarkStart w:id="11" w:name="борт"/>
    <w:p>
      <w:pPr>
        <w:pStyle w:val="Heading2"/>
      </w:pPr>
      <w:r>
        <w:t xml:space="preserve">Борт</w:t>
      </w:r>
    </w:p>
    <w:p>
      <w:pPr>
        <w:pStyle w:val="FirstParagraph"/>
      </w:pPr>
      <w:r>
        <w:t xml:space="preserve">Комплект оборудования на технике (железо + ПО + сервисное ПО) для сбора данных и взаимодействия с сервером.</w:t>
      </w:r>
    </w:p>
    <w:bookmarkEnd w:id="11"/>
    <w:bookmarkStart w:id="12" w:name="вшт"/>
    <w:p>
      <w:pPr>
        <w:pStyle w:val="Heading2"/>
      </w:pPr>
      <w:r>
        <w:t xml:space="preserve">ВШТ</w:t>
      </w:r>
    </w:p>
    <w:p>
      <w:pPr>
        <w:pStyle w:val="FirstParagraph"/>
      </w:pPr>
      <w:r>
        <w:t xml:space="preserve">Внутришахтный Транспорт — система перемещения материалов внутри шахты (локомотивы, вагонетки); включает циклы операций.</w:t>
      </w:r>
    </w:p>
    <w:bookmarkEnd w:id="12"/>
    <w:bookmarkStart w:id="13" w:name="геозона"/>
    <w:p>
      <w:pPr>
        <w:pStyle w:val="Heading2"/>
      </w:pPr>
      <w:r>
        <w:t xml:space="preserve">Геозона</w:t>
      </w:r>
    </w:p>
    <w:p>
      <w:pPr>
        <w:pStyle w:val="FirstParagraph"/>
      </w:pPr>
      <w:r>
        <w:t xml:space="preserve">Определенная область на карте карьера для контроля позиций техники; используется в редакторе для маршрутов и ограничений.</w:t>
      </w:r>
    </w:p>
    <w:bookmarkEnd w:id="13"/>
    <w:bookmarkStart w:id="14" w:name="киг"/>
    <w:p>
      <w:pPr>
        <w:pStyle w:val="Heading2"/>
      </w:pPr>
      <w:r>
        <w:t xml:space="preserve">КИГ</w:t>
      </w:r>
    </w:p>
    <w:p>
      <w:pPr>
        <w:pStyle w:val="FirstParagraph"/>
      </w:pPr>
      <w:r>
        <w:t xml:space="preserve">Коэффициент Использования Грузоподъемности — метрика загрузки самосвалов; рассчитывается для предотвращения недогрузов/перегрузов.</w:t>
      </w:r>
    </w:p>
    <w:bookmarkEnd w:id="14"/>
    <w:bookmarkStart w:id="15" w:name="кио"/>
    <w:p>
      <w:pPr>
        <w:pStyle w:val="Heading2"/>
      </w:pPr>
      <w:r>
        <w:t xml:space="preserve">КИО</w:t>
      </w:r>
    </w:p>
    <w:p>
      <w:pPr>
        <w:pStyle w:val="FirstParagraph"/>
      </w:pPr>
      <w:r>
        <w:t xml:space="preserve">Коэффициент Использования Оборудования — показатель эффективности использования техники (работа vs. простой).</w:t>
      </w:r>
    </w:p>
    <w:bookmarkEnd w:id="15"/>
    <w:bookmarkStart w:id="16" w:name="ктг"/>
    <w:p>
      <w:pPr>
        <w:pStyle w:val="Heading2"/>
      </w:pPr>
      <w:r>
        <w:t xml:space="preserve">КТГ</w:t>
      </w:r>
    </w:p>
    <w:p>
      <w:pPr>
        <w:pStyle w:val="FirstParagraph"/>
      </w:pPr>
      <w:r>
        <w:t xml:space="preserve">Коэффициент Технической Готовности — метрика готовности оборудования к работе (учет ремонтов и простоев).</w:t>
      </w:r>
    </w:p>
    <w:bookmarkEnd w:id="16"/>
    <w:bookmarkStart w:id="17" w:name="машиносмена"/>
    <w:p>
      <w:pPr>
        <w:pStyle w:val="Heading2"/>
      </w:pPr>
      <w:r>
        <w:t xml:space="preserve">Машиносмена</w:t>
      </w:r>
    </w:p>
    <w:p>
      <w:pPr>
        <w:pStyle w:val="FirstParagraph"/>
      </w:pPr>
      <w:r>
        <w:t xml:space="preserve">Период работы техники в одну смену (обычно 12 часов); используется для учета наработки и планирования.</w:t>
      </w:r>
    </w:p>
    <w:bookmarkEnd w:id="17"/>
    <w:bookmarkStart w:id="18" w:name="моточасы"/>
    <w:p>
      <w:pPr>
        <w:pStyle w:val="Heading2"/>
      </w:pPr>
      <w:r>
        <w:t xml:space="preserve">Моточасы</w:t>
      </w:r>
    </w:p>
    <w:p>
      <w:pPr>
        <w:pStyle w:val="FirstParagraph"/>
      </w:pPr>
      <w:r>
        <w:t xml:space="preserve">Общее время работы двигателя техники; ключевой параметр для диагностики и ТО.</w:t>
      </w:r>
    </w:p>
    <w:bookmarkEnd w:id="18"/>
    <w:bookmarkStart w:id="19" w:name="наряд-задание"/>
    <w:p>
      <w:pPr>
        <w:pStyle w:val="Heading2"/>
      </w:pPr>
      <w:r>
        <w:t xml:space="preserve">Наряд-задание</w:t>
      </w:r>
    </w:p>
    <w:p>
      <w:pPr>
        <w:pStyle w:val="FirstParagraph"/>
      </w:pPr>
      <w:r>
        <w:t xml:space="preserve">Сменное задание для техники или оператора (маршрут, объем, место); выдается диспетчером или автоматически.</w:t>
      </w:r>
    </w:p>
    <w:bookmarkEnd w:id="19"/>
    <w:bookmarkStart w:id="20" w:name="oee"/>
    <w:p>
      <w:pPr>
        <w:pStyle w:val="Heading2"/>
      </w:pPr>
      <w:r>
        <w:t xml:space="preserve">OEE</w:t>
      </w:r>
    </w:p>
    <w:p>
      <w:pPr>
        <w:pStyle w:val="FirstParagraph"/>
      </w:pPr>
      <w:r>
        <w:t xml:space="preserve">Overall Equipment Effectiveness — комплексный коэффициент эффективности оборудования (доступность, производительность, качество).</w:t>
      </w:r>
    </w:p>
    <w:bookmarkEnd w:id="20"/>
    <w:bookmarkStart w:id="21" w:name="пдм"/>
    <w:p>
      <w:pPr>
        <w:pStyle w:val="Heading2"/>
      </w:pPr>
      <w:r>
        <w:t xml:space="preserve">ПДМ</w:t>
      </w:r>
    </w:p>
    <w:p>
      <w:pPr>
        <w:pStyle w:val="FirstParagraph"/>
      </w:pPr>
      <w:r>
        <w:t xml:space="preserve">Погрузочно-Доставочная Машина — техника для погрузки и доставки горной массы в подземных работах; имеет циклы черпания.</w:t>
      </w:r>
    </w:p>
    <w:bookmarkEnd w:id="21"/>
    <w:bookmarkStart w:id="22" w:name="пр"/>
    <w:p>
      <w:pPr>
        <w:pStyle w:val="Heading2"/>
      </w:pPr>
      <w:r>
        <w:t xml:space="preserve">ПР</w:t>
      </w:r>
    </w:p>
    <w:p>
      <w:pPr>
        <w:pStyle w:val="FirstParagraph"/>
      </w:pPr>
      <w:r>
        <w:t xml:space="preserve">Пункт Разгрузки — место выгрузки горной массы (склад, дробилка); учитывается в маршрутах и балансе потоков.</w:t>
      </w:r>
    </w:p>
    <w:bookmarkEnd w:id="22"/>
    <w:bookmarkStart w:id="23" w:name="сбу"/>
    <w:p>
      <w:pPr>
        <w:pStyle w:val="Heading2"/>
      </w:pPr>
      <w:r>
        <w:t xml:space="preserve">СБУ</w:t>
      </w:r>
    </w:p>
    <w:p>
      <w:pPr>
        <w:pStyle w:val="FirstParagraph"/>
      </w:pPr>
      <w:r>
        <w:t xml:space="preserve">Самоходная Буровая Установка — техника для бурения скважин; циклы включают позиционирование и бурение.</w:t>
      </w:r>
    </w:p>
    <w:bookmarkEnd w:id="23"/>
    <w:bookmarkStart w:id="24" w:name="скз"/>
    <w:p>
      <w:pPr>
        <w:pStyle w:val="Heading2"/>
      </w:pPr>
      <w:r>
        <w:t xml:space="preserve">СКЗ</w:t>
      </w:r>
    </w:p>
    <w:p>
      <w:pPr>
        <w:pStyle w:val="FirstParagraph"/>
      </w:pPr>
      <w:r>
        <w:t xml:space="preserve">Система Контроля Загрузки — датчики на самосвалах для измерения веса груза; интегрируется для расчета КИГ.</w:t>
      </w:r>
    </w:p>
    <w:bookmarkEnd w:id="24"/>
    <w:bookmarkStart w:id="25" w:name="скип"/>
    <w:p>
      <w:pPr>
        <w:pStyle w:val="Heading2"/>
      </w:pPr>
      <w:r>
        <w:t xml:space="preserve">Скип</w:t>
      </w:r>
    </w:p>
    <w:p>
      <w:pPr>
        <w:pStyle w:val="FirstParagraph"/>
      </w:pPr>
      <w:r>
        <w:t xml:space="preserve">Подъемник для вертикального транспорта материалов в шахте; часть сквозных процессов.</w:t>
      </w:r>
    </w:p>
    <w:bookmarkEnd w:id="25"/>
    <w:bookmarkStart w:id="26" w:name="статус-оборудования"/>
    <w:p>
      <w:pPr>
        <w:pStyle w:val="Heading2"/>
      </w:pPr>
      <w:r>
        <w:t xml:space="preserve">Статус оборудования</w:t>
      </w:r>
    </w:p>
    <w:p>
      <w:pPr>
        <w:pStyle w:val="FirstParagraph"/>
      </w:pPr>
      <w:r>
        <w:t xml:space="preserve">Текущее состояние техники (работа, простой с причиной); определяет цветовую индикацию и аналитику.</w:t>
      </w:r>
    </w:p>
    <w:bookmarkEnd w:id="26"/>
    <w:bookmarkStart w:id="27" w:name="субблок"/>
    <w:p>
      <w:pPr>
        <w:pStyle w:val="Heading2"/>
      </w:pPr>
      <w:r>
        <w:t xml:space="preserve">Субблок</w:t>
      </w:r>
    </w:p>
    <w:p>
      <w:pPr>
        <w:pStyle w:val="FirstParagraph"/>
      </w:pPr>
      <w:r>
        <w:t xml:space="preserve">Подраздел блока горной массы; используется для учета выработки и качества материала.</w:t>
      </w:r>
    </w:p>
    <w:bookmarkEnd w:id="27"/>
    <w:bookmarkStart w:id="28" w:name="то"/>
    <w:p>
      <w:pPr>
        <w:pStyle w:val="Heading2"/>
      </w:pPr>
      <w:r>
        <w:t xml:space="preserve">ТО</w:t>
      </w:r>
    </w:p>
    <w:p>
      <w:pPr>
        <w:pStyle w:val="FirstParagraph"/>
      </w:pPr>
      <w:r>
        <w:t xml:space="preserve">Техническое Обслуживание — плановые или внеплановые работы по ремонту; влияет на КТГ и расписание.</w:t>
      </w:r>
    </w:p>
    <w:bookmarkEnd w:id="28"/>
    <w:bookmarkStart w:id="29" w:name="цикл-перевозки"/>
    <w:p>
      <w:pPr>
        <w:pStyle w:val="Heading2"/>
      </w:pPr>
      <w:r>
        <w:t xml:space="preserve">Цикл перевозки</w:t>
      </w:r>
    </w:p>
    <w:p>
      <w:pPr>
        <w:pStyle w:val="FirstParagraph"/>
      </w:pPr>
      <w:r>
        <w:t xml:space="preserve">Рейс самосвала (погрузка — груженый — разгрузка — порожний); базовая единица для аналитики.</w:t>
      </w:r>
    </w:p>
    <w:bookmarkEnd w:id="29"/>
    <w:bookmarkStart w:id="30" w:name="цикл-черпания"/>
    <w:p>
      <w:pPr>
        <w:pStyle w:val="Heading2"/>
      </w:pPr>
      <w:r>
        <w:t xml:space="preserve">Цикл черпания</w:t>
      </w:r>
    </w:p>
    <w:p>
      <w:pPr>
        <w:pStyle w:val="FirstParagraph"/>
      </w:pPr>
      <w:r>
        <w:t xml:space="preserve">Операция погрузочной техники (черпание — высыпание); для экскаваторов, ПДМ.</w:t>
      </w:r>
    </w:p>
    <w:bookmarkEnd w:id="30"/>
    <w:bookmarkStart w:id="31" w:name="шас"/>
    <w:p>
      <w:pPr>
        <w:pStyle w:val="Heading2"/>
      </w:pPr>
      <w:r>
        <w:t xml:space="preserve">ШАС</w:t>
      </w:r>
    </w:p>
    <w:p>
      <w:pPr>
        <w:pStyle w:val="FirstParagraph"/>
      </w:pPr>
      <w:r>
        <w:t xml:space="preserve">Шахтный Автомобильный Самосвал — самосвал для подземных работ; циклы аналогичны наземным.</w:t>
      </w:r>
    </w:p>
    <w:bookmarkEnd w:id="31"/>
    <w:bookmarkStart w:id="32" w:name="шихт-пакет"/>
    <w:p>
      <w:pPr>
        <w:pStyle w:val="Heading2"/>
      </w:pPr>
      <w:r>
        <w:t xml:space="preserve">Шихт-пакет</w:t>
      </w:r>
    </w:p>
    <w:p>
      <w:pPr>
        <w:pStyle w:val="FirstParagraph"/>
      </w:pPr>
      <w:r>
        <w:t xml:space="preserve">Состав смеси горной массы для переработки; контролируется для качества на складе.</w:t>
      </w:r>
    </w:p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2025-09-25T10:03:01Z</dcterms:created>
  <dcterms:modified xsi:type="dcterms:W3CDTF">2025-09-25T10:03:01Z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