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A376C"/>
          <w:sz w:val="72"/>
        </w:rPr>
        <w:t>PEPTIDERANK AI</w:t>
      </w:r>
    </w:p>
    <w:p>
      <w:pPr>
        <w:jc w:val="center"/>
      </w:pPr>
      <w:r>
        <w:rPr>
          <w:rFonts w:ascii="Arial" w:hAnsi="Arial"/>
          <w:color w:val="008B8B"/>
          <w:sz w:val="28"/>
        </w:rPr>
        <w:t>The Definitive AI-Powered Peptide Vendor Intelligence &amp; Ranking Platform</w:t>
      </w:r>
    </w:p>
    <w:p/>
    <w:p>
      <w:pPr>
        <w:spacing w:before="0" w:after="0"/>
        <w:pBdr>
          <w:bottom w:val="single" w:sz="16" w:space="1" w:color="008B8B"/>
        </w:pBdr>
      </w:pPr>
    </w:p>
    <w:p>
      <w:pPr>
        <w:spacing w:before="0" w:after="0"/>
        <w:pBdr>
          <w:bottom w:val="single" w:sz="6" w:space="1" w:color="1A376C"/>
        </w:pBdr>
      </w:pPr>
    </w:p>
    <w:p/>
    <w:p>
      <w:pPr>
        <w:jc w:val="center"/>
      </w:pPr>
      <w:r>
        <w:rPr>
          <w:rFonts w:ascii="Arial" w:hAnsi="Arial"/>
          <w:i/>
          <w:color w:val="8A96A8"/>
          <w:sz w:val="22"/>
        </w:rPr>
        <w:t>BUSINESS PLAN  ·  CONFIDENTIAL  ·  MARCH 2026</w:t>
      </w:r>
    </w:p>
    <w:p/>
    <w:p/>
    <w:p>
      <w:pPr>
        <w:jc w:val="center"/>
      </w:pPr>
      <w:r>
        <w:rPr>
          <w:rFonts w:ascii="Arial" w:hAnsi="Arial"/>
          <w:i/>
          <w:color w:val="1A376C"/>
          <w:sz w:val="24"/>
        </w:rPr>
        <w:t>"Bringing radical transparency to the peptide research supply chain</w:t>
        <w:br/>
        <w:t>through daily AI-driven data aggregation, scoring, and public rankings."</w:t>
      </w:r>
    </w:p>
    <w:p>
      <w:r>
        <w:br w:type="page"/>
      </w:r>
    </w:p>
    <w:p>
      <w:pPr>
        <w:spacing w:before="440" w:after="80"/>
      </w:pPr>
      <w:r>
        <w:rPr>
          <w:rFonts w:ascii="Arial" w:hAnsi="Arial"/>
          <w:b/>
          <w:color w:val="1A376C"/>
          <w:sz w:val="30"/>
        </w:rPr>
        <w:t>EXECUTIVE SUMMARY</w:t>
      </w:r>
    </w:p>
    <w:p>
      <w:pPr>
        <w:spacing w:before="0" w:after="0"/>
        <w:pBdr>
          <w:bottom w:val="single" w:sz="10" w:space="1" w:color="1A376C"/>
        </w:pBdr>
      </w:pPr>
    </w:p>
    <w:p>
      <w:pPr>
        <w:spacing w:before="40" w:after="120"/>
      </w:pPr>
      <w:r>
        <w:rPr>
          <w:rFonts w:ascii="Arial" w:hAnsi="Arial"/>
          <w:color w:val="1A1A1A"/>
          <w:sz w:val="21"/>
        </w:rPr>
        <w:t>PeptideRank AI is a B2B2C SaaS and media platform that automatically aggregates, analyzes, and scores every peptide research chemical vendor on the internet. Using a proprietary multi-factor AI scoring engine, the platform produces daily-updated rankings based on five weighted pillars: product purity (COA verification), vendor reputation, customer service responsiveness, community sentiment (Reddit, forums, Discord), and competitive pricing intelligence. The result is the 'Yelp + Trustpilot + Consumer Reports' of the $4.2B global peptide research market — authoritative, real-time, and monetizable.</w:t>
      </w:r>
    </w:p>
    <w:p>
      <w:pPr>
        <w:spacing w:before="40" w:after="120"/>
      </w:pPr>
      <w:r>
        <w:rPr>
          <w:rFonts w:ascii="Arial" w:hAnsi="Arial"/>
          <w:color w:val="1A1A1A"/>
          <w:sz w:val="21"/>
        </w:rPr>
        <w:t>The platform targets three primary revenue streams: a tiered SaaS subscription for vendors who want verified badges and analytics dashboards, lead-generation referral fees from vendors to consumers, and a premium data API sold to institutional researchers, journalists, and regulatory bodies. A 12-month financial model projects break-even by Month 8 and $1.03M ARR by Month 12 with a founding team of four.</w:t>
      </w:r>
    </w:p>
    <w:p>
      <w:pPr>
        <w:spacing w:before="280" w:after="60"/>
      </w:pPr>
      <w:r>
        <w:rPr>
          <w:rFonts w:ascii="Arial" w:hAnsi="Arial"/>
          <w:b/>
          <w:color w:val="008B8B"/>
          <w:sz w:val="24"/>
        </w:rPr>
        <w:t>Key At-a-Glance Metrics</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1A376C"/>
            <w:vAlign w:val="center"/>
          </w:tcPr>
          <w:p>
            <w:pPr>
              <w:jc w:val="center"/>
            </w:pPr>
            <w:r>
              <w:rPr>
                <w:rFonts w:ascii="Arial" w:hAnsi="Arial"/>
                <w:b/>
                <w:color w:val="FFFFFF"/>
                <w:sz w:val="19"/>
              </w:rPr>
              <w:t>Metric</w:t>
            </w:r>
          </w:p>
        </w:tc>
        <w:tc>
          <w:tcPr>
            <w:tcW w:type="dxa" w:w="4320"/>
            <w:shd w:val="clear" w:color="auto" w:fill="1A376C"/>
            <w:vAlign w:val="center"/>
          </w:tcPr>
          <w:p>
            <w:pPr>
              <w:jc w:val="center"/>
            </w:pPr>
            <w:r>
              <w:rPr>
                <w:rFonts w:ascii="Arial" w:hAnsi="Arial"/>
                <w:b/>
                <w:color w:val="FFFFFF"/>
                <w:sz w:val="19"/>
              </w:rPr>
              <w:t>Year 1 Target</w:t>
            </w:r>
          </w:p>
        </w:tc>
      </w:tr>
      <w:tr>
        <w:tc>
          <w:tcPr>
            <w:tcW w:type="dxa" w:w="4320"/>
            <w:shd w:val="clear" w:color="auto" w:fill="F2F5F9"/>
            <w:vAlign w:val="center"/>
          </w:tcPr>
          <w:p>
            <w:pPr>
              <w:jc w:val="left"/>
            </w:pPr>
            <w:r>
              <w:rPr>
                <w:rFonts w:ascii="Arial" w:hAnsi="Arial"/>
                <w:color w:val="1A1A1A"/>
                <w:sz w:val="19"/>
              </w:rPr>
              <w:t>Total Addressable Market (TAM)</w:t>
            </w:r>
          </w:p>
        </w:tc>
        <w:tc>
          <w:tcPr>
            <w:tcW w:type="dxa" w:w="4320"/>
            <w:shd w:val="clear" w:color="auto" w:fill="F2F5F9"/>
            <w:vAlign w:val="center"/>
          </w:tcPr>
          <w:p>
            <w:pPr>
              <w:jc w:val="center"/>
            </w:pPr>
            <w:r>
              <w:rPr>
                <w:rFonts w:ascii="Arial" w:hAnsi="Arial"/>
                <w:color w:val="1A1A1A"/>
                <w:sz w:val="19"/>
              </w:rPr>
              <w:t>$4.2 Billion</w:t>
            </w:r>
          </w:p>
        </w:tc>
      </w:tr>
      <w:tr>
        <w:tc>
          <w:tcPr>
            <w:tcW w:type="dxa" w:w="4320"/>
            <w:shd w:val="clear" w:color="auto" w:fill="FFFFFF"/>
            <w:vAlign w:val="center"/>
          </w:tcPr>
          <w:p>
            <w:pPr>
              <w:jc w:val="left"/>
            </w:pPr>
            <w:r>
              <w:rPr>
                <w:rFonts w:ascii="Arial" w:hAnsi="Arial"/>
                <w:color w:val="1A1A1A"/>
                <w:sz w:val="19"/>
              </w:rPr>
              <w:t>Serviceable Addressable Market (SAM)</w:t>
            </w:r>
          </w:p>
        </w:tc>
        <w:tc>
          <w:tcPr>
            <w:tcW w:type="dxa" w:w="4320"/>
            <w:shd w:val="clear" w:color="auto" w:fill="FFFFFF"/>
            <w:vAlign w:val="center"/>
          </w:tcPr>
          <w:p>
            <w:pPr>
              <w:jc w:val="center"/>
            </w:pPr>
            <w:r>
              <w:rPr>
                <w:rFonts w:ascii="Arial" w:hAnsi="Arial"/>
                <w:color w:val="1A1A1A"/>
                <w:sz w:val="19"/>
              </w:rPr>
              <w:t>$620 Million</w:t>
            </w:r>
          </w:p>
        </w:tc>
      </w:tr>
      <w:tr>
        <w:tc>
          <w:tcPr>
            <w:tcW w:type="dxa" w:w="4320"/>
            <w:shd w:val="clear" w:color="auto" w:fill="F2F5F9"/>
            <w:vAlign w:val="center"/>
          </w:tcPr>
          <w:p>
            <w:pPr>
              <w:jc w:val="left"/>
            </w:pPr>
            <w:r>
              <w:rPr>
                <w:rFonts w:ascii="Arial" w:hAnsi="Arial"/>
                <w:color w:val="1A1A1A"/>
                <w:sz w:val="19"/>
              </w:rPr>
              <w:t>Peptide Research Vendors Indexed</w:t>
            </w:r>
          </w:p>
        </w:tc>
        <w:tc>
          <w:tcPr>
            <w:tcW w:type="dxa" w:w="4320"/>
            <w:shd w:val="clear" w:color="auto" w:fill="F2F5F9"/>
            <w:vAlign w:val="center"/>
          </w:tcPr>
          <w:p>
            <w:pPr>
              <w:jc w:val="center"/>
            </w:pPr>
            <w:r>
              <w:rPr>
                <w:rFonts w:ascii="Arial" w:hAnsi="Arial"/>
                <w:color w:val="1A1A1A"/>
                <w:sz w:val="19"/>
              </w:rPr>
              <w:t>350+</w:t>
            </w:r>
          </w:p>
        </w:tc>
      </w:tr>
      <w:tr>
        <w:tc>
          <w:tcPr>
            <w:tcW w:type="dxa" w:w="4320"/>
            <w:shd w:val="clear" w:color="auto" w:fill="FFFFFF"/>
            <w:vAlign w:val="center"/>
          </w:tcPr>
          <w:p>
            <w:pPr>
              <w:jc w:val="left"/>
            </w:pPr>
            <w:r>
              <w:rPr>
                <w:rFonts w:ascii="Arial" w:hAnsi="Arial"/>
                <w:color w:val="1A1A1A"/>
                <w:sz w:val="19"/>
              </w:rPr>
              <w:t>Monthly Unique Visitors (Month 12)</w:t>
            </w:r>
          </w:p>
        </w:tc>
        <w:tc>
          <w:tcPr>
            <w:tcW w:type="dxa" w:w="4320"/>
            <w:shd w:val="clear" w:color="auto" w:fill="FFFFFF"/>
            <w:vAlign w:val="center"/>
          </w:tcPr>
          <w:p>
            <w:pPr>
              <w:jc w:val="center"/>
            </w:pPr>
            <w:r>
              <w:rPr>
                <w:rFonts w:ascii="Arial" w:hAnsi="Arial"/>
                <w:color w:val="1A1A1A"/>
                <w:sz w:val="19"/>
              </w:rPr>
              <w:t>180,000</w:t>
            </w:r>
          </w:p>
        </w:tc>
      </w:tr>
      <w:tr>
        <w:tc>
          <w:tcPr>
            <w:tcW w:type="dxa" w:w="4320"/>
            <w:shd w:val="clear" w:color="auto" w:fill="F2F5F9"/>
            <w:vAlign w:val="center"/>
          </w:tcPr>
          <w:p>
            <w:pPr>
              <w:jc w:val="left"/>
            </w:pPr>
            <w:r>
              <w:rPr>
                <w:rFonts w:ascii="Arial" w:hAnsi="Arial"/>
                <w:color w:val="1A1A1A"/>
                <w:sz w:val="19"/>
              </w:rPr>
              <w:t>ARR at Month 12</w:t>
            </w:r>
          </w:p>
        </w:tc>
        <w:tc>
          <w:tcPr>
            <w:tcW w:type="dxa" w:w="4320"/>
            <w:shd w:val="clear" w:color="auto" w:fill="F2F5F9"/>
            <w:vAlign w:val="center"/>
          </w:tcPr>
          <w:p>
            <w:pPr>
              <w:jc w:val="center"/>
            </w:pPr>
            <w:r>
              <w:rPr>
                <w:rFonts w:ascii="Arial" w:hAnsi="Arial"/>
                <w:color w:val="1A1A1A"/>
                <w:sz w:val="19"/>
              </w:rPr>
              <w:t>$1.03 Million</w:t>
            </w:r>
          </w:p>
        </w:tc>
      </w:tr>
      <w:tr>
        <w:tc>
          <w:tcPr>
            <w:tcW w:type="dxa" w:w="4320"/>
            <w:shd w:val="clear" w:color="auto" w:fill="FFFFFF"/>
            <w:vAlign w:val="center"/>
          </w:tcPr>
          <w:p>
            <w:pPr>
              <w:jc w:val="left"/>
            </w:pPr>
            <w:r>
              <w:rPr>
                <w:rFonts w:ascii="Arial" w:hAnsi="Arial"/>
                <w:color w:val="1A1A1A"/>
                <w:sz w:val="19"/>
              </w:rPr>
              <w:t>Gross Margin</w:t>
            </w:r>
          </w:p>
        </w:tc>
        <w:tc>
          <w:tcPr>
            <w:tcW w:type="dxa" w:w="4320"/>
            <w:shd w:val="clear" w:color="auto" w:fill="FFFFFF"/>
            <w:vAlign w:val="center"/>
          </w:tcPr>
          <w:p>
            <w:pPr>
              <w:jc w:val="center"/>
            </w:pPr>
            <w:r>
              <w:rPr>
                <w:rFonts w:ascii="Arial" w:hAnsi="Arial"/>
                <w:color w:val="1A1A1A"/>
                <w:sz w:val="19"/>
              </w:rPr>
              <w:t>82%</w:t>
            </w:r>
          </w:p>
        </w:tc>
      </w:tr>
      <w:tr>
        <w:tc>
          <w:tcPr>
            <w:tcW w:type="dxa" w:w="4320"/>
            <w:shd w:val="clear" w:color="auto" w:fill="F2F5F9"/>
            <w:vAlign w:val="center"/>
          </w:tcPr>
          <w:p>
            <w:pPr>
              <w:jc w:val="left"/>
            </w:pPr>
            <w:r>
              <w:rPr>
                <w:rFonts w:ascii="Arial" w:hAnsi="Arial"/>
                <w:color w:val="1A1A1A"/>
                <w:sz w:val="19"/>
              </w:rPr>
              <w:t>Break-Even Month</w:t>
            </w:r>
          </w:p>
        </w:tc>
        <w:tc>
          <w:tcPr>
            <w:tcW w:type="dxa" w:w="4320"/>
            <w:shd w:val="clear" w:color="auto" w:fill="F2F5F9"/>
            <w:vAlign w:val="center"/>
          </w:tcPr>
          <w:p>
            <w:pPr>
              <w:jc w:val="center"/>
            </w:pPr>
            <w:r>
              <w:rPr>
                <w:rFonts w:ascii="Arial" w:hAnsi="Arial"/>
                <w:color w:val="1A1A1A"/>
                <w:sz w:val="19"/>
              </w:rPr>
              <w:t>Month 8</w:t>
            </w:r>
          </w:p>
        </w:tc>
      </w:tr>
      <w:tr>
        <w:tc>
          <w:tcPr>
            <w:tcW w:type="dxa" w:w="4320"/>
            <w:shd w:val="clear" w:color="auto" w:fill="FFFFFF"/>
            <w:vAlign w:val="center"/>
          </w:tcPr>
          <w:p>
            <w:pPr>
              <w:jc w:val="left"/>
            </w:pPr>
            <w:r>
              <w:rPr>
                <w:rFonts w:ascii="Arial" w:hAnsi="Arial"/>
                <w:color w:val="1A1A1A"/>
                <w:sz w:val="19"/>
              </w:rPr>
              <w:t>Seed Funding Required</w:t>
            </w:r>
          </w:p>
        </w:tc>
        <w:tc>
          <w:tcPr>
            <w:tcW w:type="dxa" w:w="4320"/>
            <w:shd w:val="clear" w:color="auto" w:fill="FFFFFF"/>
            <w:vAlign w:val="center"/>
          </w:tcPr>
          <w:p>
            <w:pPr>
              <w:jc w:val="center"/>
            </w:pPr>
            <w:r>
              <w:rPr>
                <w:rFonts w:ascii="Arial" w:hAnsi="Arial"/>
                <w:color w:val="1A1A1A"/>
                <w:sz w:val="19"/>
              </w:rPr>
              <w:t>$650,000</w:t>
            </w:r>
          </w:p>
        </w:tc>
      </w:tr>
    </w:tbl>
    <w:p/>
    <w:p>
      <w:pPr>
        <w:spacing w:before="440" w:after="80"/>
      </w:pPr>
      <w:r>
        <w:rPr>
          <w:rFonts w:ascii="Arial" w:hAnsi="Arial"/>
          <w:b/>
          <w:color w:val="1A376C"/>
          <w:sz w:val="30"/>
        </w:rPr>
        <w:t>PROBLEM &amp; OPPORTUNITY</w:t>
      </w:r>
    </w:p>
    <w:p>
      <w:pPr>
        <w:spacing w:before="0" w:after="0"/>
        <w:pBdr>
          <w:bottom w:val="single" w:sz="10" w:space="1" w:color="1A376C"/>
        </w:pBdr>
      </w:pPr>
    </w:p>
    <w:p>
      <w:pPr>
        <w:spacing w:before="280" w:after="60"/>
      </w:pPr>
      <w:r>
        <w:rPr>
          <w:rFonts w:ascii="Arial" w:hAnsi="Arial"/>
          <w:b/>
          <w:color w:val="008B8B"/>
          <w:sz w:val="24"/>
        </w:rPr>
        <w:t>The Problem</w:t>
      </w:r>
    </w:p>
    <w:p>
      <w:pPr>
        <w:spacing w:before="40" w:after="120"/>
      </w:pPr>
      <w:r>
        <w:rPr>
          <w:rFonts w:ascii="Arial" w:hAnsi="Arial"/>
          <w:color w:val="1A1A1A"/>
          <w:sz w:val="21"/>
        </w:rPr>
        <w:t>The peptide research chemical industry operates in a near-total information vacuum. Researchers, biohackers, and institutional labs purchasing peptides face three critical pain points:</w:t>
      </w:r>
    </w:p>
    <w:p>
      <w:pPr>
        <w:pStyle w:val="ListBullet"/>
        <w:spacing w:before="20" w:after="60"/>
        <w:ind w:left="360"/>
      </w:pPr>
      <w:r>
        <w:rPr>
          <w:rFonts w:ascii="Arial" w:hAnsi="Arial"/>
          <w:b/>
          <w:color w:val="1A1A1A"/>
          <w:sz w:val="21"/>
        </w:rPr>
        <w:t xml:space="preserve">Opacity: </w:t>
      </w:r>
      <w:r>
        <w:rPr>
          <w:rFonts w:ascii="Arial" w:hAnsi="Arial"/>
          <w:color w:val="1A1A1A"/>
          <w:sz w:val="21"/>
        </w:rPr>
        <w:t>No centralized, trustworthy source of vendor quality data — COAs are self-reported and unverified.</w:t>
      </w:r>
    </w:p>
    <w:p>
      <w:pPr>
        <w:pStyle w:val="ListBullet"/>
        <w:spacing w:before="20" w:after="60"/>
        <w:ind w:left="360"/>
      </w:pPr>
      <w:r>
        <w:rPr>
          <w:rFonts w:ascii="Arial" w:hAnsi="Arial"/>
          <w:b/>
          <w:color w:val="1A1A1A"/>
          <w:sz w:val="21"/>
        </w:rPr>
        <w:t xml:space="preserve">Fragmentation: </w:t>
      </w:r>
      <w:r>
        <w:rPr>
          <w:rFonts w:ascii="Arial" w:hAnsi="Arial"/>
          <w:color w:val="1A1A1A"/>
          <w:sz w:val="21"/>
        </w:rPr>
        <w:t>Vendor reputation signals are scattered across Reddit, forum posts, Telegram groups, Discord servers, and review sites, making synthesis manually impossible.</w:t>
      </w:r>
    </w:p>
    <w:p>
      <w:pPr>
        <w:pStyle w:val="ListBullet"/>
        <w:spacing w:before="20" w:after="60"/>
        <w:ind w:left="360"/>
      </w:pPr>
      <w:r>
        <w:rPr>
          <w:rFonts w:ascii="Arial" w:hAnsi="Arial"/>
          <w:b/>
          <w:color w:val="1A1A1A"/>
          <w:sz w:val="21"/>
        </w:rPr>
        <w:t xml:space="preserve">Safety risk: </w:t>
      </w:r>
      <w:r>
        <w:rPr>
          <w:rFonts w:ascii="Arial" w:hAnsi="Arial"/>
          <w:color w:val="1A1A1A"/>
          <w:sz w:val="21"/>
        </w:rPr>
        <w:t>Purity fraud and dilution are common, yet buyers have no systematic tool to detect patterns of deception across vendors.</w:t>
      </w:r>
    </w:p>
    <w:p>
      <w:pPr>
        <w:spacing w:before="280" w:after="60"/>
      </w:pPr>
      <w:r>
        <w:rPr>
          <w:rFonts w:ascii="Arial" w:hAnsi="Arial"/>
          <w:b/>
          <w:color w:val="008B8B"/>
          <w:sz w:val="24"/>
        </w:rPr>
        <w:t>The Opportunity</w:t>
      </w:r>
    </w:p>
    <w:p>
      <w:pPr>
        <w:spacing w:before="40" w:after="120"/>
      </w:pPr>
      <w:r>
        <w:rPr>
          <w:rFonts w:ascii="Arial" w:hAnsi="Arial"/>
          <w:color w:val="1A1A1A"/>
          <w:sz w:val="21"/>
        </w:rPr>
        <w:t>These pain points create a significant market opening for a neutral, algorithmically governed platform that aggregates all public data daily, applies AI analysis, and presents clear, actionable vendor scores. The growing legitimacy of peptide research (clinical trials, longevity science, anti-doping testing) creates urgency for a credentialed, data-driven resource. No dominant independent ranking platform currently exists.</w:t>
      </w:r>
    </w:p>
    <w:p>
      <w:pPr>
        <w:spacing w:before="440" w:after="80"/>
      </w:pPr>
      <w:r>
        <w:rPr>
          <w:rFonts w:ascii="Arial" w:hAnsi="Arial"/>
          <w:b/>
          <w:color w:val="1A376C"/>
          <w:sz w:val="30"/>
        </w:rPr>
        <w:t>PRODUCT &amp; TECHNOLOGY</w:t>
      </w:r>
    </w:p>
    <w:p>
      <w:pPr>
        <w:spacing w:before="0" w:after="0"/>
        <w:pBdr>
          <w:bottom w:val="single" w:sz="10" w:space="1" w:color="1A376C"/>
        </w:pBdr>
      </w:pPr>
    </w:p>
    <w:p>
      <w:pPr>
        <w:spacing w:before="280" w:after="60"/>
      </w:pPr>
      <w:r>
        <w:rPr>
          <w:rFonts w:ascii="Arial" w:hAnsi="Arial"/>
          <w:b/>
          <w:color w:val="008B8B"/>
          <w:sz w:val="24"/>
        </w:rPr>
        <w:t>Core Platform: The PeptideRank Score™</w:t>
      </w:r>
    </w:p>
    <w:p>
      <w:pPr>
        <w:spacing w:before="40" w:after="120"/>
      </w:pPr>
      <w:r>
        <w:rPr>
          <w:rFonts w:ascii="Arial" w:hAnsi="Arial"/>
          <w:color w:val="1A1A1A"/>
          <w:sz w:val="21"/>
        </w:rPr>
        <w:t>The PeptideRank Score (PRS) is a composite 0–100 index recalculated daily per vendor. It is computed from five weighted data dimensions: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376C"/>
            <w:vAlign w:val="center"/>
          </w:tcPr>
          <w:p>
            <w:pPr>
              <w:jc w:val="center"/>
            </w:pPr>
            <w:r>
              <w:rPr>
                <w:rFonts w:ascii="Arial" w:hAnsi="Arial"/>
                <w:b/>
                <w:color w:val="FFFFFF"/>
                <w:sz w:val="19"/>
              </w:rPr>
              <w:t>Pillar</w:t>
            </w:r>
          </w:p>
        </w:tc>
        <w:tc>
          <w:tcPr>
            <w:tcW w:type="dxa" w:w="1152"/>
            <w:shd w:val="clear" w:color="auto" w:fill="1A376C"/>
            <w:vAlign w:val="center"/>
          </w:tcPr>
          <w:p>
            <w:pPr>
              <w:jc w:val="center"/>
            </w:pPr>
            <w:r>
              <w:rPr>
                <w:rFonts w:ascii="Arial" w:hAnsi="Arial"/>
                <w:b/>
                <w:color w:val="FFFFFF"/>
                <w:sz w:val="19"/>
              </w:rPr>
              <w:t>Weight</w:t>
            </w:r>
          </w:p>
        </w:tc>
        <w:tc>
          <w:tcPr>
            <w:tcW w:type="dxa" w:w="3168"/>
            <w:shd w:val="clear" w:color="auto" w:fill="1A376C"/>
            <w:vAlign w:val="center"/>
          </w:tcPr>
          <w:p>
            <w:pPr>
              <w:jc w:val="center"/>
            </w:pPr>
            <w:r>
              <w:rPr>
                <w:rFonts w:ascii="Arial" w:hAnsi="Arial"/>
                <w:b/>
                <w:color w:val="FFFFFF"/>
                <w:sz w:val="19"/>
              </w:rPr>
              <w:t>Data Sources</w:t>
            </w:r>
          </w:p>
        </w:tc>
        <w:tc>
          <w:tcPr>
            <w:tcW w:type="dxa" w:w="3168"/>
            <w:shd w:val="clear" w:color="auto" w:fill="1A376C"/>
            <w:vAlign w:val="center"/>
          </w:tcPr>
          <w:p>
            <w:pPr>
              <w:jc w:val="center"/>
            </w:pPr>
            <w:r>
              <w:rPr>
                <w:rFonts w:ascii="Arial" w:hAnsi="Arial"/>
                <w:b/>
                <w:color w:val="FFFFFF"/>
                <w:sz w:val="19"/>
              </w:rPr>
              <w:t>AI Method</w:t>
            </w:r>
          </w:p>
        </w:tc>
      </w:tr>
      <w:tr>
        <w:tc>
          <w:tcPr>
            <w:tcW w:type="dxa" w:w="2592"/>
            <w:shd w:val="clear" w:color="auto" w:fill="F2F5F9"/>
            <w:vAlign w:val="center"/>
          </w:tcPr>
          <w:p>
            <w:pPr>
              <w:jc w:val="left"/>
            </w:pPr>
            <w:r>
              <w:rPr>
                <w:rFonts w:ascii="Arial" w:hAnsi="Arial"/>
                <w:color w:val="1A1A1A"/>
                <w:sz w:val="19"/>
              </w:rPr>
              <w:t>Purity / COA Verification</w:t>
            </w:r>
          </w:p>
        </w:tc>
        <w:tc>
          <w:tcPr>
            <w:tcW w:type="dxa" w:w="1152"/>
            <w:shd w:val="clear" w:color="auto" w:fill="F2F5F9"/>
            <w:vAlign w:val="center"/>
          </w:tcPr>
          <w:p>
            <w:pPr>
              <w:jc w:val="center"/>
            </w:pPr>
            <w:r>
              <w:rPr>
                <w:rFonts w:ascii="Arial" w:hAnsi="Arial"/>
                <w:color w:val="1A1A1A"/>
                <w:sz w:val="19"/>
              </w:rPr>
              <w:t>30%</w:t>
            </w:r>
          </w:p>
        </w:tc>
        <w:tc>
          <w:tcPr>
            <w:tcW w:type="dxa" w:w="3168"/>
            <w:shd w:val="clear" w:color="auto" w:fill="F2F5F9"/>
            <w:vAlign w:val="center"/>
          </w:tcPr>
          <w:p>
            <w:pPr>
              <w:jc w:val="center"/>
            </w:pPr>
            <w:r>
              <w:rPr>
                <w:rFonts w:ascii="Arial" w:hAnsi="Arial"/>
                <w:color w:val="1A1A1A"/>
                <w:sz w:val="19"/>
              </w:rPr>
              <w:t>Vendor websites, 3rd-party lab databases, uploaded COAs</w:t>
            </w:r>
          </w:p>
        </w:tc>
        <w:tc>
          <w:tcPr>
            <w:tcW w:type="dxa" w:w="3168"/>
            <w:shd w:val="clear" w:color="auto" w:fill="F2F5F9"/>
            <w:vAlign w:val="center"/>
          </w:tcPr>
          <w:p>
            <w:pPr>
              <w:jc w:val="center"/>
            </w:pPr>
            <w:r>
              <w:rPr>
                <w:rFonts w:ascii="Arial" w:hAnsi="Arial"/>
                <w:color w:val="1A1A1A"/>
                <w:sz w:val="19"/>
              </w:rPr>
              <w:t>OCR + NLP COA parsing, cross-lab validation</w:t>
            </w:r>
          </w:p>
        </w:tc>
      </w:tr>
      <w:tr>
        <w:tc>
          <w:tcPr>
            <w:tcW w:type="dxa" w:w="2592"/>
            <w:shd w:val="clear" w:color="auto" w:fill="FFFFFF"/>
            <w:vAlign w:val="center"/>
          </w:tcPr>
          <w:p>
            <w:pPr>
              <w:jc w:val="left"/>
            </w:pPr>
            <w:r>
              <w:rPr>
                <w:rFonts w:ascii="Arial" w:hAnsi="Arial"/>
                <w:color w:val="1A1A1A"/>
                <w:sz w:val="19"/>
              </w:rPr>
              <w:t>Vendor Reputation</w:t>
            </w:r>
          </w:p>
        </w:tc>
        <w:tc>
          <w:tcPr>
            <w:tcW w:type="dxa" w:w="1152"/>
            <w:shd w:val="clear" w:color="auto" w:fill="FFFFFF"/>
            <w:vAlign w:val="center"/>
          </w:tcPr>
          <w:p>
            <w:pPr>
              <w:jc w:val="center"/>
            </w:pPr>
            <w:r>
              <w:rPr>
                <w:rFonts w:ascii="Arial" w:hAnsi="Arial"/>
                <w:color w:val="1A1A1A"/>
                <w:sz w:val="19"/>
              </w:rPr>
              <w:t>25%</w:t>
            </w:r>
          </w:p>
        </w:tc>
        <w:tc>
          <w:tcPr>
            <w:tcW w:type="dxa" w:w="3168"/>
            <w:shd w:val="clear" w:color="auto" w:fill="FFFFFF"/>
            <w:vAlign w:val="center"/>
          </w:tcPr>
          <w:p>
            <w:pPr>
              <w:jc w:val="center"/>
            </w:pPr>
            <w:r>
              <w:rPr>
                <w:rFonts w:ascii="Arial" w:hAnsi="Arial"/>
                <w:color w:val="1A1A1A"/>
                <w:sz w:val="19"/>
              </w:rPr>
              <w:t>Domain age, BBB, legal databases, social media tenure</w:t>
            </w:r>
          </w:p>
        </w:tc>
        <w:tc>
          <w:tcPr>
            <w:tcW w:type="dxa" w:w="3168"/>
            <w:shd w:val="clear" w:color="auto" w:fill="FFFFFF"/>
            <w:vAlign w:val="center"/>
          </w:tcPr>
          <w:p>
            <w:pPr>
              <w:jc w:val="center"/>
            </w:pPr>
            <w:r>
              <w:rPr>
                <w:rFonts w:ascii="Arial" w:hAnsi="Arial"/>
                <w:color w:val="1A1A1A"/>
                <w:sz w:val="19"/>
              </w:rPr>
              <w:t>Entity resolution, trust scoring model</w:t>
            </w:r>
          </w:p>
        </w:tc>
      </w:tr>
      <w:tr>
        <w:tc>
          <w:tcPr>
            <w:tcW w:type="dxa" w:w="2592"/>
            <w:shd w:val="clear" w:color="auto" w:fill="F2F5F9"/>
            <w:vAlign w:val="center"/>
          </w:tcPr>
          <w:p>
            <w:pPr>
              <w:jc w:val="left"/>
            </w:pPr>
            <w:r>
              <w:rPr>
                <w:rFonts w:ascii="Arial" w:hAnsi="Arial"/>
                <w:color w:val="1A1A1A"/>
                <w:sz w:val="19"/>
              </w:rPr>
              <w:t>Customer Service</w:t>
            </w:r>
          </w:p>
        </w:tc>
        <w:tc>
          <w:tcPr>
            <w:tcW w:type="dxa" w:w="1152"/>
            <w:shd w:val="clear" w:color="auto" w:fill="F2F5F9"/>
            <w:vAlign w:val="center"/>
          </w:tcPr>
          <w:p>
            <w:pPr>
              <w:jc w:val="center"/>
            </w:pPr>
            <w:r>
              <w:rPr>
                <w:rFonts w:ascii="Arial" w:hAnsi="Arial"/>
                <w:color w:val="1A1A1A"/>
                <w:sz w:val="19"/>
              </w:rPr>
              <w:t>20%</w:t>
            </w:r>
          </w:p>
        </w:tc>
        <w:tc>
          <w:tcPr>
            <w:tcW w:type="dxa" w:w="3168"/>
            <w:shd w:val="clear" w:color="auto" w:fill="F2F5F9"/>
            <w:vAlign w:val="center"/>
          </w:tcPr>
          <w:p>
            <w:pPr>
              <w:jc w:val="center"/>
            </w:pPr>
            <w:r>
              <w:rPr>
                <w:rFonts w:ascii="Arial" w:hAnsi="Arial"/>
                <w:color w:val="1A1A1A"/>
                <w:sz w:val="19"/>
              </w:rPr>
              <w:t>Response time tests, review sentiment, complaint resolution rate</w:t>
            </w:r>
          </w:p>
        </w:tc>
        <w:tc>
          <w:tcPr>
            <w:tcW w:type="dxa" w:w="3168"/>
            <w:shd w:val="clear" w:color="auto" w:fill="F2F5F9"/>
            <w:vAlign w:val="center"/>
          </w:tcPr>
          <w:p>
            <w:pPr>
              <w:jc w:val="center"/>
            </w:pPr>
            <w:r>
              <w:rPr>
                <w:rFonts w:ascii="Arial" w:hAnsi="Arial"/>
                <w:color w:val="1A1A1A"/>
                <w:sz w:val="19"/>
              </w:rPr>
              <w:t>Sentiment NLP, mystery shopper simulations</w:t>
            </w:r>
          </w:p>
        </w:tc>
      </w:tr>
      <w:tr>
        <w:tc>
          <w:tcPr>
            <w:tcW w:type="dxa" w:w="2592"/>
            <w:shd w:val="clear" w:color="auto" w:fill="FFFFFF"/>
            <w:vAlign w:val="center"/>
          </w:tcPr>
          <w:p>
            <w:pPr>
              <w:jc w:val="left"/>
            </w:pPr>
            <w:r>
              <w:rPr>
                <w:rFonts w:ascii="Arial" w:hAnsi="Arial"/>
                <w:color w:val="1A1A1A"/>
                <w:sz w:val="19"/>
              </w:rPr>
              <w:t>Community Sentiment</w:t>
            </w:r>
          </w:p>
        </w:tc>
        <w:tc>
          <w:tcPr>
            <w:tcW w:type="dxa" w:w="1152"/>
            <w:shd w:val="clear" w:color="auto" w:fill="FFFFFF"/>
            <w:vAlign w:val="center"/>
          </w:tcPr>
          <w:p>
            <w:pPr>
              <w:jc w:val="center"/>
            </w:pPr>
            <w:r>
              <w:rPr>
                <w:rFonts w:ascii="Arial" w:hAnsi="Arial"/>
                <w:color w:val="1A1A1A"/>
                <w:sz w:val="19"/>
              </w:rPr>
              <w:t>15%</w:t>
            </w:r>
          </w:p>
        </w:tc>
        <w:tc>
          <w:tcPr>
            <w:tcW w:type="dxa" w:w="3168"/>
            <w:shd w:val="clear" w:color="auto" w:fill="FFFFFF"/>
            <w:vAlign w:val="center"/>
          </w:tcPr>
          <w:p>
            <w:pPr>
              <w:jc w:val="center"/>
            </w:pPr>
            <w:r>
              <w:rPr>
                <w:rFonts w:ascii="Arial" w:hAnsi="Arial"/>
                <w:color w:val="1A1A1A"/>
                <w:sz w:val="19"/>
              </w:rPr>
              <w:t>Reddit (r/Peptides, r/nootropics), forums, Discord</w:t>
            </w:r>
          </w:p>
        </w:tc>
        <w:tc>
          <w:tcPr>
            <w:tcW w:type="dxa" w:w="3168"/>
            <w:shd w:val="clear" w:color="auto" w:fill="FFFFFF"/>
            <w:vAlign w:val="center"/>
          </w:tcPr>
          <w:p>
            <w:pPr>
              <w:jc w:val="center"/>
            </w:pPr>
            <w:r>
              <w:rPr>
                <w:rFonts w:ascii="Arial" w:hAnsi="Arial"/>
                <w:color w:val="1A1A1A"/>
                <w:sz w:val="19"/>
              </w:rPr>
              <w:t>Daily Reddit API pull, LLM sentiment scoring</w:t>
            </w:r>
          </w:p>
        </w:tc>
      </w:tr>
      <w:tr>
        <w:tc>
          <w:tcPr>
            <w:tcW w:type="dxa" w:w="2592"/>
            <w:shd w:val="clear" w:color="auto" w:fill="F2F5F9"/>
            <w:vAlign w:val="center"/>
          </w:tcPr>
          <w:p>
            <w:pPr>
              <w:jc w:val="left"/>
            </w:pPr>
            <w:r>
              <w:rPr>
                <w:rFonts w:ascii="Arial" w:hAnsi="Arial"/>
                <w:color w:val="1A1A1A"/>
                <w:sz w:val="19"/>
              </w:rPr>
              <w:t>Pricing / Cost Competitiveness</w:t>
            </w:r>
          </w:p>
        </w:tc>
        <w:tc>
          <w:tcPr>
            <w:tcW w:type="dxa" w:w="1152"/>
            <w:shd w:val="clear" w:color="auto" w:fill="F2F5F9"/>
            <w:vAlign w:val="center"/>
          </w:tcPr>
          <w:p>
            <w:pPr>
              <w:jc w:val="center"/>
            </w:pPr>
            <w:r>
              <w:rPr>
                <w:rFonts w:ascii="Arial" w:hAnsi="Arial"/>
                <w:color w:val="1A1A1A"/>
                <w:sz w:val="19"/>
              </w:rPr>
              <w:t>10%</w:t>
            </w:r>
          </w:p>
        </w:tc>
        <w:tc>
          <w:tcPr>
            <w:tcW w:type="dxa" w:w="3168"/>
            <w:shd w:val="clear" w:color="auto" w:fill="F2F5F9"/>
            <w:vAlign w:val="center"/>
          </w:tcPr>
          <w:p>
            <w:pPr>
              <w:jc w:val="center"/>
            </w:pPr>
            <w:r>
              <w:rPr>
                <w:rFonts w:ascii="Arial" w:hAnsi="Arial"/>
                <w:color w:val="1A1A1A"/>
                <w:sz w:val="19"/>
              </w:rPr>
              <w:t>Scraped product pages across 350+ vendors</w:t>
            </w:r>
          </w:p>
        </w:tc>
        <w:tc>
          <w:tcPr>
            <w:tcW w:type="dxa" w:w="3168"/>
            <w:shd w:val="clear" w:color="auto" w:fill="F2F5F9"/>
            <w:vAlign w:val="center"/>
          </w:tcPr>
          <w:p>
            <w:pPr>
              <w:jc w:val="center"/>
            </w:pPr>
            <w:r>
              <w:rPr>
                <w:rFonts w:ascii="Arial" w:hAnsi="Arial"/>
                <w:color w:val="1A1A1A"/>
                <w:sz w:val="19"/>
              </w:rPr>
              <w:t>Price normalization engine (per-mg basis)</w:t>
            </w:r>
          </w:p>
        </w:tc>
      </w:tr>
    </w:tbl>
    <w:p/>
    <w:p>
      <w:pPr>
        <w:spacing w:before="280" w:after="60"/>
      </w:pPr>
      <w:r>
        <w:rPr>
          <w:rFonts w:ascii="Arial" w:hAnsi="Arial"/>
          <w:b/>
          <w:color w:val="008B8B"/>
          <w:sz w:val="24"/>
        </w:rPr>
        <w:t>Technology Stack</w:t>
      </w:r>
    </w:p>
    <w:p>
      <w:pPr>
        <w:pStyle w:val="ListBullet"/>
        <w:spacing w:before="20" w:after="60"/>
        <w:ind w:left="360"/>
      </w:pPr>
      <w:r>
        <w:rPr>
          <w:rFonts w:ascii="Arial" w:hAnsi="Arial"/>
          <w:b/>
          <w:color w:val="1A1A1A"/>
          <w:sz w:val="21"/>
        </w:rPr>
        <w:t xml:space="preserve">Data ingestion: </w:t>
      </w:r>
      <w:r>
        <w:rPr>
          <w:rFonts w:ascii="Arial" w:hAnsi="Arial"/>
          <w:color w:val="1A1A1A"/>
          <w:sz w:val="21"/>
        </w:rPr>
        <w:t>Distributed web crawlers on AWS Lambda (daily scrape of all indexed vendor sites)</w:t>
      </w:r>
    </w:p>
    <w:p>
      <w:pPr>
        <w:pStyle w:val="ListBullet"/>
        <w:spacing w:before="20" w:after="60"/>
        <w:ind w:left="360"/>
      </w:pPr>
      <w:r>
        <w:rPr>
          <w:rFonts w:ascii="Arial" w:hAnsi="Arial"/>
          <w:b/>
          <w:color w:val="1A1A1A"/>
          <w:sz w:val="21"/>
        </w:rPr>
        <w:t xml:space="preserve">Community data: </w:t>
      </w:r>
      <w:r>
        <w:rPr>
          <w:rFonts w:ascii="Arial" w:hAnsi="Arial"/>
          <w:color w:val="1A1A1A"/>
          <w:sz w:val="21"/>
        </w:rPr>
        <w:t>Reddit Data API (OAuth), Discord webhooks, and forum RSS feeds for community signal</w:t>
      </w:r>
    </w:p>
    <w:p>
      <w:pPr>
        <w:pStyle w:val="ListBullet"/>
        <w:spacing w:before="20" w:after="60"/>
        <w:ind w:left="360"/>
      </w:pPr>
      <w:r>
        <w:rPr>
          <w:rFonts w:ascii="Arial" w:hAnsi="Arial"/>
          <w:b/>
          <w:color w:val="1A1A1A"/>
          <w:sz w:val="21"/>
        </w:rPr>
        <w:t xml:space="preserve">COA AI: </w:t>
      </w:r>
      <w:r>
        <w:rPr>
          <w:rFonts w:ascii="Arial" w:hAnsi="Arial"/>
          <w:color w:val="1A1A1A"/>
          <w:sz w:val="21"/>
        </w:rPr>
        <w:t>Tesseract OCR + GPT-4o for COA document parsing, extraction of purity percentages, HPLC/MS data</w:t>
      </w:r>
    </w:p>
    <w:p>
      <w:pPr>
        <w:pStyle w:val="ListBullet"/>
        <w:spacing w:before="20" w:after="60"/>
        <w:ind w:left="360"/>
      </w:pPr>
      <w:r>
        <w:rPr>
          <w:rFonts w:ascii="Arial" w:hAnsi="Arial"/>
          <w:b/>
          <w:color w:val="1A1A1A"/>
          <w:sz w:val="21"/>
        </w:rPr>
        <w:t xml:space="preserve">NLP scoring: </w:t>
      </w:r>
      <w:r>
        <w:rPr>
          <w:rFonts w:ascii="Arial" w:hAnsi="Arial"/>
          <w:color w:val="1A1A1A"/>
          <w:sz w:val="21"/>
        </w:rPr>
        <w:t>Fine-tuned BERT model for peptide-domain sentiment classification; trained on labeled peptide community posts</w:t>
      </w:r>
    </w:p>
    <w:p>
      <w:pPr>
        <w:pStyle w:val="ListBullet"/>
        <w:spacing w:before="20" w:after="60"/>
        <w:ind w:left="360"/>
      </w:pPr>
      <w:r>
        <w:rPr>
          <w:rFonts w:ascii="Arial" w:hAnsi="Arial"/>
          <w:b/>
          <w:color w:val="1A1A1A"/>
          <w:sz w:val="21"/>
        </w:rPr>
        <w:t xml:space="preserve">Platform: </w:t>
      </w:r>
      <w:r>
        <w:rPr>
          <w:rFonts w:ascii="Arial" w:hAnsi="Arial"/>
          <w:color w:val="1A1A1A"/>
          <w:sz w:val="21"/>
        </w:rPr>
        <w:t>React front-end, FastAPI back-end, PostgreSQL + vector DB (Pinecone) for semantic search, hosted on AWS</w:t>
      </w:r>
    </w:p>
    <w:p>
      <w:pPr>
        <w:pStyle w:val="ListBullet"/>
        <w:spacing w:before="20" w:after="60"/>
        <w:ind w:left="360"/>
      </w:pPr>
      <w:r>
        <w:rPr>
          <w:rFonts w:ascii="Arial" w:hAnsi="Arial"/>
          <w:b/>
          <w:color w:val="1A1A1A"/>
          <w:sz w:val="21"/>
        </w:rPr>
        <w:t xml:space="preserve">Scoring engine: </w:t>
      </w:r>
      <w:r>
        <w:rPr>
          <w:rFonts w:ascii="Arial" w:hAnsi="Arial"/>
          <w:color w:val="1A1A1A"/>
          <w:sz w:val="21"/>
        </w:rPr>
        <w:t>Automated daily score computation pipeline with anomaly detection alerts</w:t>
      </w:r>
    </w:p>
    <w:p>
      <w:pPr>
        <w:spacing w:before="280" w:after="60"/>
      </w:pPr>
      <w:r>
        <w:rPr>
          <w:rFonts w:ascii="Arial" w:hAnsi="Arial"/>
          <w:b/>
          <w:color w:val="008B8B"/>
          <w:sz w:val="24"/>
        </w:rPr>
        <w:t>Data Refresh Cadence</w:t>
      </w:r>
    </w:p>
    <w:p>
      <w:pPr>
        <w:spacing w:before="40" w:after="120"/>
      </w:pPr>
      <w:r>
        <w:rPr>
          <w:rFonts w:ascii="Arial" w:hAnsi="Arial"/>
          <w:color w:val="1A1A1A"/>
          <w:sz w:val="21"/>
        </w:rPr>
        <w:t>All public vendor data is pulled and re-scored every 24 hours. Community sentiment (Reddit, forums) is updated every 6 hours to capture viral reputation events. COA verification updates trigger immediate score recalculations. Vendors are notified of significant score changes via dashboard alerts.</w:t>
      </w:r>
    </w:p>
    <w:p>
      <w:pPr>
        <w:spacing w:before="280" w:after="60"/>
      </w:pPr>
      <w:r>
        <w:rPr>
          <w:rFonts w:ascii="Arial" w:hAnsi="Arial"/>
          <w:b/>
          <w:color w:val="008B8B"/>
          <w:sz w:val="24"/>
        </w:rPr>
        <w:t>Vendor Coverage</w:t>
      </w:r>
    </w:p>
    <w:p>
      <w:pPr>
        <w:spacing w:before="40" w:after="120"/>
      </w:pPr>
      <w:r>
        <w:rPr>
          <w:rFonts w:ascii="Arial" w:hAnsi="Arial"/>
          <w:color w:val="1A1A1A"/>
          <w:sz w:val="21"/>
        </w:rPr>
        <w:t>Launch target: 350 indexed peptide research vendors globally. Coverage methodology includes automated discovery via Google/Bing scraping for peptide-related commercial queries, manual curation of major community-recommended vendors, and an opt-in vendor submission portal. Geographic scope: USA, Europe (UK, Germany, Netherlands), Australia, Canada.</w:t>
      </w:r>
    </w:p>
    <w:p>
      <w:pPr>
        <w:spacing w:before="440" w:after="80"/>
      </w:pPr>
      <w:r>
        <w:rPr>
          <w:rFonts w:ascii="Arial" w:hAnsi="Arial"/>
          <w:b/>
          <w:color w:val="1A376C"/>
          <w:sz w:val="30"/>
        </w:rPr>
        <w:t>MARKET SIZING</w:t>
      </w:r>
    </w:p>
    <w:p>
      <w:pPr>
        <w:spacing w:before="0" w:after="0"/>
        <w:pBdr>
          <w:bottom w:val="single" w:sz="10" w:space="1" w:color="1A376C"/>
        </w:pBdr>
      </w:pPr>
    </w:p>
    <w:p>
      <w:pPr>
        <w:spacing w:before="280" w:after="60"/>
      </w:pPr>
      <w:r>
        <w:rPr>
          <w:rFonts w:ascii="Arial" w:hAnsi="Arial"/>
          <w:b/>
          <w:color w:val="008B8B"/>
          <w:sz w:val="24"/>
        </w:rPr>
        <w:t>Total Addressable Market (TAM)</w:t>
      </w:r>
    </w:p>
    <w:p>
      <w:pPr>
        <w:spacing w:before="40" w:after="120"/>
      </w:pPr>
      <w:r>
        <w:rPr>
          <w:rFonts w:ascii="Arial" w:hAnsi="Arial"/>
          <w:color w:val="1A1A1A"/>
          <w:sz w:val="21"/>
        </w:rPr>
        <w:t>The global peptide therapeutics and research chemicals market was valued at approximately $4.2 billion in 2025, with a CAGR of 9.1% projected through 2030 (Grand View Research, Mordor Intelligence). This encompasses pharma-grade peptides, research-use chemicals, custom synthesis, and ancillary supply chain services.</w:t>
      </w:r>
    </w:p>
    <w:p>
      <w:pPr>
        <w:spacing w:before="280" w:after="60"/>
      </w:pPr>
      <w:r>
        <w:rPr>
          <w:rFonts w:ascii="Arial" w:hAnsi="Arial"/>
          <w:b/>
          <w:color w:val="008B8B"/>
          <w:sz w:val="24"/>
        </w:rPr>
        <w:t>Serviceable Addressable Market (SAM)</w:t>
      </w:r>
    </w:p>
    <w:p>
      <w:pPr>
        <w:spacing w:before="40" w:after="120"/>
      </w:pPr>
      <w:r>
        <w:rPr>
          <w:rFonts w:ascii="Arial" w:hAnsi="Arial"/>
          <w:color w:val="1A1A1A"/>
          <w:sz w:val="21"/>
        </w:rPr>
        <w:t>The SAM for PeptideRank AI focuses on the online B2C and B2B peptide research chemical e-commerce segment — vendors who sell direct-to-consumer or to small labs via web stores. This segment is estimated at $620M annually, representing approximately 350–400 active commercial vendors generating $500K–$15M each in annual revenue.</w:t>
      </w:r>
    </w:p>
    <w:p>
      <w:pPr>
        <w:spacing w:before="280" w:after="60"/>
      </w:pPr>
      <w:r>
        <w:rPr>
          <w:rFonts w:ascii="Arial" w:hAnsi="Arial"/>
          <w:b/>
          <w:color w:val="008B8B"/>
          <w:sz w:val="24"/>
        </w:rPr>
        <w:t>Serviceable Obtainable Market (SOM)</w:t>
      </w:r>
    </w:p>
    <w:p>
      <w:pPr>
        <w:spacing w:before="40" w:after="120"/>
      </w:pPr>
      <w:r>
        <w:rPr>
          <w:rFonts w:ascii="Arial" w:hAnsi="Arial"/>
          <w:color w:val="1A1A1A"/>
          <w:sz w:val="21"/>
        </w:rPr>
        <w:t>In Year 1, PeptideRank AI targets a 0.16% revenue capture of the SAM, equating to ~$1.0M ARR. By Year 3, with expanded vendor subscriptions and API licensing, the SOM grows to $8–12M ARR (1.3–2% SAM capture), achievable through network effects as the platform becomes the de-facto ranking standard referenced by the community.</w:t>
      </w:r>
    </w:p>
    <w:tbl>
      <w:tblPr>
        <w:tblStyle w:val="TableGrid"/>
        <w:tblW w:type="auto" w:w="0"/>
        <w:jc w:val="left"/>
        <w:tblLook w:firstColumn="1" w:firstRow="1" w:lastColumn="0" w:lastRow="0" w:noHBand="0" w:noVBand="1" w:val="04A0"/>
      </w:tblPr>
      <w:tblGrid>
        <w:gridCol w:w="3024"/>
        <w:gridCol w:w="3024"/>
        <w:gridCol w:w="3024"/>
      </w:tblGrid>
      <w:tr>
        <w:tc>
          <w:tcPr>
            <w:tcW w:type="dxa" w:w="5040"/>
            <w:shd w:val="clear" w:color="auto" w:fill="1A376C"/>
            <w:vAlign w:val="center"/>
          </w:tcPr>
          <w:p>
            <w:pPr>
              <w:jc w:val="center"/>
            </w:pPr>
            <w:r>
              <w:rPr>
                <w:rFonts w:ascii="Arial" w:hAnsi="Arial"/>
                <w:b/>
                <w:color w:val="FFFFFF"/>
                <w:sz w:val="19"/>
              </w:rPr>
              <w:t>Market Layer</w:t>
            </w:r>
          </w:p>
        </w:tc>
        <w:tc>
          <w:tcPr>
            <w:tcW w:type="dxa" w:w="2160"/>
            <w:shd w:val="clear" w:color="auto" w:fill="1A376C"/>
            <w:vAlign w:val="center"/>
          </w:tcPr>
          <w:p>
            <w:pPr>
              <w:jc w:val="center"/>
            </w:pPr>
            <w:r>
              <w:rPr>
                <w:rFonts w:ascii="Arial" w:hAnsi="Arial"/>
                <w:b/>
                <w:color w:val="FFFFFF"/>
                <w:sz w:val="19"/>
              </w:rPr>
              <w:t>Size</w:t>
            </w:r>
          </w:p>
        </w:tc>
        <w:tc>
          <w:tcPr>
            <w:tcW w:type="dxa" w:w="2880"/>
            <w:shd w:val="clear" w:color="auto" w:fill="1A376C"/>
            <w:vAlign w:val="center"/>
          </w:tcPr>
          <w:p>
            <w:pPr>
              <w:jc w:val="center"/>
            </w:pPr>
            <w:r>
              <w:rPr>
                <w:rFonts w:ascii="Arial" w:hAnsi="Arial"/>
                <w:b/>
                <w:color w:val="FFFFFF"/>
                <w:sz w:val="19"/>
              </w:rPr>
              <w:t>Basis</w:t>
            </w:r>
          </w:p>
        </w:tc>
      </w:tr>
      <w:tr>
        <w:tc>
          <w:tcPr>
            <w:tcW w:type="dxa" w:w="5040"/>
            <w:shd w:val="clear" w:color="auto" w:fill="F2F5F9"/>
            <w:vAlign w:val="center"/>
          </w:tcPr>
          <w:p>
            <w:pPr>
              <w:jc w:val="left"/>
            </w:pPr>
            <w:r>
              <w:rPr>
                <w:rFonts w:ascii="Arial" w:hAnsi="Arial"/>
                <w:color w:val="1A1A1A"/>
                <w:sz w:val="19"/>
              </w:rPr>
              <w:t>TAM — Global peptide research &amp; therapeutics</w:t>
            </w:r>
          </w:p>
        </w:tc>
        <w:tc>
          <w:tcPr>
            <w:tcW w:type="dxa" w:w="2160"/>
            <w:shd w:val="clear" w:color="auto" w:fill="F2F5F9"/>
            <w:vAlign w:val="center"/>
          </w:tcPr>
          <w:p>
            <w:pPr>
              <w:jc w:val="center"/>
            </w:pPr>
            <w:r>
              <w:rPr>
                <w:rFonts w:ascii="Arial" w:hAnsi="Arial"/>
                <w:color w:val="1A1A1A"/>
                <w:sz w:val="19"/>
              </w:rPr>
              <w:t>$4.2B</w:t>
            </w:r>
          </w:p>
        </w:tc>
        <w:tc>
          <w:tcPr>
            <w:tcW w:type="dxa" w:w="2880"/>
            <w:shd w:val="clear" w:color="auto" w:fill="F2F5F9"/>
            <w:vAlign w:val="center"/>
          </w:tcPr>
          <w:p>
            <w:pPr>
              <w:jc w:val="center"/>
            </w:pPr>
            <w:r>
              <w:rPr>
                <w:rFonts w:ascii="Arial" w:hAnsi="Arial"/>
                <w:color w:val="1A1A1A"/>
                <w:sz w:val="19"/>
              </w:rPr>
              <w:t>All peptide commercial activity globally</w:t>
            </w:r>
          </w:p>
        </w:tc>
      </w:tr>
      <w:tr>
        <w:tc>
          <w:tcPr>
            <w:tcW w:type="dxa" w:w="5040"/>
            <w:shd w:val="clear" w:color="auto" w:fill="FFFFFF"/>
            <w:vAlign w:val="center"/>
          </w:tcPr>
          <w:p>
            <w:pPr>
              <w:jc w:val="left"/>
            </w:pPr>
            <w:r>
              <w:rPr>
                <w:rFonts w:ascii="Arial" w:hAnsi="Arial"/>
                <w:color w:val="1A1A1A"/>
                <w:sz w:val="19"/>
              </w:rPr>
              <w:t>SAM — Online DTC peptide research chemical vendors</w:t>
            </w:r>
          </w:p>
        </w:tc>
        <w:tc>
          <w:tcPr>
            <w:tcW w:type="dxa" w:w="2160"/>
            <w:shd w:val="clear" w:color="auto" w:fill="FFFFFF"/>
            <w:vAlign w:val="center"/>
          </w:tcPr>
          <w:p>
            <w:pPr>
              <w:jc w:val="center"/>
            </w:pPr>
            <w:r>
              <w:rPr>
                <w:rFonts w:ascii="Arial" w:hAnsi="Arial"/>
                <w:color w:val="1A1A1A"/>
                <w:sz w:val="19"/>
              </w:rPr>
              <w:t>$620M</w:t>
            </w:r>
          </w:p>
        </w:tc>
        <w:tc>
          <w:tcPr>
            <w:tcW w:type="dxa" w:w="2880"/>
            <w:shd w:val="clear" w:color="auto" w:fill="FFFFFF"/>
            <w:vAlign w:val="center"/>
          </w:tcPr>
          <w:p>
            <w:pPr>
              <w:jc w:val="center"/>
            </w:pPr>
            <w:r>
              <w:rPr>
                <w:rFonts w:ascii="Arial" w:hAnsi="Arial"/>
                <w:color w:val="1A1A1A"/>
                <w:sz w:val="19"/>
              </w:rPr>
              <w:t>~380 vendors × avg $1.6M revenue</w:t>
            </w:r>
          </w:p>
        </w:tc>
      </w:tr>
      <w:tr>
        <w:tc>
          <w:tcPr>
            <w:tcW w:type="dxa" w:w="5040"/>
            <w:shd w:val="clear" w:color="auto" w:fill="F2F5F9"/>
            <w:vAlign w:val="center"/>
          </w:tcPr>
          <w:p>
            <w:pPr>
              <w:jc w:val="left"/>
            </w:pPr>
            <w:r>
              <w:rPr>
                <w:rFonts w:ascii="Arial" w:hAnsi="Arial"/>
                <w:color w:val="1A1A1A"/>
                <w:sz w:val="19"/>
              </w:rPr>
              <w:t>SOM Year 1 — Platform revenue capture</w:t>
            </w:r>
          </w:p>
        </w:tc>
        <w:tc>
          <w:tcPr>
            <w:tcW w:type="dxa" w:w="2160"/>
            <w:shd w:val="clear" w:color="auto" w:fill="F2F5F9"/>
            <w:vAlign w:val="center"/>
          </w:tcPr>
          <w:p>
            <w:pPr>
              <w:jc w:val="center"/>
            </w:pPr>
            <w:r>
              <w:rPr>
                <w:rFonts w:ascii="Arial" w:hAnsi="Arial"/>
                <w:color w:val="1A1A1A"/>
                <w:sz w:val="19"/>
              </w:rPr>
              <w:t>$1.03M</w:t>
            </w:r>
          </w:p>
        </w:tc>
        <w:tc>
          <w:tcPr>
            <w:tcW w:type="dxa" w:w="2880"/>
            <w:shd w:val="clear" w:color="auto" w:fill="F2F5F9"/>
            <w:vAlign w:val="center"/>
          </w:tcPr>
          <w:p>
            <w:pPr>
              <w:jc w:val="center"/>
            </w:pPr>
            <w:r>
              <w:rPr>
                <w:rFonts w:ascii="Arial" w:hAnsi="Arial"/>
                <w:color w:val="1A1A1A"/>
                <w:sz w:val="19"/>
              </w:rPr>
              <w:t>Subscriptions + referrals + API</w:t>
            </w:r>
          </w:p>
        </w:tc>
      </w:tr>
      <w:tr>
        <w:tc>
          <w:tcPr>
            <w:tcW w:type="dxa" w:w="5040"/>
            <w:shd w:val="clear" w:color="auto" w:fill="FFFFFF"/>
            <w:vAlign w:val="center"/>
          </w:tcPr>
          <w:p>
            <w:pPr>
              <w:jc w:val="left"/>
            </w:pPr>
            <w:r>
              <w:rPr>
                <w:rFonts w:ascii="Arial" w:hAnsi="Arial"/>
                <w:color w:val="1A1A1A"/>
                <w:sz w:val="19"/>
              </w:rPr>
              <w:t>SOM Year 3 — Projected platform revenue</w:t>
            </w:r>
          </w:p>
        </w:tc>
        <w:tc>
          <w:tcPr>
            <w:tcW w:type="dxa" w:w="2160"/>
            <w:shd w:val="clear" w:color="auto" w:fill="FFFFFF"/>
            <w:vAlign w:val="center"/>
          </w:tcPr>
          <w:p>
            <w:pPr>
              <w:jc w:val="center"/>
            </w:pPr>
            <w:r>
              <w:rPr>
                <w:rFonts w:ascii="Arial" w:hAnsi="Arial"/>
                <w:color w:val="1A1A1A"/>
                <w:sz w:val="19"/>
              </w:rPr>
              <w:t>$9.5M</w:t>
            </w:r>
          </w:p>
        </w:tc>
        <w:tc>
          <w:tcPr>
            <w:tcW w:type="dxa" w:w="2880"/>
            <w:shd w:val="clear" w:color="auto" w:fill="FFFFFF"/>
            <w:vAlign w:val="center"/>
          </w:tcPr>
          <w:p>
            <w:pPr>
              <w:jc w:val="center"/>
            </w:pPr>
            <w:r>
              <w:rPr>
                <w:rFonts w:ascii="Arial" w:hAnsi="Arial"/>
                <w:color w:val="1A1A1A"/>
                <w:sz w:val="19"/>
              </w:rPr>
              <w:t>Scale + enterprise data licensing</w:t>
            </w:r>
          </w:p>
        </w:tc>
      </w:tr>
    </w:tbl>
    <w:p/>
    <w:p>
      <w:pPr>
        <w:spacing w:before="280" w:after="60"/>
      </w:pPr>
      <w:r>
        <w:rPr>
          <w:rFonts w:ascii="Arial" w:hAnsi="Arial"/>
          <w:b/>
          <w:color w:val="008B8B"/>
          <w:sz w:val="24"/>
        </w:rPr>
        <w:t>Market Tailwinds</w:t>
      </w:r>
    </w:p>
    <w:p>
      <w:pPr>
        <w:pStyle w:val="ListBullet"/>
        <w:spacing w:before="20" w:after="60"/>
        <w:ind w:left="360"/>
      </w:pPr>
      <w:r>
        <w:rPr>
          <w:rFonts w:ascii="Arial" w:hAnsi="Arial"/>
          <w:b/>
          <w:color w:val="1A1A1A"/>
          <w:sz w:val="21"/>
        </w:rPr>
        <w:t xml:space="preserve">Longevity &amp; biohacking boom: </w:t>
      </w:r>
      <w:r>
        <w:rPr>
          <w:rFonts w:ascii="Arial" w:hAnsi="Arial"/>
          <w:color w:val="1A1A1A"/>
          <w:sz w:val="21"/>
        </w:rPr>
        <w:t>Clinical peptide research (GLP-1 analogs, BPC-157, TB-500) driving mainstream consumer awareness and demand</w:t>
      </w:r>
    </w:p>
    <w:p>
      <w:pPr>
        <w:pStyle w:val="ListBullet"/>
        <w:spacing w:before="20" w:after="60"/>
        <w:ind w:left="360"/>
      </w:pPr>
      <w:r>
        <w:rPr>
          <w:rFonts w:ascii="Arial" w:hAnsi="Arial"/>
          <w:b/>
          <w:color w:val="1A1A1A"/>
          <w:sz w:val="21"/>
        </w:rPr>
        <w:t xml:space="preserve">Regulatory scrutiny: </w:t>
      </w:r>
      <w:r>
        <w:rPr>
          <w:rFonts w:ascii="Arial" w:hAnsi="Arial"/>
          <w:color w:val="1A1A1A"/>
          <w:sz w:val="21"/>
        </w:rPr>
        <w:t>USA, EU, and Australia beginning to examine COA standards for research chemicals, creating compliance pressure on vendors</w:t>
      </w:r>
    </w:p>
    <w:p>
      <w:pPr>
        <w:pStyle w:val="ListBullet"/>
        <w:spacing w:before="20" w:after="60"/>
        <w:ind w:left="360"/>
      </w:pPr>
      <w:r>
        <w:rPr>
          <w:rFonts w:ascii="Arial" w:hAnsi="Arial"/>
          <w:b/>
          <w:color w:val="1A1A1A"/>
          <w:sz w:val="21"/>
        </w:rPr>
        <w:t xml:space="preserve">Community growth: </w:t>
      </w:r>
      <w:r>
        <w:rPr>
          <w:rFonts w:ascii="Arial" w:hAnsi="Arial"/>
          <w:color w:val="1A1A1A"/>
          <w:sz w:val="21"/>
        </w:rPr>
        <w:t>r/Peptides surpassed 200,000 members in 2025; vendor trust discussions are a top weekly topic</w:t>
      </w:r>
    </w:p>
    <w:p>
      <w:pPr>
        <w:pStyle w:val="ListBullet"/>
        <w:spacing w:before="20" w:after="60"/>
        <w:ind w:left="360"/>
      </w:pPr>
      <w:r>
        <w:rPr>
          <w:rFonts w:ascii="Arial" w:hAnsi="Arial"/>
          <w:b/>
          <w:color w:val="1A1A1A"/>
          <w:sz w:val="21"/>
        </w:rPr>
        <w:t xml:space="preserve">Zero dominant competitor: </w:t>
      </w:r>
      <w:r>
        <w:rPr>
          <w:rFonts w:ascii="Arial" w:hAnsi="Arial"/>
          <w:color w:val="1A1A1A"/>
          <w:sz w:val="21"/>
        </w:rPr>
        <w:t>No dominant neutral ranking platform currently indexed by search engines for high-value queries like 'best peptide vendor'</w:t>
      </w:r>
    </w:p>
    <w:p>
      <w:pPr>
        <w:spacing w:before="440" w:after="80"/>
      </w:pPr>
      <w:r>
        <w:rPr>
          <w:rFonts w:ascii="Arial" w:hAnsi="Arial"/>
          <w:b/>
          <w:color w:val="1A376C"/>
          <w:sz w:val="30"/>
        </w:rPr>
        <w:t>REVENUE MODEL</w:t>
      </w:r>
    </w:p>
    <w:p>
      <w:pPr>
        <w:spacing w:before="0" w:after="0"/>
        <w:pBdr>
          <w:bottom w:val="single" w:sz="10" w:space="1" w:color="1A376C"/>
        </w:pBdr>
      </w:pPr>
    </w:p>
    <w:p>
      <w:pPr>
        <w:spacing w:before="280" w:after="60"/>
      </w:pPr>
      <w:r>
        <w:rPr>
          <w:rFonts w:ascii="Arial" w:hAnsi="Arial"/>
          <w:b/>
          <w:color w:val="008B8B"/>
          <w:sz w:val="24"/>
        </w:rPr>
        <w:t>Revenue Stream 1 — Vendor SaaS Subscriptions (Primary)</w:t>
      </w:r>
    </w:p>
    <w:p>
      <w:pPr>
        <w:spacing w:before="40" w:after="120"/>
      </w:pPr>
      <w:r>
        <w:rPr>
          <w:rFonts w:ascii="Arial" w:hAnsi="Arial"/>
          <w:color w:val="1A1A1A"/>
          <w:sz w:val="21"/>
        </w:rPr>
        <w:t>Vendors pay a monthly subscription to access the PeptideRank Vendor Dashboard, which includes score analytics, consumer review management tools, a 'Verified Badge' for their listing, the ability to upload COAs for AI verification, and priority customer support. Three tiers: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016"/>
            <w:shd w:val="clear" w:color="auto" w:fill="1A376C"/>
            <w:vAlign w:val="center"/>
          </w:tcPr>
          <w:p>
            <w:pPr>
              <w:jc w:val="center"/>
            </w:pPr>
            <w:r>
              <w:rPr>
                <w:rFonts w:ascii="Arial" w:hAnsi="Arial"/>
                <w:b/>
                <w:color w:val="FFFFFF"/>
                <w:sz w:val="19"/>
              </w:rPr>
              <w:t>Tier</w:t>
            </w:r>
          </w:p>
        </w:tc>
        <w:tc>
          <w:tcPr>
            <w:tcW w:type="dxa" w:w="1728"/>
            <w:shd w:val="clear" w:color="auto" w:fill="1A376C"/>
            <w:vAlign w:val="center"/>
          </w:tcPr>
          <w:p>
            <w:pPr>
              <w:jc w:val="center"/>
            </w:pPr>
            <w:r>
              <w:rPr>
                <w:rFonts w:ascii="Arial" w:hAnsi="Arial"/>
                <w:b/>
                <w:color w:val="FFFFFF"/>
                <w:sz w:val="19"/>
              </w:rPr>
              <w:t>Monthly Price</w:t>
            </w:r>
          </w:p>
        </w:tc>
        <w:tc>
          <w:tcPr>
            <w:tcW w:type="dxa" w:w="1728"/>
            <w:shd w:val="clear" w:color="auto" w:fill="1A376C"/>
            <w:vAlign w:val="center"/>
          </w:tcPr>
          <w:p>
            <w:pPr>
              <w:jc w:val="center"/>
            </w:pPr>
            <w:r>
              <w:rPr>
                <w:rFonts w:ascii="Arial" w:hAnsi="Arial"/>
                <w:b/>
                <w:color w:val="FFFFFF"/>
                <w:sz w:val="19"/>
              </w:rPr>
              <w:t>Annual Price</w:t>
            </w:r>
          </w:p>
        </w:tc>
        <w:tc>
          <w:tcPr>
            <w:tcW w:type="dxa" w:w="4608"/>
            <w:shd w:val="clear" w:color="auto" w:fill="1A376C"/>
            <w:vAlign w:val="center"/>
          </w:tcPr>
          <w:p>
            <w:pPr>
              <w:jc w:val="center"/>
            </w:pPr>
            <w:r>
              <w:rPr>
                <w:rFonts w:ascii="Arial" w:hAnsi="Arial"/>
                <w:b/>
                <w:color w:val="FFFFFF"/>
                <w:sz w:val="19"/>
              </w:rPr>
              <w:t>Key Features</w:t>
            </w:r>
          </w:p>
        </w:tc>
      </w:tr>
      <w:tr>
        <w:tc>
          <w:tcPr>
            <w:tcW w:type="dxa" w:w="2016"/>
            <w:shd w:val="clear" w:color="auto" w:fill="F2F5F9"/>
            <w:vAlign w:val="center"/>
          </w:tcPr>
          <w:p>
            <w:pPr>
              <w:jc w:val="left"/>
            </w:pPr>
            <w:r>
              <w:rPr>
                <w:rFonts w:ascii="Arial" w:hAnsi="Arial"/>
                <w:color w:val="1A1A1A"/>
                <w:sz w:val="19"/>
              </w:rPr>
              <w:t>Basic (Free)</w:t>
            </w:r>
          </w:p>
        </w:tc>
        <w:tc>
          <w:tcPr>
            <w:tcW w:type="dxa" w:w="1728"/>
            <w:shd w:val="clear" w:color="auto" w:fill="F2F5F9"/>
            <w:vAlign w:val="center"/>
          </w:tcPr>
          <w:p>
            <w:pPr>
              <w:jc w:val="center"/>
            </w:pPr>
            <w:r>
              <w:rPr>
                <w:rFonts w:ascii="Arial" w:hAnsi="Arial"/>
                <w:color w:val="1A1A1A"/>
                <w:sz w:val="19"/>
              </w:rPr>
              <w:t>$0</w:t>
            </w:r>
          </w:p>
        </w:tc>
        <w:tc>
          <w:tcPr>
            <w:tcW w:type="dxa" w:w="1728"/>
            <w:shd w:val="clear" w:color="auto" w:fill="F2F5F9"/>
            <w:vAlign w:val="center"/>
          </w:tcPr>
          <w:p>
            <w:pPr>
              <w:jc w:val="center"/>
            </w:pPr>
            <w:r>
              <w:rPr>
                <w:rFonts w:ascii="Arial" w:hAnsi="Arial"/>
                <w:color w:val="1A1A1A"/>
                <w:sz w:val="19"/>
              </w:rPr>
              <w:t>$0</w:t>
            </w:r>
          </w:p>
        </w:tc>
        <w:tc>
          <w:tcPr>
            <w:tcW w:type="dxa" w:w="4608"/>
            <w:shd w:val="clear" w:color="auto" w:fill="F2F5F9"/>
            <w:vAlign w:val="center"/>
          </w:tcPr>
          <w:p>
            <w:pPr>
              <w:jc w:val="center"/>
            </w:pPr>
            <w:r>
              <w:rPr>
                <w:rFonts w:ascii="Arial" w:hAnsi="Arial"/>
                <w:color w:val="1A1A1A"/>
                <w:sz w:val="19"/>
              </w:rPr>
              <w:t>Public listing, PRS score, community sentiment summary</w:t>
            </w:r>
          </w:p>
        </w:tc>
      </w:tr>
      <w:tr>
        <w:tc>
          <w:tcPr>
            <w:tcW w:type="dxa" w:w="2016"/>
            <w:shd w:val="clear" w:color="auto" w:fill="FFFFFF"/>
            <w:vAlign w:val="center"/>
          </w:tcPr>
          <w:p>
            <w:pPr>
              <w:jc w:val="left"/>
            </w:pPr>
            <w:r>
              <w:rPr>
                <w:rFonts w:ascii="Arial" w:hAnsi="Arial"/>
                <w:color w:val="1A1A1A"/>
                <w:sz w:val="19"/>
              </w:rPr>
              <w:t>Pro Vendor</w:t>
            </w:r>
          </w:p>
        </w:tc>
        <w:tc>
          <w:tcPr>
            <w:tcW w:type="dxa" w:w="1728"/>
            <w:shd w:val="clear" w:color="auto" w:fill="FFFFFF"/>
            <w:vAlign w:val="center"/>
          </w:tcPr>
          <w:p>
            <w:pPr>
              <w:jc w:val="center"/>
            </w:pPr>
            <w:r>
              <w:rPr>
                <w:rFonts w:ascii="Arial" w:hAnsi="Arial"/>
                <w:color w:val="1A1A1A"/>
                <w:sz w:val="19"/>
              </w:rPr>
              <w:t>$199/mo</w:t>
            </w:r>
          </w:p>
        </w:tc>
        <w:tc>
          <w:tcPr>
            <w:tcW w:type="dxa" w:w="1728"/>
            <w:shd w:val="clear" w:color="auto" w:fill="FFFFFF"/>
            <w:vAlign w:val="center"/>
          </w:tcPr>
          <w:p>
            <w:pPr>
              <w:jc w:val="center"/>
            </w:pPr>
            <w:r>
              <w:rPr>
                <w:rFonts w:ascii="Arial" w:hAnsi="Arial"/>
                <w:color w:val="1A1A1A"/>
                <w:sz w:val="19"/>
              </w:rPr>
              <w:t>$1,990/yr</w:t>
            </w:r>
          </w:p>
        </w:tc>
        <w:tc>
          <w:tcPr>
            <w:tcW w:type="dxa" w:w="4608"/>
            <w:shd w:val="clear" w:color="auto" w:fill="FFFFFF"/>
            <w:vAlign w:val="center"/>
          </w:tcPr>
          <w:p>
            <w:pPr>
              <w:jc w:val="center"/>
            </w:pPr>
            <w:r>
              <w:rPr>
                <w:rFonts w:ascii="Arial" w:hAnsi="Arial"/>
                <w:color w:val="1A1A1A"/>
                <w:sz w:val="19"/>
              </w:rPr>
              <w:t>Verified Badge, COA upload &amp; AI analysis, dashboard analytics, score alerts</w:t>
            </w:r>
          </w:p>
        </w:tc>
      </w:tr>
      <w:tr>
        <w:tc>
          <w:tcPr>
            <w:tcW w:type="dxa" w:w="2016"/>
            <w:shd w:val="clear" w:color="auto" w:fill="F2F5F9"/>
            <w:vAlign w:val="center"/>
          </w:tcPr>
          <w:p>
            <w:pPr>
              <w:jc w:val="left"/>
            </w:pPr>
            <w:r>
              <w:rPr>
                <w:rFonts w:ascii="Arial" w:hAnsi="Arial"/>
                <w:color w:val="1A1A1A"/>
                <w:sz w:val="19"/>
              </w:rPr>
              <w:t>Enterprise</w:t>
            </w:r>
          </w:p>
        </w:tc>
        <w:tc>
          <w:tcPr>
            <w:tcW w:type="dxa" w:w="1728"/>
            <w:shd w:val="clear" w:color="auto" w:fill="F2F5F9"/>
            <w:vAlign w:val="center"/>
          </w:tcPr>
          <w:p>
            <w:pPr>
              <w:jc w:val="center"/>
            </w:pPr>
            <w:r>
              <w:rPr>
                <w:rFonts w:ascii="Arial" w:hAnsi="Arial"/>
                <w:color w:val="1A1A1A"/>
                <w:sz w:val="19"/>
              </w:rPr>
              <w:t>$599/mo</w:t>
            </w:r>
          </w:p>
        </w:tc>
        <w:tc>
          <w:tcPr>
            <w:tcW w:type="dxa" w:w="1728"/>
            <w:shd w:val="clear" w:color="auto" w:fill="F2F5F9"/>
            <w:vAlign w:val="center"/>
          </w:tcPr>
          <w:p>
            <w:pPr>
              <w:jc w:val="center"/>
            </w:pPr>
            <w:r>
              <w:rPr>
                <w:rFonts w:ascii="Arial" w:hAnsi="Arial"/>
                <w:color w:val="1A1A1A"/>
                <w:sz w:val="19"/>
              </w:rPr>
              <w:t>$5,990/yr</w:t>
            </w:r>
          </w:p>
        </w:tc>
        <w:tc>
          <w:tcPr>
            <w:tcW w:type="dxa" w:w="4608"/>
            <w:shd w:val="clear" w:color="auto" w:fill="F2F5F9"/>
            <w:vAlign w:val="center"/>
          </w:tcPr>
          <w:p>
            <w:pPr>
              <w:jc w:val="center"/>
            </w:pPr>
            <w:r>
              <w:rPr>
                <w:rFonts w:ascii="Arial" w:hAnsi="Arial"/>
                <w:color w:val="1A1A1A"/>
                <w:sz w:val="19"/>
              </w:rPr>
              <w:t>All Pro features + competitor benchmarking, API access, account manager, marketing co-op</w:t>
            </w:r>
          </w:p>
        </w:tc>
      </w:tr>
    </w:tbl>
    <w:p/>
    <w:p>
      <w:pPr>
        <w:spacing w:before="280" w:after="60"/>
      </w:pPr>
      <w:r>
        <w:rPr>
          <w:rFonts w:ascii="Arial" w:hAnsi="Arial"/>
          <w:b/>
          <w:color w:val="008B8B"/>
          <w:sz w:val="24"/>
        </w:rPr>
        <w:t>Revenue Stream 2 — Consumer Referral / Affiliate Fees</w:t>
      </w:r>
    </w:p>
    <w:p>
      <w:pPr>
        <w:spacing w:before="40" w:after="120"/>
      </w:pPr>
      <w:r>
        <w:rPr>
          <w:rFonts w:ascii="Arial" w:hAnsi="Arial"/>
          <w:color w:val="1A1A1A"/>
          <w:sz w:val="21"/>
        </w:rPr>
        <w:t>PeptideRank AI earns a referral commission (3–8% of order value, or flat CPA of $15–$45) when a consumer navigates from a vendor listing to a vendor's store and completes a purchase. This is tracked via unique referral links embedded in each vendor listing. Referral revenue is projected to contribute 28% of total revenue by Month 12.</w:t>
      </w:r>
    </w:p>
    <w:p>
      <w:pPr>
        <w:spacing w:before="280" w:after="60"/>
      </w:pPr>
      <w:r>
        <w:rPr>
          <w:rFonts w:ascii="Arial" w:hAnsi="Arial"/>
          <w:b/>
          <w:color w:val="008B8B"/>
          <w:sz w:val="24"/>
        </w:rPr>
        <w:t>Revenue Stream 3 — Premium Data API</w:t>
      </w:r>
    </w:p>
    <w:p>
      <w:pPr>
        <w:spacing w:before="40" w:after="120"/>
      </w:pPr>
      <w:r>
        <w:rPr>
          <w:rFonts w:ascii="Arial" w:hAnsi="Arial"/>
          <w:color w:val="1A1A1A"/>
          <w:sz w:val="21"/>
        </w:rPr>
        <w:t>A REST API providing programmatic access to PRS scores, historical score trends, COA data extracts, and community sentiment time-series data. Target buyers: institutional researchers, supplement manufacturers benchmarking suppliers, journalists covering the industry, and regulatory consultants. Pricing: $299/month (Starter, 10K calls/month) to $1,499/month (Enterprise, unlimited calls + raw data exports).</w:t>
      </w:r>
    </w:p>
    <w:p>
      <w:pPr>
        <w:spacing w:before="280" w:after="60"/>
      </w:pPr>
      <w:r>
        <w:rPr>
          <w:rFonts w:ascii="Arial" w:hAnsi="Arial"/>
          <w:b/>
          <w:color w:val="008B8B"/>
          <w:sz w:val="24"/>
        </w:rPr>
        <w:t>Revenue Stream 4 — Sponsored Research Reports</w:t>
      </w:r>
    </w:p>
    <w:p>
      <w:pPr>
        <w:spacing w:before="40" w:after="120"/>
      </w:pPr>
      <w:r>
        <w:rPr>
          <w:rFonts w:ascii="Arial" w:hAnsi="Arial"/>
          <w:color w:val="1A1A1A"/>
          <w:sz w:val="21"/>
        </w:rPr>
        <w:t>Quarterly 'State of the Peptide Market' reports published publicly, with sponsored placement opportunities for compliant vendors (clearly labeled). Report sponsorships at $2,500–$5,000 per edition. Also available: custom vendor landscape analyses for pharma companies or investment firms at $5,000–$15,000 per engagement.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A376C"/>
            <w:vAlign w:val="center"/>
          </w:tcPr>
          <w:p>
            <w:pPr>
              <w:jc w:val="center"/>
            </w:pPr>
            <w:r>
              <w:rPr>
                <w:rFonts w:ascii="Arial" w:hAnsi="Arial"/>
                <w:b/>
                <w:color w:val="FFFFFF"/>
                <w:sz w:val="19"/>
              </w:rPr>
              <w:t>Revenue Stream</w:t>
            </w:r>
          </w:p>
        </w:tc>
        <w:tc>
          <w:tcPr>
            <w:tcW w:type="dxa" w:w="2160"/>
            <w:shd w:val="clear" w:color="auto" w:fill="1A376C"/>
            <w:vAlign w:val="center"/>
          </w:tcPr>
          <w:p>
            <w:pPr>
              <w:jc w:val="center"/>
            </w:pPr>
            <w:r>
              <w:rPr>
                <w:rFonts w:ascii="Arial" w:hAnsi="Arial"/>
                <w:b/>
                <w:color w:val="FFFFFF"/>
                <w:sz w:val="19"/>
              </w:rPr>
              <w:t>Yr 1 Revenue</w:t>
            </w:r>
          </w:p>
        </w:tc>
        <w:tc>
          <w:tcPr>
            <w:tcW w:type="dxa" w:w="1728"/>
            <w:shd w:val="clear" w:color="auto" w:fill="1A376C"/>
            <w:vAlign w:val="center"/>
          </w:tcPr>
          <w:p>
            <w:pPr>
              <w:jc w:val="center"/>
            </w:pPr>
            <w:r>
              <w:rPr>
                <w:rFonts w:ascii="Arial" w:hAnsi="Arial"/>
                <w:b/>
                <w:color w:val="FFFFFF"/>
                <w:sz w:val="19"/>
              </w:rPr>
              <w:t>% of Mix</w:t>
            </w:r>
          </w:p>
        </w:tc>
        <w:tc>
          <w:tcPr>
            <w:tcW w:type="dxa" w:w="2592"/>
            <w:shd w:val="clear" w:color="auto" w:fill="1A376C"/>
            <w:vAlign w:val="center"/>
          </w:tcPr>
          <w:p>
            <w:pPr>
              <w:jc w:val="center"/>
            </w:pPr>
            <w:r>
              <w:rPr>
                <w:rFonts w:ascii="Arial" w:hAnsi="Arial"/>
                <w:b/>
                <w:color w:val="FFFFFF"/>
                <w:sz w:val="19"/>
              </w:rPr>
              <w:t>Margin</w:t>
            </w:r>
          </w:p>
        </w:tc>
      </w:tr>
      <w:tr>
        <w:tc>
          <w:tcPr>
            <w:tcW w:type="dxa" w:w="3600"/>
            <w:shd w:val="clear" w:color="auto" w:fill="F2F5F9"/>
            <w:vAlign w:val="center"/>
          </w:tcPr>
          <w:p>
            <w:pPr>
              <w:jc w:val="left"/>
            </w:pPr>
            <w:r>
              <w:rPr>
                <w:rFonts w:ascii="Arial" w:hAnsi="Arial"/>
                <w:color w:val="1A1A1A"/>
                <w:sz w:val="19"/>
              </w:rPr>
              <w:t>Vendor SaaS Subscriptions</w:t>
            </w:r>
          </w:p>
        </w:tc>
        <w:tc>
          <w:tcPr>
            <w:tcW w:type="dxa" w:w="2160"/>
            <w:shd w:val="clear" w:color="auto" w:fill="F2F5F9"/>
            <w:vAlign w:val="center"/>
          </w:tcPr>
          <w:p>
            <w:pPr>
              <w:jc w:val="center"/>
            </w:pPr>
            <w:r>
              <w:rPr>
                <w:rFonts w:ascii="Arial" w:hAnsi="Arial"/>
                <w:color w:val="1A1A1A"/>
                <w:sz w:val="19"/>
              </w:rPr>
              <w:t>$582,000</w:t>
            </w:r>
          </w:p>
        </w:tc>
        <w:tc>
          <w:tcPr>
            <w:tcW w:type="dxa" w:w="1728"/>
            <w:shd w:val="clear" w:color="auto" w:fill="F2F5F9"/>
            <w:vAlign w:val="center"/>
          </w:tcPr>
          <w:p>
            <w:pPr>
              <w:jc w:val="center"/>
            </w:pPr>
            <w:r>
              <w:rPr>
                <w:rFonts w:ascii="Arial" w:hAnsi="Arial"/>
                <w:color w:val="1A1A1A"/>
                <w:sz w:val="19"/>
              </w:rPr>
              <w:t>56%</w:t>
            </w:r>
          </w:p>
        </w:tc>
        <w:tc>
          <w:tcPr>
            <w:tcW w:type="dxa" w:w="2592"/>
            <w:shd w:val="clear" w:color="auto" w:fill="F2F5F9"/>
            <w:vAlign w:val="center"/>
          </w:tcPr>
          <w:p>
            <w:pPr>
              <w:jc w:val="center"/>
            </w:pPr>
            <w:r>
              <w:rPr>
                <w:rFonts w:ascii="Arial" w:hAnsi="Arial"/>
                <w:color w:val="1A1A1A"/>
                <w:sz w:val="19"/>
              </w:rPr>
              <w:t>90%</w:t>
            </w:r>
          </w:p>
        </w:tc>
      </w:tr>
      <w:tr>
        <w:tc>
          <w:tcPr>
            <w:tcW w:type="dxa" w:w="3600"/>
            <w:shd w:val="clear" w:color="auto" w:fill="FFFFFF"/>
            <w:vAlign w:val="center"/>
          </w:tcPr>
          <w:p>
            <w:pPr>
              <w:jc w:val="left"/>
            </w:pPr>
            <w:r>
              <w:rPr>
                <w:rFonts w:ascii="Arial" w:hAnsi="Arial"/>
                <w:color w:val="1A1A1A"/>
                <w:sz w:val="19"/>
              </w:rPr>
              <w:t>Consumer Referral Fees</w:t>
            </w:r>
          </w:p>
        </w:tc>
        <w:tc>
          <w:tcPr>
            <w:tcW w:type="dxa" w:w="2160"/>
            <w:shd w:val="clear" w:color="auto" w:fill="FFFFFF"/>
            <w:vAlign w:val="center"/>
          </w:tcPr>
          <w:p>
            <w:pPr>
              <w:jc w:val="center"/>
            </w:pPr>
            <w:r>
              <w:rPr>
                <w:rFonts w:ascii="Arial" w:hAnsi="Arial"/>
                <w:color w:val="1A1A1A"/>
                <w:sz w:val="19"/>
              </w:rPr>
              <w:t>$289,000</w:t>
            </w:r>
          </w:p>
        </w:tc>
        <w:tc>
          <w:tcPr>
            <w:tcW w:type="dxa" w:w="1728"/>
            <w:shd w:val="clear" w:color="auto" w:fill="FFFFFF"/>
            <w:vAlign w:val="center"/>
          </w:tcPr>
          <w:p>
            <w:pPr>
              <w:jc w:val="center"/>
            </w:pPr>
            <w:r>
              <w:rPr>
                <w:rFonts w:ascii="Arial" w:hAnsi="Arial"/>
                <w:color w:val="1A1A1A"/>
                <w:sz w:val="19"/>
              </w:rPr>
              <w:t>28%</w:t>
            </w:r>
          </w:p>
        </w:tc>
        <w:tc>
          <w:tcPr>
            <w:tcW w:type="dxa" w:w="2592"/>
            <w:shd w:val="clear" w:color="auto" w:fill="FFFFFF"/>
            <w:vAlign w:val="center"/>
          </w:tcPr>
          <w:p>
            <w:pPr>
              <w:jc w:val="center"/>
            </w:pPr>
            <w:r>
              <w:rPr>
                <w:rFonts w:ascii="Arial" w:hAnsi="Arial"/>
                <w:color w:val="1A1A1A"/>
                <w:sz w:val="19"/>
              </w:rPr>
              <w:t>95%</w:t>
            </w:r>
          </w:p>
        </w:tc>
      </w:tr>
      <w:tr>
        <w:tc>
          <w:tcPr>
            <w:tcW w:type="dxa" w:w="3600"/>
            <w:shd w:val="clear" w:color="auto" w:fill="F2F5F9"/>
            <w:vAlign w:val="center"/>
          </w:tcPr>
          <w:p>
            <w:pPr>
              <w:jc w:val="left"/>
            </w:pPr>
            <w:r>
              <w:rPr>
                <w:rFonts w:ascii="Arial" w:hAnsi="Arial"/>
                <w:color w:val="1A1A1A"/>
                <w:sz w:val="19"/>
              </w:rPr>
              <w:t>Premium Data API</w:t>
            </w:r>
          </w:p>
        </w:tc>
        <w:tc>
          <w:tcPr>
            <w:tcW w:type="dxa" w:w="2160"/>
            <w:shd w:val="clear" w:color="auto" w:fill="F2F5F9"/>
            <w:vAlign w:val="center"/>
          </w:tcPr>
          <w:p>
            <w:pPr>
              <w:jc w:val="center"/>
            </w:pPr>
            <w:r>
              <w:rPr>
                <w:rFonts w:ascii="Arial" w:hAnsi="Arial"/>
                <w:color w:val="1A1A1A"/>
                <w:sz w:val="19"/>
              </w:rPr>
              <w:t>$118,000</w:t>
            </w:r>
          </w:p>
        </w:tc>
        <w:tc>
          <w:tcPr>
            <w:tcW w:type="dxa" w:w="1728"/>
            <w:shd w:val="clear" w:color="auto" w:fill="F2F5F9"/>
            <w:vAlign w:val="center"/>
          </w:tcPr>
          <w:p>
            <w:pPr>
              <w:jc w:val="center"/>
            </w:pPr>
            <w:r>
              <w:rPr>
                <w:rFonts w:ascii="Arial" w:hAnsi="Arial"/>
                <w:color w:val="1A1A1A"/>
                <w:sz w:val="19"/>
              </w:rPr>
              <w:t>11%</w:t>
            </w:r>
          </w:p>
        </w:tc>
        <w:tc>
          <w:tcPr>
            <w:tcW w:type="dxa" w:w="2592"/>
            <w:shd w:val="clear" w:color="auto" w:fill="F2F5F9"/>
            <w:vAlign w:val="center"/>
          </w:tcPr>
          <w:p>
            <w:pPr>
              <w:jc w:val="center"/>
            </w:pPr>
            <w:r>
              <w:rPr>
                <w:rFonts w:ascii="Arial" w:hAnsi="Arial"/>
                <w:color w:val="1A1A1A"/>
                <w:sz w:val="19"/>
              </w:rPr>
              <w:t>88%</w:t>
            </w:r>
          </w:p>
        </w:tc>
      </w:tr>
      <w:tr>
        <w:tc>
          <w:tcPr>
            <w:tcW w:type="dxa" w:w="3600"/>
            <w:shd w:val="clear" w:color="auto" w:fill="FFFFFF"/>
            <w:vAlign w:val="center"/>
          </w:tcPr>
          <w:p>
            <w:pPr>
              <w:jc w:val="left"/>
            </w:pPr>
            <w:r>
              <w:rPr>
                <w:rFonts w:ascii="Arial" w:hAnsi="Arial"/>
                <w:color w:val="1A1A1A"/>
                <w:sz w:val="19"/>
              </w:rPr>
              <w:t>Sponsored Reports &amp; Custom Research</w:t>
            </w:r>
          </w:p>
        </w:tc>
        <w:tc>
          <w:tcPr>
            <w:tcW w:type="dxa" w:w="2160"/>
            <w:shd w:val="clear" w:color="auto" w:fill="FFFFFF"/>
            <w:vAlign w:val="center"/>
          </w:tcPr>
          <w:p>
            <w:pPr>
              <w:jc w:val="center"/>
            </w:pPr>
            <w:r>
              <w:rPr>
                <w:rFonts w:ascii="Arial" w:hAnsi="Arial"/>
                <w:color w:val="1A1A1A"/>
                <w:sz w:val="19"/>
              </w:rPr>
              <w:t>$47,000</w:t>
            </w:r>
          </w:p>
        </w:tc>
        <w:tc>
          <w:tcPr>
            <w:tcW w:type="dxa" w:w="1728"/>
            <w:shd w:val="clear" w:color="auto" w:fill="FFFFFF"/>
            <w:vAlign w:val="center"/>
          </w:tcPr>
          <w:p>
            <w:pPr>
              <w:jc w:val="center"/>
            </w:pPr>
            <w:r>
              <w:rPr>
                <w:rFonts w:ascii="Arial" w:hAnsi="Arial"/>
                <w:color w:val="1A1A1A"/>
                <w:sz w:val="19"/>
              </w:rPr>
              <w:t>5%</w:t>
            </w:r>
          </w:p>
        </w:tc>
        <w:tc>
          <w:tcPr>
            <w:tcW w:type="dxa" w:w="2592"/>
            <w:shd w:val="clear" w:color="auto" w:fill="FFFFFF"/>
            <w:vAlign w:val="center"/>
          </w:tcPr>
          <w:p>
            <w:pPr>
              <w:jc w:val="center"/>
            </w:pPr>
            <w:r>
              <w:rPr>
                <w:rFonts w:ascii="Arial" w:hAnsi="Arial"/>
                <w:color w:val="1A1A1A"/>
                <w:sz w:val="19"/>
              </w:rPr>
              <w:t>70%</w:t>
            </w:r>
          </w:p>
        </w:tc>
      </w:tr>
      <w:tr>
        <w:tc>
          <w:tcPr>
            <w:tcW w:type="dxa" w:w="3600"/>
            <w:shd w:val="clear" w:color="auto" w:fill="F2F5F9"/>
            <w:vAlign w:val="center"/>
          </w:tcPr>
          <w:p>
            <w:pPr>
              <w:jc w:val="left"/>
            </w:pPr>
            <w:r>
              <w:rPr>
                <w:rFonts w:ascii="Arial" w:hAnsi="Arial"/>
                <w:color w:val="1A1A1A"/>
                <w:sz w:val="19"/>
              </w:rPr>
              <w:t>TOTAL</w:t>
            </w:r>
          </w:p>
        </w:tc>
        <w:tc>
          <w:tcPr>
            <w:tcW w:type="dxa" w:w="2160"/>
            <w:shd w:val="clear" w:color="auto" w:fill="F2F5F9"/>
            <w:vAlign w:val="center"/>
          </w:tcPr>
          <w:p>
            <w:pPr>
              <w:jc w:val="center"/>
            </w:pPr>
            <w:r>
              <w:rPr>
                <w:rFonts w:ascii="Arial" w:hAnsi="Arial"/>
                <w:color w:val="1A1A1A"/>
                <w:sz w:val="19"/>
              </w:rPr>
              <w:t>$1,036,000</w:t>
            </w:r>
          </w:p>
        </w:tc>
        <w:tc>
          <w:tcPr>
            <w:tcW w:type="dxa" w:w="1728"/>
            <w:shd w:val="clear" w:color="auto" w:fill="F2F5F9"/>
            <w:vAlign w:val="center"/>
          </w:tcPr>
          <w:p>
            <w:pPr>
              <w:jc w:val="center"/>
            </w:pPr>
            <w:r>
              <w:rPr>
                <w:rFonts w:ascii="Arial" w:hAnsi="Arial"/>
                <w:color w:val="1A1A1A"/>
                <w:sz w:val="19"/>
              </w:rPr>
              <w:t>100%</w:t>
            </w:r>
          </w:p>
        </w:tc>
        <w:tc>
          <w:tcPr>
            <w:tcW w:type="dxa" w:w="2592"/>
            <w:shd w:val="clear" w:color="auto" w:fill="F2F5F9"/>
            <w:vAlign w:val="center"/>
          </w:tcPr>
          <w:p>
            <w:pPr>
              <w:jc w:val="center"/>
            </w:pPr>
            <w:r>
              <w:rPr>
                <w:rFonts w:ascii="Arial" w:hAnsi="Arial"/>
                <w:color w:val="1A1A1A"/>
                <w:sz w:val="19"/>
              </w:rPr>
              <w:t>82% blended</w:t>
            </w:r>
          </w:p>
        </w:tc>
      </w:tr>
    </w:tbl>
    <w:p/>
    <w:p>
      <w:pPr>
        <w:spacing w:before="440" w:after="80"/>
      </w:pPr>
      <w:r>
        <w:rPr>
          <w:rFonts w:ascii="Arial" w:hAnsi="Arial"/>
          <w:b/>
          <w:color w:val="1A376C"/>
          <w:sz w:val="30"/>
        </w:rPr>
        <w:t>CUSTOMER ACQUISITION CHANNELS</w:t>
      </w:r>
    </w:p>
    <w:p>
      <w:pPr>
        <w:spacing w:before="0" w:after="0"/>
        <w:pBdr>
          <w:bottom w:val="single" w:sz="10" w:space="1" w:color="1A376C"/>
        </w:pBdr>
      </w:pPr>
    </w:p>
    <w:p>
      <w:pPr>
        <w:spacing w:before="280" w:after="60"/>
      </w:pPr>
      <w:r>
        <w:rPr>
          <w:rFonts w:ascii="Arial" w:hAnsi="Arial"/>
          <w:b/>
          <w:color w:val="008B8B"/>
          <w:sz w:val="24"/>
        </w:rPr>
        <w:t>Channel 1 — Organic SEO (Primary Growth Engine)</w:t>
      </w:r>
    </w:p>
    <w:p>
      <w:pPr>
        <w:spacing w:before="40" w:after="120"/>
      </w:pPr>
      <w:r>
        <w:rPr>
          <w:rFonts w:ascii="Arial" w:hAnsi="Arial"/>
          <w:color w:val="1A1A1A"/>
          <w:sz w:val="21"/>
        </w:rPr>
        <w:t>The peptide research community is intensely search-driven. High-value commercial queries ('best peptide vendor 2026', 'BPC-157 supplier review', 'peptide COA verification') currently return fragmented forum threads and affiliate blogs. PeptideRank AI's authoritative, structured-data-rich pages will target these keywords with category, vendor, and compound-specific landing pages. Target: 150,000+ monthly organic sessions by Month 12.</w:t>
      </w:r>
    </w:p>
    <w:p>
      <w:pPr>
        <w:spacing w:before="280" w:after="60"/>
      </w:pPr>
      <w:r>
        <w:rPr>
          <w:rFonts w:ascii="Arial" w:hAnsi="Arial"/>
          <w:b/>
          <w:color w:val="008B8B"/>
          <w:sz w:val="24"/>
        </w:rPr>
        <w:t>Channel 2 — Reddit Community Presence</w:t>
      </w:r>
    </w:p>
    <w:p>
      <w:pPr>
        <w:spacing w:before="40" w:after="120"/>
      </w:pPr>
      <w:r>
        <w:rPr>
          <w:rFonts w:ascii="Arial" w:hAnsi="Arial"/>
          <w:color w:val="1A1A1A"/>
          <w:sz w:val="21"/>
        </w:rPr>
        <w:t>The platform's Reddit data ingestion creates a natural partnership loop: community members see their posts referenced in vendor scores, driving organic shares. Dedicated community management in r/Peptides, r/nootropics, r/biohackers, and r/PeptidesRaw. Posting weekly 'Vendor Score Updates' threads with top movers and fallers builds brand authority. No paid Reddit ads — organic trust is the moat.</w:t>
      </w:r>
    </w:p>
    <w:p>
      <w:pPr>
        <w:spacing w:before="280" w:after="60"/>
      </w:pPr>
      <w:r>
        <w:rPr>
          <w:rFonts w:ascii="Arial" w:hAnsi="Arial"/>
          <w:b/>
          <w:color w:val="008B8B"/>
          <w:sz w:val="24"/>
        </w:rPr>
        <w:t>Channel 3 — Vendor Outreach (Direct Sales)</w:t>
      </w:r>
    </w:p>
    <w:p>
      <w:pPr>
        <w:spacing w:before="40" w:after="120"/>
      </w:pPr>
      <w:r>
        <w:rPr>
          <w:rFonts w:ascii="Arial" w:hAnsi="Arial"/>
          <w:color w:val="1A1A1A"/>
          <w:sz w:val="21"/>
        </w:rPr>
        <w:t>Month 1–3: Cold outreach to top-50 vendors by traffic, offering free Pro trial in exchange for a testimonial. Vendors are strongly motivated to claim and manage their listings once they see public PRS scores. A two-person sales motion (Founder + SDR by Month 4) targeting 10 new Pro conversions per month. CAC target: $210 per Pro vendor.</w:t>
      </w:r>
    </w:p>
    <w:p>
      <w:pPr>
        <w:spacing w:before="280" w:after="60"/>
      </w:pPr>
      <w:r>
        <w:rPr>
          <w:rFonts w:ascii="Arial" w:hAnsi="Arial"/>
          <w:b/>
          <w:color w:val="008B8B"/>
          <w:sz w:val="24"/>
        </w:rPr>
        <w:t>Channel 4 — Influencer &amp; Podcast Partnerships</w:t>
      </w:r>
    </w:p>
    <w:p>
      <w:pPr>
        <w:spacing w:before="40" w:after="120"/>
      </w:pPr>
      <w:r>
        <w:rPr>
          <w:rFonts w:ascii="Arial" w:hAnsi="Arial"/>
          <w:color w:val="1A1A1A"/>
          <w:sz w:val="21"/>
        </w:rPr>
        <w:t>Peptide-adjacent YouTube channels and podcasts (e.g., longevity, biohacking, performance optimization niches) are growing rapidly. Partnerships with 5–8 micro-influencers (50K–300K followers) at $500–$2,000 per dedicated mention, tracked via affiliate codes. Target: 15,000 referred visitors/month by Month 6.</w:t>
      </w:r>
    </w:p>
    <w:p>
      <w:pPr>
        <w:spacing w:before="280" w:after="60"/>
      </w:pPr>
      <w:r>
        <w:rPr>
          <w:rFonts w:ascii="Arial" w:hAnsi="Arial"/>
          <w:b/>
          <w:color w:val="008B8B"/>
          <w:sz w:val="24"/>
        </w:rPr>
        <w:t>Channel 5 — Email Newsletter &amp; Data Reports</w:t>
      </w:r>
    </w:p>
    <w:p>
      <w:pPr>
        <w:spacing w:before="40" w:after="120"/>
      </w:pPr>
      <w:r>
        <w:rPr>
          <w:rFonts w:ascii="Arial" w:hAnsi="Arial"/>
          <w:color w:val="1A1A1A"/>
          <w:sz w:val="21"/>
        </w:rPr>
        <w:t>A free weekly 'PeptideRank Intel' email newsletter covering vendor score movements, COA fraud alerts, new vendor additions, and community sentiment trends. Target: 25,000 subscribers by Month 12. Newsletter drives recurring vendor leads and referral traffic.</w:t>
      </w:r>
    </w:p>
    <w:p>
      <w:pPr>
        <w:spacing w:before="280" w:after="60"/>
      </w:pPr>
      <w:r>
        <w:rPr>
          <w:rFonts w:ascii="Arial" w:hAnsi="Arial"/>
          <w:b/>
          <w:color w:val="008B8B"/>
          <w:sz w:val="24"/>
        </w:rPr>
        <w:t>Channel 6 — API &amp; Data Syndication</w:t>
      </w:r>
    </w:p>
    <w:p>
      <w:pPr>
        <w:spacing w:before="40" w:after="120"/>
      </w:pPr>
      <w:r>
        <w:rPr>
          <w:rFonts w:ascii="Arial" w:hAnsi="Arial"/>
          <w:color w:val="1A1A1A"/>
          <w:sz w:val="21"/>
        </w:rPr>
        <w:t>White-label data partnerships with existing supplement review sites, nootropic databases, and longevity research portals. PeptideRank embeds score widgets that link back to the full platform, creating inbound referral traffic at near-zero marginal cost.</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736"/>
            <w:shd w:val="clear" w:color="auto" w:fill="1A376C"/>
            <w:vAlign w:val="center"/>
          </w:tcPr>
          <w:p>
            <w:pPr>
              <w:jc w:val="center"/>
            </w:pPr>
            <w:r>
              <w:rPr>
                <w:rFonts w:ascii="Arial" w:hAnsi="Arial"/>
                <w:b/>
                <w:color w:val="FFFFFF"/>
                <w:sz w:val="19"/>
              </w:rPr>
              <w:t>Channel</w:t>
            </w:r>
          </w:p>
        </w:tc>
        <w:tc>
          <w:tcPr>
            <w:tcW w:type="dxa" w:w="2304"/>
            <w:shd w:val="clear" w:color="auto" w:fill="1A376C"/>
            <w:vAlign w:val="center"/>
          </w:tcPr>
          <w:p>
            <w:pPr>
              <w:jc w:val="center"/>
            </w:pPr>
            <w:r>
              <w:rPr>
                <w:rFonts w:ascii="Arial" w:hAnsi="Arial"/>
                <w:b/>
                <w:color w:val="FFFFFF"/>
                <w:sz w:val="19"/>
              </w:rPr>
              <w:t>Primary KPI</w:t>
            </w:r>
          </w:p>
        </w:tc>
        <w:tc>
          <w:tcPr>
            <w:tcW w:type="dxa" w:w="1872"/>
            <w:shd w:val="clear" w:color="auto" w:fill="1A376C"/>
            <w:vAlign w:val="center"/>
          </w:tcPr>
          <w:p>
            <w:pPr>
              <w:jc w:val="center"/>
            </w:pPr>
            <w:r>
              <w:rPr>
                <w:rFonts w:ascii="Arial" w:hAnsi="Arial"/>
                <w:b/>
                <w:color w:val="FFFFFF"/>
                <w:sz w:val="19"/>
              </w:rPr>
              <w:t>Month 6 Target</w:t>
            </w:r>
          </w:p>
        </w:tc>
        <w:tc>
          <w:tcPr>
            <w:tcW w:type="dxa" w:w="1872"/>
            <w:shd w:val="clear" w:color="auto" w:fill="1A376C"/>
            <w:vAlign w:val="center"/>
          </w:tcPr>
          <w:p>
            <w:pPr>
              <w:jc w:val="center"/>
            </w:pPr>
            <w:r>
              <w:rPr>
                <w:rFonts w:ascii="Arial" w:hAnsi="Arial"/>
                <w:b/>
                <w:color w:val="FFFFFF"/>
                <w:sz w:val="19"/>
              </w:rPr>
              <w:t>Month 12 Target</w:t>
            </w:r>
          </w:p>
        </w:tc>
        <w:tc>
          <w:tcPr>
            <w:tcW w:type="dxa" w:w="2736"/>
            <w:shd w:val="clear" w:color="auto" w:fill="1A376C"/>
            <w:vAlign w:val="center"/>
          </w:tcPr>
          <w:p>
            <w:pPr>
              <w:jc w:val="center"/>
            </w:pPr>
            <w:r>
              <w:rPr>
                <w:rFonts w:ascii="Arial" w:hAnsi="Arial"/>
                <w:b/>
                <w:color w:val="FFFFFF"/>
                <w:sz w:val="19"/>
              </w:rPr>
              <w:t>CAC Est.</w:t>
            </w:r>
          </w:p>
        </w:tc>
      </w:tr>
      <w:tr>
        <w:tc>
          <w:tcPr>
            <w:tcW w:type="dxa" w:w="2736"/>
            <w:shd w:val="clear" w:color="auto" w:fill="F2F5F9"/>
            <w:vAlign w:val="center"/>
          </w:tcPr>
          <w:p>
            <w:pPr>
              <w:jc w:val="left"/>
            </w:pPr>
            <w:r>
              <w:rPr>
                <w:rFonts w:ascii="Arial" w:hAnsi="Arial"/>
                <w:color w:val="1A1A1A"/>
                <w:sz w:val="19"/>
              </w:rPr>
              <w:t>SEO</w:t>
            </w:r>
          </w:p>
        </w:tc>
        <w:tc>
          <w:tcPr>
            <w:tcW w:type="dxa" w:w="2304"/>
            <w:shd w:val="clear" w:color="auto" w:fill="F2F5F9"/>
            <w:vAlign w:val="center"/>
          </w:tcPr>
          <w:p>
            <w:pPr>
              <w:jc w:val="center"/>
            </w:pPr>
            <w:r>
              <w:rPr>
                <w:rFonts w:ascii="Arial" w:hAnsi="Arial"/>
                <w:color w:val="1A1A1A"/>
                <w:sz w:val="19"/>
              </w:rPr>
              <w:t>Organic sessions/mo</w:t>
            </w:r>
          </w:p>
        </w:tc>
        <w:tc>
          <w:tcPr>
            <w:tcW w:type="dxa" w:w="1872"/>
            <w:shd w:val="clear" w:color="auto" w:fill="F2F5F9"/>
            <w:vAlign w:val="center"/>
          </w:tcPr>
          <w:p>
            <w:pPr>
              <w:jc w:val="center"/>
            </w:pPr>
            <w:r>
              <w:rPr>
                <w:rFonts w:ascii="Arial" w:hAnsi="Arial"/>
                <w:color w:val="1A1A1A"/>
                <w:sz w:val="19"/>
              </w:rPr>
              <w:t>65,000</w:t>
            </w:r>
          </w:p>
        </w:tc>
        <w:tc>
          <w:tcPr>
            <w:tcW w:type="dxa" w:w="1872"/>
            <w:shd w:val="clear" w:color="auto" w:fill="F2F5F9"/>
            <w:vAlign w:val="center"/>
          </w:tcPr>
          <w:p>
            <w:pPr>
              <w:jc w:val="center"/>
            </w:pPr>
            <w:r>
              <w:rPr>
                <w:rFonts w:ascii="Arial" w:hAnsi="Arial"/>
                <w:color w:val="1A1A1A"/>
                <w:sz w:val="19"/>
              </w:rPr>
              <w:t>150,000</w:t>
            </w:r>
          </w:p>
        </w:tc>
        <w:tc>
          <w:tcPr>
            <w:tcW w:type="dxa" w:w="2736"/>
            <w:shd w:val="clear" w:color="auto" w:fill="F2F5F9"/>
            <w:vAlign w:val="center"/>
          </w:tcPr>
          <w:p>
            <w:pPr>
              <w:jc w:val="center"/>
            </w:pPr>
            <w:r>
              <w:rPr>
                <w:rFonts w:ascii="Arial" w:hAnsi="Arial"/>
                <w:color w:val="1A1A1A"/>
                <w:sz w:val="19"/>
              </w:rPr>
              <w:t>$0 (content cost only)</w:t>
            </w:r>
          </w:p>
        </w:tc>
      </w:tr>
      <w:tr>
        <w:tc>
          <w:tcPr>
            <w:tcW w:type="dxa" w:w="2736"/>
            <w:shd w:val="clear" w:color="auto" w:fill="FFFFFF"/>
            <w:vAlign w:val="center"/>
          </w:tcPr>
          <w:p>
            <w:pPr>
              <w:jc w:val="left"/>
            </w:pPr>
            <w:r>
              <w:rPr>
                <w:rFonts w:ascii="Arial" w:hAnsi="Arial"/>
                <w:color w:val="1A1A1A"/>
                <w:sz w:val="19"/>
              </w:rPr>
              <w:t>Reddit</w:t>
            </w:r>
          </w:p>
        </w:tc>
        <w:tc>
          <w:tcPr>
            <w:tcW w:type="dxa" w:w="2304"/>
            <w:shd w:val="clear" w:color="auto" w:fill="FFFFFF"/>
            <w:vAlign w:val="center"/>
          </w:tcPr>
          <w:p>
            <w:pPr>
              <w:jc w:val="center"/>
            </w:pPr>
            <w:r>
              <w:rPr>
                <w:rFonts w:ascii="Arial" w:hAnsi="Arial"/>
                <w:color w:val="1A1A1A"/>
                <w:sz w:val="19"/>
              </w:rPr>
              <w:t>Referral visits/mo</w:t>
            </w:r>
          </w:p>
        </w:tc>
        <w:tc>
          <w:tcPr>
            <w:tcW w:type="dxa" w:w="1872"/>
            <w:shd w:val="clear" w:color="auto" w:fill="FFFFFF"/>
            <w:vAlign w:val="center"/>
          </w:tcPr>
          <w:p>
            <w:pPr>
              <w:jc w:val="center"/>
            </w:pPr>
            <w:r>
              <w:rPr>
                <w:rFonts w:ascii="Arial" w:hAnsi="Arial"/>
                <w:color w:val="1A1A1A"/>
                <w:sz w:val="19"/>
              </w:rPr>
              <w:t>18,000</w:t>
            </w:r>
          </w:p>
        </w:tc>
        <w:tc>
          <w:tcPr>
            <w:tcW w:type="dxa" w:w="1872"/>
            <w:shd w:val="clear" w:color="auto" w:fill="FFFFFF"/>
            <w:vAlign w:val="center"/>
          </w:tcPr>
          <w:p>
            <w:pPr>
              <w:jc w:val="center"/>
            </w:pPr>
            <w:r>
              <w:rPr>
                <w:rFonts w:ascii="Arial" w:hAnsi="Arial"/>
                <w:color w:val="1A1A1A"/>
                <w:sz w:val="19"/>
              </w:rPr>
              <w:t>35,000</w:t>
            </w:r>
          </w:p>
        </w:tc>
        <w:tc>
          <w:tcPr>
            <w:tcW w:type="dxa" w:w="2736"/>
            <w:shd w:val="clear" w:color="auto" w:fill="FFFFFF"/>
            <w:vAlign w:val="center"/>
          </w:tcPr>
          <w:p>
            <w:pPr>
              <w:jc w:val="center"/>
            </w:pPr>
            <w:r>
              <w:rPr>
                <w:rFonts w:ascii="Arial" w:hAnsi="Arial"/>
                <w:color w:val="1A1A1A"/>
                <w:sz w:val="19"/>
              </w:rPr>
              <w:t>$0</w:t>
            </w:r>
          </w:p>
        </w:tc>
      </w:tr>
      <w:tr>
        <w:tc>
          <w:tcPr>
            <w:tcW w:type="dxa" w:w="2736"/>
            <w:shd w:val="clear" w:color="auto" w:fill="F2F5F9"/>
            <w:vAlign w:val="center"/>
          </w:tcPr>
          <w:p>
            <w:pPr>
              <w:jc w:val="left"/>
            </w:pPr>
            <w:r>
              <w:rPr>
                <w:rFonts w:ascii="Arial" w:hAnsi="Arial"/>
                <w:color w:val="1A1A1A"/>
                <w:sz w:val="19"/>
              </w:rPr>
              <w:t>Direct Vendor Sales</w:t>
            </w:r>
          </w:p>
        </w:tc>
        <w:tc>
          <w:tcPr>
            <w:tcW w:type="dxa" w:w="2304"/>
            <w:shd w:val="clear" w:color="auto" w:fill="F2F5F9"/>
            <w:vAlign w:val="center"/>
          </w:tcPr>
          <w:p>
            <w:pPr>
              <w:jc w:val="center"/>
            </w:pPr>
            <w:r>
              <w:rPr>
                <w:rFonts w:ascii="Arial" w:hAnsi="Arial"/>
                <w:color w:val="1A1A1A"/>
                <w:sz w:val="19"/>
              </w:rPr>
              <w:t>Pro/Enterprise vendors</w:t>
            </w:r>
          </w:p>
        </w:tc>
        <w:tc>
          <w:tcPr>
            <w:tcW w:type="dxa" w:w="1872"/>
            <w:shd w:val="clear" w:color="auto" w:fill="F2F5F9"/>
            <w:vAlign w:val="center"/>
          </w:tcPr>
          <w:p>
            <w:pPr>
              <w:jc w:val="center"/>
            </w:pPr>
            <w:r>
              <w:rPr>
                <w:rFonts w:ascii="Arial" w:hAnsi="Arial"/>
                <w:color w:val="1A1A1A"/>
                <w:sz w:val="19"/>
              </w:rPr>
              <w:t>28 vendors</w:t>
            </w:r>
          </w:p>
        </w:tc>
        <w:tc>
          <w:tcPr>
            <w:tcW w:type="dxa" w:w="1872"/>
            <w:shd w:val="clear" w:color="auto" w:fill="F2F5F9"/>
            <w:vAlign w:val="center"/>
          </w:tcPr>
          <w:p>
            <w:pPr>
              <w:jc w:val="center"/>
            </w:pPr>
            <w:r>
              <w:rPr>
                <w:rFonts w:ascii="Arial" w:hAnsi="Arial"/>
                <w:color w:val="1A1A1A"/>
                <w:sz w:val="19"/>
              </w:rPr>
              <w:t>72 vendors</w:t>
            </w:r>
          </w:p>
        </w:tc>
        <w:tc>
          <w:tcPr>
            <w:tcW w:type="dxa" w:w="2736"/>
            <w:shd w:val="clear" w:color="auto" w:fill="F2F5F9"/>
            <w:vAlign w:val="center"/>
          </w:tcPr>
          <w:p>
            <w:pPr>
              <w:jc w:val="center"/>
            </w:pPr>
            <w:r>
              <w:rPr>
                <w:rFonts w:ascii="Arial" w:hAnsi="Arial"/>
                <w:color w:val="1A1A1A"/>
                <w:sz w:val="19"/>
              </w:rPr>
              <w:t>$210/vendor</w:t>
            </w:r>
          </w:p>
        </w:tc>
      </w:tr>
      <w:tr>
        <w:tc>
          <w:tcPr>
            <w:tcW w:type="dxa" w:w="2736"/>
            <w:shd w:val="clear" w:color="auto" w:fill="FFFFFF"/>
            <w:vAlign w:val="center"/>
          </w:tcPr>
          <w:p>
            <w:pPr>
              <w:jc w:val="left"/>
            </w:pPr>
            <w:r>
              <w:rPr>
                <w:rFonts w:ascii="Arial" w:hAnsi="Arial"/>
                <w:color w:val="1A1A1A"/>
                <w:sz w:val="19"/>
              </w:rPr>
              <w:t>Influencer / Podcast</w:t>
            </w:r>
          </w:p>
        </w:tc>
        <w:tc>
          <w:tcPr>
            <w:tcW w:type="dxa" w:w="2304"/>
            <w:shd w:val="clear" w:color="auto" w:fill="FFFFFF"/>
            <w:vAlign w:val="center"/>
          </w:tcPr>
          <w:p>
            <w:pPr>
              <w:jc w:val="center"/>
            </w:pPr>
            <w:r>
              <w:rPr>
                <w:rFonts w:ascii="Arial" w:hAnsi="Arial"/>
                <w:color w:val="1A1A1A"/>
                <w:sz w:val="19"/>
              </w:rPr>
              <w:t>Referred sessions/mo</w:t>
            </w:r>
          </w:p>
        </w:tc>
        <w:tc>
          <w:tcPr>
            <w:tcW w:type="dxa" w:w="1872"/>
            <w:shd w:val="clear" w:color="auto" w:fill="FFFFFF"/>
            <w:vAlign w:val="center"/>
          </w:tcPr>
          <w:p>
            <w:pPr>
              <w:jc w:val="center"/>
            </w:pPr>
            <w:r>
              <w:rPr>
                <w:rFonts w:ascii="Arial" w:hAnsi="Arial"/>
                <w:color w:val="1A1A1A"/>
                <w:sz w:val="19"/>
              </w:rPr>
              <w:t>12,000</w:t>
            </w:r>
          </w:p>
        </w:tc>
        <w:tc>
          <w:tcPr>
            <w:tcW w:type="dxa" w:w="1872"/>
            <w:shd w:val="clear" w:color="auto" w:fill="FFFFFF"/>
            <w:vAlign w:val="center"/>
          </w:tcPr>
          <w:p>
            <w:pPr>
              <w:jc w:val="center"/>
            </w:pPr>
            <w:r>
              <w:rPr>
                <w:rFonts w:ascii="Arial" w:hAnsi="Arial"/>
                <w:color w:val="1A1A1A"/>
                <w:sz w:val="19"/>
              </w:rPr>
              <w:t>22,000</w:t>
            </w:r>
          </w:p>
        </w:tc>
        <w:tc>
          <w:tcPr>
            <w:tcW w:type="dxa" w:w="2736"/>
            <w:shd w:val="clear" w:color="auto" w:fill="FFFFFF"/>
            <w:vAlign w:val="center"/>
          </w:tcPr>
          <w:p>
            <w:pPr>
              <w:jc w:val="center"/>
            </w:pPr>
            <w:r>
              <w:rPr>
                <w:rFonts w:ascii="Arial" w:hAnsi="Arial"/>
                <w:color w:val="1A1A1A"/>
                <w:sz w:val="19"/>
              </w:rPr>
              <w:t>$0.12/visit</w:t>
            </w:r>
          </w:p>
        </w:tc>
      </w:tr>
      <w:tr>
        <w:tc>
          <w:tcPr>
            <w:tcW w:type="dxa" w:w="2736"/>
            <w:shd w:val="clear" w:color="auto" w:fill="F2F5F9"/>
            <w:vAlign w:val="center"/>
          </w:tcPr>
          <w:p>
            <w:pPr>
              <w:jc w:val="left"/>
            </w:pPr>
            <w:r>
              <w:rPr>
                <w:rFonts w:ascii="Arial" w:hAnsi="Arial"/>
                <w:color w:val="1A1A1A"/>
                <w:sz w:val="19"/>
              </w:rPr>
              <w:t>Email Newsletter</w:t>
            </w:r>
          </w:p>
        </w:tc>
        <w:tc>
          <w:tcPr>
            <w:tcW w:type="dxa" w:w="2304"/>
            <w:shd w:val="clear" w:color="auto" w:fill="F2F5F9"/>
            <w:vAlign w:val="center"/>
          </w:tcPr>
          <w:p>
            <w:pPr>
              <w:jc w:val="center"/>
            </w:pPr>
            <w:r>
              <w:rPr>
                <w:rFonts w:ascii="Arial" w:hAnsi="Arial"/>
                <w:color w:val="1A1A1A"/>
                <w:sz w:val="19"/>
              </w:rPr>
              <w:t>Subscribers</w:t>
            </w:r>
          </w:p>
        </w:tc>
        <w:tc>
          <w:tcPr>
            <w:tcW w:type="dxa" w:w="1872"/>
            <w:shd w:val="clear" w:color="auto" w:fill="F2F5F9"/>
            <w:vAlign w:val="center"/>
          </w:tcPr>
          <w:p>
            <w:pPr>
              <w:jc w:val="center"/>
            </w:pPr>
            <w:r>
              <w:rPr>
                <w:rFonts w:ascii="Arial" w:hAnsi="Arial"/>
                <w:color w:val="1A1A1A"/>
                <w:sz w:val="19"/>
              </w:rPr>
              <w:t>10,000</w:t>
            </w:r>
          </w:p>
        </w:tc>
        <w:tc>
          <w:tcPr>
            <w:tcW w:type="dxa" w:w="1872"/>
            <w:shd w:val="clear" w:color="auto" w:fill="F2F5F9"/>
            <w:vAlign w:val="center"/>
          </w:tcPr>
          <w:p>
            <w:pPr>
              <w:jc w:val="center"/>
            </w:pPr>
            <w:r>
              <w:rPr>
                <w:rFonts w:ascii="Arial" w:hAnsi="Arial"/>
                <w:color w:val="1A1A1A"/>
                <w:sz w:val="19"/>
              </w:rPr>
              <w:t>25,000</w:t>
            </w:r>
          </w:p>
        </w:tc>
        <w:tc>
          <w:tcPr>
            <w:tcW w:type="dxa" w:w="2736"/>
            <w:shd w:val="clear" w:color="auto" w:fill="F2F5F9"/>
            <w:vAlign w:val="center"/>
          </w:tcPr>
          <w:p>
            <w:pPr>
              <w:jc w:val="center"/>
            </w:pPr>
            <w:r>
              <w:rPr>
                <w:rFonts w:ascii="Arial" w:hAnsi="Arial"/>
                <w:color w:val="1A1A1A"/>
                <w:sz w:val="19"/>
              </w:rPr>
              <w:t>$1.80/subscriber</w:t>
            </w:r>
          </w:p>
        </w:tc>
      </w:tr>
      <w:tr>
        <w:tc>
          <w:tcPr>
            <w:tcW w:type="dxa" w:w="2736"/>
            <w:shd w:val="clear" w:color="auto" w:fill="FFFFFF"/>
            <w:vAlign w:val="center"/>
          </w:tcPr>
          <w:p>
            <w:pPr>
              <w:jc w:val="left"/>
            </w:pPr>
            <w:r>
              <w:rPr>
                <w:rFonts w:ascii="Arial" w:hAnsi="Arial"/>
                <w:color w:val="1A1A1A"/>
                <w:sz w:val="19"/>
              </w:rPr>
              <w:t>API Syndication</w:t>
            </w:r>
          </w:p>
        </w:tc>
        <w:tc>
          <w:tcPr>
            <w:tcW w:type="dxa" w:w="2304"/>
            <w:shd w:val="clear" w:color="auto" w:fill="FFFFFF"/>
            <w:vAlign w:val="center"/>
          </w:tcPr>
          <w:p>
            <w:pPr>
              <w:jc w:val="center"/>
            </w:pPr>
            <w:r>
              <w:rPr>
                <w:rFonts w:ascii="Arial" w:hAnsi="Arial"/>
                <w:color w:val="1A1A1A"/>
                <w:sz w:val="19"/>
              </w:rPr>
              <w:t>Embedded widgets live</w:t>
            </w:r>
          </w:p>
        </w:tc>
        <w:tc>
          <w:tcPr>
            <w:tcW w:type="dxa" w:w="1872"/>
            <w:shd w:val="clear" w:color="auto" w:fill="FFFFFF"/>
            <w:vAlign w:val="center"/>
          </w:tcPr>
          <w:p>
            <w:pPr>
              <w:jc w:val="center"/>
            </w:pPr>
            <w:r>
              <w:rPr>
                <w:rFonts w:ascii="Arial" w:hAnsi="Arial"/>
                <w:color w:val="1A1A1A"/>
                <w:sz w:val="19"/>
              </w:rPr>
              <w:t>15 partners</w:t>
            </w:r>
          </w:p>
        </w:tc>
        <w:tc>
          <w:tcPr>
            <w:tcW w:type="dxa" w:w="1872"/>
            <w:shd w:val="clear" w:color="auto" w:fill="FFFFFF"/>
            <w:vAlign w:val="center"/>
          </w:tcPr>
          <w:p>
            <w:pPr>
              <w:jc w:val="center"/>
            </w:pPr>
            <w:r>
              <w:rPr>
                <w:rFonts w:ascii="Arial" w:hAnsi="Arial"/>
                <w:color w:val="1A1A1A"/>
                <w:sz w:val="19"/>
              </w:rPr>
              <w:t>40 partners</w:t>
            </w:r>
          </w:p>
        </w:tc>
        <w:tc>
          <w:tcPr>
            <w:tcW w:type="dxa" w:w="2736"/>
            <w:shd w:val="clear" w:color="auto" w:fill="FFFFFF"/>
            <w:vAlign w:val="center"/>
          </w:tcPr>
          <w:p>
            <w:pPr>
              <w:jc w:val="center"/>
            </w:pPr>
            <w:r>
              <w:rPr>
                <w:rFonts w:ascii="Arial" w:hAnsi="Arial"/>
                <w:color w:val="1A1A1A"/>
                <w:sz w:val="19"/>
              </w:rPr>
              <w:t>$150/partner</w:t>
            </w:r>
          </w:p>
        </w:tc>
      </w:tr>
    </w:tbl>
    <w:p/>
    <w:p>
      <w:pPr>
        <w:spacing w:before="440" w:after="80"/>
      </w:pPr>
      <w:r>
        <w:rPr>
          <w:rFonts w:ascii="Arial" w:hAnsi="Arial"/>
          <w:b/>
          <w:color w:val="1A376C"/>
          <w:sz w:val="30"/>
        </w:rPr>
        <w:t>COMPETITIVE ANALYSIS</w:t>
      </w:r>
    </w:p>
    <w:p>
      <w:pPr>
        <w:spacing w:before="0" w:after="0"/>
        <w:pBdr>
          <w:bottom w:val="single" w:sz="10" w:space="1" w:color="1A376C"/>
        </w:pBdr>
      </w:pPr>
    </w:p>
    <w:p>
      <w:pPr>
        <w:spacing w:before="280" w:after="60"/>
      </w:pPr>
      <w:r>
        <w:rPr>
          <w:rFonts w:ascii="Arial" w:hAnsi="Arial"/>
          <w:b/>
          <w:color w:val="008B8B"/>
          <w:sz w:val="24"/>
        </w:rPr>
        <w:t>Direct Competitors</w:t>
      </w:r>
    </w:p>
    <w:p>
      <w:pPr>
        <w:spacing w:before="40" w:after="120"/>
      </w:pPr>
      <w:r>
        <w:rPr>
          <w:rFonts w:ascii="Arial" w:hAnsi="Arial"/>
          <w:color w:val="1A1A1A"/>
          <w:sz w:val="21"/>
        </w:rPr>
        <w:t>No direct competitor currently offers a comprehensive, AI-powered, daily-updated multi-factor ranking of peptide research vendors. The competitive landscape consists of partial substitutes: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376C"/>
            <w:vAlign w:val="center"/>
          </w:tcPr>
          <w:p>
            <w:pPr>
              <w:jc w:val="center"/>
            </w:pPr>
            <w:r>
              <w:rPr>
                <w:rFonts w:ascii="Arial" w:hAnsi="Arial"/>
                <w:b/>
                <w:color w:val="FFFFFF"/>
                <w:sz w:val="19"/>
              </w:rPr>
              <w:t>Competitor / Substitute</w:t>
            </w:r>
          </w:p>
        </w:tc>
        <w:tc>
          <w:tcPr>
            <w:tcW w:type="dxa" w:w="1872"/>
            <w:shd w:val="clear" w:color="auto" w:fill="1A376C"/>
            <w:vAlign w:val="center"/>
          </w:tcPr>
          <w:p>
            <w:pPr>
              <w:jc w:val="center"/>
            </w:pPr>
            <w:r>
              <w:rPr>
                <w:rFonts w:ascii="Arial" w:hAnsi="Arial"/>
                <w:b/>
                <w:color w:val="FFFFFF"/>
                <w:sz w:val="19"/>
              </w:rPr>
              <w:t>Type</w:t>
            </w:r>
          </w:p>
        </w:tc>
        <w:tc>
          <w:tcPr>
            <w:tcW w:type="dxa" w:w="2592"/>
            <w:shd w:val="clear" w:color="auto" w:fill="1A376C"/>
            <w:vAlign w:val="center"/>
          </w:tcPr>
          <w:p>
            <w:pPr>
              <w:jc w:val="center"/>
            </w:pPr>
            <w:r>
              <w:rPr>
                <w:rFonts w:ascii="Arial" w:hAnsi="Arial"/>
                <w:b/>
                <w:color w:val="FFFFFF"/>
                <w:sz w:val="19"/>
              </w:rPr>
              <w:t>Strength</w:t>
            </w:r>
          </w:p>
        </w:tc>
        <w:tc>
          <w:tcPr>
            <w:tcW w:type="dxa" w:w="3456"/>
            <w:shd w:val="clear" w:color="auto" w:fill="1A376C"/>
            <w:vAlign w:val="center"/>
          </w:tcPr>
          <w:p>
            <w:pPr>
              <w:jc w:val="center"/>
            </w:pPr>
            <w:r>
              <w:rPr>
                <w:rFonts w:ascii="Arial" w:hAnsi="Arial"/>
                <w:b/>
                <w:color w:val="FFFFFF"/>
                <w:sz w:val="19"/>
              </w:rPr>
              <w:t>Weakness vs. PeptideRank</w:t>
            </w:r>
          </w:p>
        </w:tc>
      </w:tr>
      <w:tr>
        <w:tc>
          <w:tcPr>
            <w:tcW w:type="dxa" w:w="2880"/>
            <w:shd w:val="clear" w:color="auto" w:fill="F2F5F9"/>
            <w:vAlign w:val="center"/>
          </w:tcPr>
          <w:p>
            <w:pPr>
              <w:jc w:val="left"/>
            </w:pPr>
            <w:r>
              <w:rPr>
                <w:rFonts w:ascii="Arial" w:hAnsi="Arial"/>
                <w:color w:val="1A1A1A"/>
                <w:sz w:val="19"/>
              </w:rPr>
              <w:t>Peptide Underground (Reddit wiki)</w:t>
            </w:r>
          </w:p>
        </w:tc>
        <w:tc>
          <w:tcPr>
            <w:tcW w:type="dxa" w:w="1872"/>
            <w:shd w:val="clear" w:color="auto" w:fill="F2F5F9"/>
            <w:vAlign w:val="center"/>
          </w:tcPr>
          <w:p>
            <w:pPr>
              <w:jc w:val="center"/>
            </w:pPr>
            <w:r>
              <w:rPr>
                <w:rFonts w:ascii="Arial" w:hAnsi="Arial"/>
                <w:color w:val="1A1A1A"/>
                <w:sz w:val="19"/>
              </w:rPr>
              <w:t>Community list</w:t>
            </w:r>
          </w:p>
        </w:tc>
        <w:tc>
          <w:tcPr>
            <w:tcW w:type="dxa" w:w="2592"/>
            <w:shd w:val="clear" w:color="auto" w:fill="F2F5F9"/>
            <w:vAlign w:val="center"/>
          </w:tcPr>
          <w:p>
            <w:pPr>
              <w:jc w:val="center"/>
            </w:pPr>
            <w:r>
              <w:rPr>
                <w:rFonts w:ascii="Arial" w:hAnsi="Arial"/>
                <w:color w:val="1A1A1A"/>
                <w:sz w:val="19"/>
              </w:rPr>
              <w:t>High community trust</w:t>
            </w:r>
          </w:p>
        </w:tc>
        <w:tc>
          <w:tcPr>
            <w:tcW w:type="dxa" w:w="3456"/>
            <w:shd w:val="clear" w:color="auto" w:fill="F2F5F9"/>
            <w:vAlign w:val="center"/>
          </w:tcPr>
          <w:p>
            <w:pPr>
              <w:jc w:val="center"/>
            </w:pPr>
            <w:r>
              <w:rPr>
                <w:rFonts w:ascii="Arial" w:hAnsi="Arial"/>
                <w:color w:val="1A1A1A"/>
                <w:sz w:val="19"/>
              </w:rPr>
              <w:t>Manual, infrequent updates; no scoring</w:t>
            </w:r>
          </w:p>
        </w:tc>
      </w:tr>
      <w:tr>
        <w:tc>
          <w:tcPr>
            <w:tcW w:type="dxa" w:w="2880"/>
            <w:shd w:val="clear" w:color="auto" w:fill="FFFFFF"/>
            <w:vAlign w:val="center"/>
          </w:tcPr>
          <w:p>
            <w:pPr>
              <w:jc w:val="left"/>
            </w:pPr>
            <w:r>
              <w:rPr>
                <w:rFonts w:ascii="Arial" w:hAnsi="Arial"/>
                <w:color w:val="1A1A1A"/>
                <w:sz w:val="19"/>
              </w:rPr>
              <w:t>Trustpilot vendor pages</w:t>
            </w:r>
          </w:p>
        </w:tc>
        <w:tc>
          <w:tcPr>
            <w:tcW w:type="dxa" w:w="1872"/>
            <w:shd w:val="clear" w:color="auto" w:fill="FFFFFF"/>
            <w:vAlign w:val="center"/>
          </w:tcPr>
          <w:p>
            <w:pPr>
              <w:jc w:val="center"/>
            </w:pPr>
            <w:r>
              <w:rPr>
                <w:rFonts w:ascii="Arial" w:hAnsi="Arial"/>
                <w:color w:val="1A1A1A"/>
                <w:sz w:val="19"/>
              </w:rPr>
              <w:t>Generic review platform</w:t>
            </w:r>
          </w:p>
        </w:tc>
        <w:tc>
          <w:tcPr>
            <w:tcW w:type="dxa" w:w="2592"/>
            <w:shd w:val="clear" w:color="auto" w:fill="FFFFFF"/>
            <w:vAlign w:val="center"/>
          </w:tcPr>
          <w:p>
            <w:pPr>
              <w:jc w:val="center"/>
            </w:pPr>
            <w:r>
              <w:rPr>
                <w:rFonts w:ascii="Arial" w:hAnsi="Arial"/>
                <w:color w:val="1A1A1A"/>
                <w:sz w:val="19"/>
              </w:rPr>
              <w:t>Brand recognition</w:t>
            </w:r>
          </w:p>
        </w:tc>
        <w:tc>
          <w:tcPr>
            <w:tcW w:type="dxa" w:w="3456"/>
            <w:shd w:val="clear" w:color="auto" w:fill="FFFFFF"/>
            <w:vAlign w:val="center"/>
          </w:tcPr>
          <w:p>
            <w:pPr>
              <w:jc w:val="center"/>
            </w:pPr>
            <w:r>
              <w:rPr>
                <w:rFonts w:ascii="Arial" w:hAnsi="Arial"/>
                <w:color w:val="1A1A1A"/>
                <w:sz w:val="19"/>
              </w:rPr>
              <w:t>No peptide-specific metrics; gameable reviews</w:t>
            </w:r>
          </w:p>
        </w:tc>
      </w:tr>
      <w:tr>
        <w:tc>
          <w:tcPr>
            <w:tcW w:type="dxa" w:w="2880"/>
            <w:shd w:val="clear" w:color="auto" w:fill="F2F5F9"/>
            <w:vAlign w:val="center"/>
          </w:tcPr>
          <w:p>
            <w:pPr>
              <w:jc w:val="left"/>
            </w:pPr>
            <w:r>
              <w:rPr>
                <w:rFonts w:ascii="Arial" w:hAnsi="Arial"/>
                <w:color w:val="1A1A1A"/>
                <w:sz w:val="19"/>
              </w:rPr>
              <w:t>Individual affiliate blogs</w:t>
            </w:r>
          </w:p>
        </w:tc>
        <w:tc>
          <w:tcPr>
            <w:tcW w:type="dxa" w:w="1872"/>
            <w:shd w:val="clear" w:color="auto" w:fill="F2F5F9"/>
            <w:vAlign w:val="center"/>
          </w:tcPr>
          <w:p>
            <w:pPr>
              <w:jc w:val="center"/>
            </w:pPr>
            <w:r>
              <w:rPr>
                <w:rFonts w:ascii="Arial" w:hAnsi="Arial"/>
                <w:color w:val="1A1A1A"/>
                <w:sz w:val="19"/>
              </w:rPr>
              <w:t>Content/affiliate</w:t>
            </w:r>
          </w:p>
        </w:tc>
        <w:tc>
          <w:tcPr>
            <w:tcW w:type="dxa" w:w="2592"/>
            <w:shd w:val="clear" w:color="auto" w:fill="F2F5F9"/>
            <w:vAlign w:val="center"/>
          </w:tcPr>
          <w:p>
            <w:pPr>
              <w:jc w:val="center"/>
            </w:pPr>
            <w:r>
              <w:rPr>
                <w:rFonts w:ascii="Arial" w:hAnsi="Arial"/>
                <w:color w:val="1A1A1A"/>
                <w:sz w:val="19"/>
              </w:rPr>
              <w:t>High SEO visibility</w:t>
            </w:r>
          </w:p>
        </w:tc>
        <w:tc>
          <w:tcPr>
            <w:tcW w:type="dxa" w:w="3456"/>
            <w:shd w:val="clear" w:color="auto" w:fill="F2F5F9"/>
            <w:vAlign w:val="center"/>
          </w:tcPr>
          <w:p>
            <w:pPr>
              <w:jc w:val="center"/>
            </w:pPr>
            <w:r>
              <w:rPr>
                <w:rFonts w:ascii="Arial" w:hAnsi="Arial"/>
                <w:color w:val="1A1A1A"/>
                <w:sz w:val="19"/>
              </w:rPr>
              <w:t>Biased by commission; not systematic</w:t>
            </w:r>
          </w:p>
        </w:tc>
      </w:tr>
      <w:tr>
        <w:tc>
          <w:tcPr>
            <w:tcW w:type="dxa" w:w="2880"/>
            <w:shd w:val="clear" w:color="auto" w:fill="FFFFFF"/>
            <w:vAlign w:val="center"/>
          </w:tcPr>
          <w:p>
            <w:pPr>
              <w:jc w:val="left"/>
            </w:pPr>
            <w:r>
              <w:rPr>
                <w:rFonts w:ascii="Arial" w:hAnsi="Arial"/>
                <w:color w:val="1A1A1A"/>
                <w:sz w:val="19"/>
              </w:rPr>
              <w:t>CourtChemical.com, etc. (vendors)</w:t>
            </w:r>
          </w:p>
        </w:tc>
        <w:tc>
          <w:tcPr>
            <w:tcW w:type="dxa" w:w="1872"/>
            <w:shd w:val="clear" w:color="auto" w:fill="FFFFFF"/>
            <w:vAlign w:val="center"/>
          </w:tcPr>
          <w:p>
            <w:pPr>
              <w:jc w:val="center"/>
            </w:pPr>
            <w:r>
              <w:rPr>
                <w:rFonts w:ascii="Arial" w:hAnsi="Arial"/>
                <w:color w:val="1A1A1A"/>
                <w:sz w:val="19"/>
              </w:rPr>
              <w:t>Vendor sites</w:t>
            </w:r>
          </w:p>
        </w:tc>
        <w:tc>
          <w:tcPr>
            <w:tcW w:type="dxa" w:w="2592"/>
            <w:shd w:val="clear" w:color="auto" w:fill="FFFFFF"/>
            <w:vAlign w:val="center"/>
          </w:tcPr>
          <w:p>
            <w:pPr>
              <w:jc w:val="center"/>
            </w:pPr>
            <w:r>
              <w:rPr>
                <w:rFonts w:ascii="Arial" w:hAnsi="Arial"/>
                <w:color w:val="1A1A1A"/>
                <w:sz w:val="19"/>
              </w:rPr>
              <w:t>First-party COAs</w:t>
            </w:r>
          </w:p>
        </w:tc>
        <w:tc>
          <w:tcPr>
            <w:tcW w:type="dxa" w:w="3456"/>
            <w:shd w:val="clear" w:color="auto" w:fill="FFFFFF"/>
            <w:vAlign w:val="center"/>
          </w:tcPr>
          <w:p>
            <w:pPr>
              <w:jc w:val="center"/>
            </w:pPr>
            <w:r>
              <w:rPr>
                <w:rFonts w:ascii="Arial" w:hAnsi="Arial"/>
                <w:color w:val="1A1A1A"/>
                <w:sz w:val="19"/>
              </w:rPr>
              <w:t>Self-reported, no independent verification</w:t>
            </w:r>
          </w:p>
        </w:tc>
      </w:tr>
      <w:tr>
        <w:tc>
          <w:tcPr>
            <w:tcW w:type="dxa" w:w="2880"/>
            <w:shd w:val="clear" w:color="auto" w:fill="F2F5F9"/>
            <w:vAlign w:val="center"/>
          </w:tcPr>
          <w:p>
            <w:pPr>
              <w:jc w:val="left"/>
            </w:pPr>
            <w:r>
              <w:rPr>
                <w:rFonts w:ascii="Arial" w:hAnsi="Arial"/>
                <w:color w:val="1A1A1A"/>
                <w:sz w:val="19"/>
              </w:rPr>
              <w:t>Erowid / Examine.com</w:t>
            </w:r>
          </w:p>
        </w:tc>
        <w:tc>
          <w:tcPr>
            <w:tcW w:type="dxa" w:w="1872"/>
            <w:shd w:val="clear" w:color="auto" w:fill="F2F5F9"/>
            <w:vAlign w:val="center"/>
          </w:tcPr>
          <w:p>
            <w:pPr>
              <w:jc w:val="center"/>
            </w:pPr>
            <w:r>
              <w:rPr>
                <w:rFonts w:ascii="Arial" w:hAnsi="Arial"/>
                <w:color w:val="1A1A1A"/>
                <w:sz w:val="19"/>
              </w:rPr>
              <w:t>Info databases</w:t>
            </w:r>
          </w:p>
        </w:tc>
        <w:tc>
          <w:tcPr>
            <w:tcW w:type="dxa" w:w="2592"/>
            <w:shd w:val="clear" w:color="auto" w:fill="F2F5F9"/>
            <w:vAlign w:val="center"/>
          </w:tcPr>
          <w:p>
            <w:pPr>
              <w:jc w:val="center"/>
            </w:pPr>
            <w:r>
              <w:rPr>
                <w:rFonts w:ascii="Arial" w:hAnsi="Arial"/>
                <w:color w:val="1A1A1A"/>
                <w:sz w:val="19"/>
              </w:rPr>
              <w:t>Research credibility</w:t>
            </w:r>
          </w:p>
        </w:tc>
        <w:tc>
          <w:tcPr>
            <w:tcW w:type="dxa" w:w="3456"/>
            <w:shd w:val="clear" w:color="auto" w:fill="F2F5F9"/>
            <w:vAlign w:val="center"/>
          </w:tcPr>
          <w:p>
            <w:pPr>
              <w:jc w:val="center"/>
            </w:pPr>
            <w:r>
              <w:rPr>
                <w:rFonts w:ascii="Arial" w:hAnsi="Arial"/>
                <w:color w:val="1A1A1A"/>
                <w:sz w:val="19"/>
              </w:rPr>
              <w:t>Compound-focused, not vendor-ranking</w:t>
            </w:r>
          </w:p>
        </w:tc>
      </w:tr>
    </w:tbl>
    <w:p/>
    <w:p>
      <w:pPr>
        <w:spacing w:before="280" w:after="60"/>
      </w:pPr>
      <w:r>
        <w:rPr>
          <w:rFonts w:ascii="Arial" w:hAnsi="Arial"/>
          <w:b/>
          <w:color w:val="008B8B"/>
          <w:sz w:val="24"/>
        </w:rPr>
        <w:t>Competitive Moat</w:t>
      </w:r>
    </w:p>
    <w:p>
      <w:pPr>
        <w:pStyle w:val="ListBullet"/>
        <w:spacing w:before="20" w:after="60"/>
        <w:ind w:left="360"/>
      </w:pPr>
      <w:r>
        <w:rPr>
          <w:rFonts w:ascii="Arial" w:hAnsi="Arial"/>
          <w:b/>
          <w:color w:val="1A1A1A"/>
          <w:sz w:val="21"/>
        </w:rPr>
        <w:t xml:space="preserve">Data infrastructure: </w:t>
      </w:r>
      <w:r>
        <w:rPr>
          <w:rFonts w:ascii="Arial" w:hAnsi="Arial"/>
          <w:color w:val="1A1A1A"/>
          <w:sz w:val="21"/>
        </w:rPr>
        <w:t>Daily automated data collection across 350+ vendors is a multi-month technical build that cannot be replicated quickly</w:t>
      </w:r>
    </w:p>
    <w:p>
      <w:pPr>
        <w:pStyle w:val="ListBullet"/>
        <w:spacing w:before="20" w:after="60"/>
        <w:ind w:left="360"/>
      </w:pPr>
      <w:r>
        <w:rPr>
          <w:rFonts w:ascii="Arial" w:hAnsi="Arial"/>
          <w:b/>
          <w:color w:val="1A1A1A"/>
          <w:sz w:val="21"/>
        </w:rPr>
        <w:t xml:space="preserve">Network effects: </w:t>
      </w:r>
      <w:r>
        <w:rPr>
          <w:rFonts w:ascii="Arial" w:hAnsi="Arial"/>
          <w:color w:val="1A1A1A"/>
          <w:sz w:val="21"/>
        </w:rPr>
        <w:t>As more consumers and vendors use the platform, data quality and breadth improve — Reddit mentions of PeptideRank become data signals themselves</w:t>
      </w:r>
    </w:p>
    <w:p>
      <w:pPr>
        <w:pStyle w:val="ListBullet"/>
        <w:spacing w:before="20" w:after="60"/>
        <w:ind w:left="360"/>
      </w:pPr>
      <w:r>
        <w:rPr>
          <w:rFonts w:ascii="Arial" w:hAnsi="Arial"/>
          <w:b/>
          <w:color w:val="1A1A1A"/>
          <w:sz w:val="21"/>
        </w:rPr>
        <w:t xml:space="preserve">Proprietary AI models: </w:t>
      </w:r>
      <w:r>
        <w:rPr>
          <w:rFonts w:ascii="Arial" w:hAnsi="Arial"/>
          <w:color w:val="1A1A1A"/>
          <w:sz w:val="21"/>
        </w:rPr>
        <w:t>A COA verification AI trained specifically on peptide HPLC/MS documentation is a defensible proprietary asset</w:t>
      </w:r>
    </w:p>
    <w:p>
      <w:pPr>
        <w:pStyle w:val="ListBullet"/>
        <w:spacing w:before="20" w:after="60"/>
        <w:ind w:left="360"/>
      </w:pPr>
      <w:r>
        <w:rPr>
          <w:rFonts w:ascii="Arial" w:hAnsi="Arial"/>
          <w:b/>
          <w:color w:val="1A1A1A"/>
          <w:sz w:val="21"/>
        </w:rPr>
        <w:t xml:space="preserve">Vendor brand lock-in: </w:t>
      </w:r>
      <w:r>
        <w:rPr>
          <w:rFonts w:ascii="Arial" w:hAnsi="Arial"/>
          <w:color w:val="1A1A1A"/>
          <w:sz w:val="21"/>
        </w:rPr>
        <w:t>Vendors who earn the PeptideRank Verified Badge will market it heavily, making switching costly</w:t>
      </w:r>
    </w:p>
    <w:p>
      <w:pPr>
        <w:pStyle w:val="ListBullet"/>
        <w:spacing w:before="20" w:after="60"/>
        <w:ind w:left="360"/>
      </w:pPr>
      <w:r>
        <w:rPr>
          <w:rFonts w:ascii="Arial" w:hAnsi="Arial"/>
          <w:b/>
          <w:color w:val="1A1A1A"/>
          <w:sz w:val="21"/>
        </w:rPr>
        <w:t xml:space="preserve">Authority: </w:t>
      </w:r>
      <w:r>
        <w:rPr>
          <w:rFonts w:ascii="Arial" w:hAnsi="Arial"/>
          <w:color w:val="1A1A1A"/>
          <w:sz w:val="21"/>
        </w:rPr>
        <w:t>Regulatory bodies and journalists citing PeptideRank creates institutional credibility that reinforces search dominance</w:t>
      </w:r>
    </w:p>
    <w:p>
      <w:pPr>
        <w:spacing w:before="440" w:after="80"/>
      </w:pPr>
      <w:r>
        <w:rPr>
          <w:rFonts w:ascii="Arial" w:hAnsi="Arial"/>
          <w:b/>
          <w:color w:val="1A376C"/>
          <w:sz w:val="30"/>
        </w:rPr>
        <w:t>TEAM</w:t>
      </w:r>
    </w:p>
    <w:p>
      <w:pPr>
        <w:spacing w:before="0" w:after="0"/>
        <w:pBdr>
          <w:bottom w:val="single" w:sz="10" w:space="1" w:color="1A376C"/>
        </w:pBdr>
      </w:pPr>
    </w:p>
    <w:p>
      <w:pPr>
        <w:spacing w:before="280" w:after="60"/>
      </w:pPr>
      <w:r>
        <w:rPr>
          <w:rFonts w:ascii="Arial" w:hAnsi="Arial"/>
          <w:b/>
          <w:color w:val="008B8B"/>
          <w:sz w:val="24"/>
        </w:rPr>
        <w:t>Founding Team (Recommended)</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376C"/>
            <w:vAlign w:val="center"/>
          </w:tcPr>
          <w:p>
            <w:pPr>
              <w:jc w:val="center"/>
            </w:pPr>
            <w:r>
              <w:rPr>
                <w:rFonts w:ascii="Arial" w:hAnsi="Arial"/>
                <w:b/>
                <w:color w:val="FFFFFF"/>
                <w:sz w:val="19"/>
              </w:rPr>
              <w:t>Role</w:t>
            </w:r>
          </w:p>
        </w:tc>
        <w:tc>
          <w:tcPr>
            <w:tcW w:type="dxa" w:w="4032"/>
            <w:shd w:val="clear" w:color="auto" w:fill="1A376C"/>
            <w:vAlign w:val="center"/>
          </w:tcPr>
          <w:p>
            <w:pPr>
              <w:jc w:val="center"/>
            </w:pPr>
            <w:r>
              <w:rPr>
                <w:rFonts w:ascii="Arial" w:hAnsi="Arial"/>
                <w:b/>
                <w:color w:val="FFFFFF"/>
                <w:sz w:val="19"/>
              </w:rPr>
              <w:t>Responsibilities</w:t>
            </w:r>
          </w:p>
        </w:tc>
        <w:tc>
          <w:tcPr>
            <w:tcW w:type="dxa" w:w="3456"/>
            <w:shd w:val="clear" w:color="auto" w:fill="1A376C"/>
            <w:vAlign w:val="center"/>
          </w:tcPr>
          <w:p>
            <w:pPr>
              <w:jc w:val="center"/>
            </w:pPr>
            <w:r>
              <w:rPr>
                <w:rFonts w:ascii="Arial" w:hAnsi="Arial"/>
                <w:b/>
                <w:color w:val="FFFFFF"/>
                <w:sz w:val="19"/>
              </w:rPr>
              <w:t>Required Background</w:t>
            </w:r>
          </w:p>
        </w:tc>
      </w:tr>
      <w:tr>
        <w:tc>
          <w:tcPr>
            <w:tcW w:type="dxa" w:w="2592"/>
            <w:shd w:val="clear" w:color="auto" w:fill="F2F5F9"/>
            <w:vAlign w:val="center"/>
          </w:tcPr>
          <w:p>
            <w:pPr>
              <w:jc w:val="left"/>
            </w:pPr>
            <w:r>
              <w:rPr>
                <w:rFonts w:ascii="Arial" w:hAnsi="Arial"/>
                <w:color w:val="1A1A1A"/>
                <w:sz w:val="19"/>
              </w:rPr>
              <w:t>CEO / Co-Founder</w:t>
            </w:r>
          </w:p>
        </w:tc>
        <w:tc>
          <w:tcPr>
            <w:tcW w:type="dxa" w:w="4032"/>
            <w:shd w:val="clear" w:color="auto" w:fill="F2F5F9"/>
            <w:vAlign w:val="center"/>
          </w:tcPr>
          <w:p>
            <w:pPr>
              <w:jc w:val="center"/>
            </w:pPr>
            <w:r>
              <w:rPr>
                <w:rFonts w:ascii="Arial" w:hAnsi="Arial"/>
                <w:color w:val="1A1A1A"/>
                <w:sz w:val="19"/>
              </w:rPr>
              <w:t>Vision, fundraising, vendor sales, media relations</w:t>
            </w:r>
          </w:p>
        </w:tc>
        <w:tc>
          <w:tcPr>
            <w:tcW w:type="dxa" w:w="3456"/>
            <w:shd w:val="clear" w:color="auto" w:fill="F2F5F9"/>
            <w:vAlign w:val="center"/>
          </w:tcPr>
          <w:p>
            <w:pPr>
              <w:jc w:val="center"/>
            </w:pPr>
            <w:r>
              <w:rPr>
                <w:rFonts w:ascii="Arial" w:hAnsi="Arial"/>
                <w:color w:val="1A1A1A"/>
                <w:sz w:val="19"/>
              </w:rPr>
              <w:t>Startup experience; peptide/supplement industry network</w:t>
            </w:r>
          </w:p>
        </w:tc>
      </w:tr>
      <w:tr>
        <w:tc>
          <w:tcPr>
            <w:tcW w:type="dxa" w:w="2592"/>
            <w:shd w:val="clear" w:color="auto" w:fill="FFFFFF"/>
            <w:vAlign w:val="center"/>
          </w:tcPr>
          <w:p>
            <w:pPr>
              <w:jc w:val="left"/>
            </w:pPr>
            <w:r>
              <w:rPr>
                <w:rFonts w:ascii="Arial" w:hAnsi="Arial"/>
                <w:color w:val="1A1A1A"/>
                <w:sz w:val="19"/>
              </w:rPr>
              <w:t>CTO / Co-Founder</w:t>
            </w:r>
          </w:p>
        </w:tc>
        <w:tc>
          <w:tcPr>
            <w:tcW w:type="dxa" w:w="4032"/>
            <w:shd w:val="clear" w:color="auto" w:fill="FFFFFF"/>
            <w:vAlign w:val="center"/>
          </w:tcPr>
          <w:p>
            <w:pPr>
              <w:jc w:val="center"/>
            </w:pPr>
            <w:r>
              <w:rPr>
                <w:rFonts w:ascii="Arial" w:hAnsi="Arial"/>
                <w:color w:val="1A1A1A"/>
                <w:sz w:val="19"/>
              </w:rPr>
              <w:t>AI pipeline, scraping infrastructure, platform architecture</w:t>
            </w:r>
          </w:p>
        </w:tc>
        <w:tc>
          <w:tcPr>
            <w:tcW w:type="dxa" w:w="3456"/>
            <w:shd w:val="clear" w:color="auto" w:fill="FFFFFF"/>
            <w:vAlign w:val="center"/>
          </w:tcPr>
          <w:p>
            <w:pPr>
              <w:jc w:val="center"/>
            </w:pPr>
            <w:r>
              <w:rPr>
                <w:rFonts w:ascii="Arial" w:hAnsi="Arial"/>
                <w:color w:val="1A1A1A"/>
                <w:sz w:val="19"/>
              </w:rPr>
              <w:t>Python/ML engineering; NLP experience; AWS</w:t>
            </w:r>
          </w:p>
        </w:tc>
      </w:tr>
      <w:tr>
        <w:tc>
          <w:tcPr>
            <w:tcW w:type="dxa" w:w="2592"/>
            <w:shd w:val="clear" w:color="auto" w:fill="F2F5F9"/>
            <w:vAlign w:val="center"/>
          </w:tcPr>
          <w:p>
            <w:pPr>
              <w:jc w:val="left"/>
            </w:pPr>
            <w:r>
              <w:rPr>
                <w:rFonts w:ascii="Arial" w:hAnsi="Arial"/>
                <w:color w:val="1A1A1A"/>
                <w:sz w:val="19"/>
              </w:rPr>
              <w:t>Head of Data &amp; Research</w:t>
            </w:r>
          </w:p>
        </w:tc>
        <w:tc>
          <w:tcPr>
            <w:tcW w:type="dxa" w:w="4032"/>
            <w:shd w:val="clear" w:color="auto" w:fill="F2F5F9"/>
            <w:vAlign w:val="center"/>
          </w:tcPr>
          <w:p>
            <w:pPr>
              <w:jc w:val="center"/>
            </w:pPr>
            <w:r>
              <w:rPr>
                <w:rFonts w:ascii="Arial" w:hAnsi="Arial"/>
                <w:color w:val="1A1A1A"/>
                <w:sz w:val="19"/>
              </w:rPr>
              <w:t>COA AI training, scoring methodology, data QA</w:t>
            </w:r>
          </w:p>
        </w:tc>
        <w:tc>
          <w:tcPr>
            <w:tcW w:type="dxa" w:w="3456"/>
            <w:shd w:val="clear" w:color="auto" w:fill="F2F5F9"/>
            <w:vAlign w:val="center"/>
          </w:tcPr>
          <w:p>
            <w:pPr>
              <w:jc w:val="center"/>
            </w:pPr>
            <w:r>
              <w:rPr>
                <w:rFonts w:ascii="Arial" w:hAnsi="Arial"/>
                <w:color w:val="1A1A1A"/>
                <w:sz w:val="19"/>
              </w:rPr>
              <w:t>Biochemistry or analytical chemistry; data science</w:t>
            </w:r>
          </w:p>
        </w:tc>
      </w:tr>
      <w:tr>
        <w:tc>
          <w:tcPr>
            <w:tcW w:type="dxa" w:w="2592"/>
            <w:shd w:val="clear" w:color="auto" w:fill="FFFFFF"/>
            <w:vAlign w:val="center"/>
          </w:tcPr>
          <w:p>
            <w:pPr>
              <w:jc w:val="left"/>
            </w:pPr>
            <w:r>
              <w:rPr>
                <w:rFonts w:ascii="Arial" w:hAnsi="Arial"/>
                <w:color w:val="1A1A1A"/>
                <w:sz w:val="19"/>
              </w:rPr>
              <w:t>Head of Growth</w:t>
            </w:r>
          </w:p>
        </w:tc>
        <w:tc>
          <w:tcPr>
            <w:tcW w:type="dxa" w:w="4032"/>
            <w:shd w:val="clear" w:color="auto" w:fill="FFFFFF"/>
            <w:vAlign w:val="center"/>
          </w:tcPr>
          <w:p>
            <w:pPr>
              <w:jc w:val="center"/>
            </w:pPr>
            <w:r>
              <w:rPr>
                <w:rFonts w:ascii="Arial" w:hAnsi="Arial"/>
                <w:color w:val="1A1A1A"/>
                <w:sz w:val="19"/>
              </w:rPr>
              <w:t>SEO, content, Reddit, influencer partnerships, newsletter</w:t>
            </w:r>
          </w:p>
        </w:tc>
        <w:tc>
          <w:tcPr>
            <w:tcW w:type="dxa" w:w="3456"/>
            <w:shd w:val="clear" w:color="auto" w:fill="FFFFFF"/>
            <w:vAlign w:val="center"/>
          </w:tcPr>
          <w:p>
            <w:pPr>
              <w:jc w:val="center"/>
            </w:pPr>
            <w:r>
              <w:rPr>
                <w:rFonts w:ascii="Arial" w:hAnsi="Arial"/>
                <w:color w:val="1A1A1A"/>
                <w:sz w:val="19"/>
              </w:rPr>
              <w:t>Growth marketing; content SEO; community management</w:t>
            </w:r>
          </w:p>
        </w:tc>
      </w:tr>
    </w:tbl>
    <w:p/>
    <w:p>
      <w:pPr>
        <w:spacing w:before="440" w:after="80"/>
      </w:pPr>
      <w:r>
        <w:rPr>
          <w:rFonts w:ascii="Arial" w:hAnsi="Arial"/>
          <w:b/>
          <w:color w:val="1A376C"/>
          <w:sz w:val="30"/>
        </w:rPr>
        <w:t>12-MONTH FINANCIAL PROJECTIONS</w:t>
      </w:r>
    </w:p>
    <w:p>
      <w:pPr>
        <w:spacing w:before="0" w:after="0"/>
        <w:pBdr>
          <w:bottom w:val="single" w:sz="10" w:space="1" w:color="1A376C"/>
        </w:pBdr>
      </w:pPr>
    </w:p>
    <w:p>
      <w:pPr>
        <w:spacing w:before="280" w:after="60"/>
      </w:pPr>
      <w:r>
        <w:rPr>
          <w:rFonts w:ascii="Arial" w:hAnsi="Arial"/>
          <w:b/>
          <w:color w:val="008B8B"/>
          <w:sz w:val="24"/>
        </w:rPr>
        <w:t>Assumptions</w:t>
      </w:r>
    </w:p>
    <w:p>
      <w:pPr>
        <w:pStyle w:val="ListBullet"/>
        <w:spacing w:before="20" w:after="60"/>
        <w:ind w:left="360"/>
      </w:pPr>
      <w:r>
        <w:rPr>
          <w:rFonts w:ascii="Arial" w:hAnsi="Arial"/>
          <w:b/>
          <w:color w:val="1A1A1A"/>
          <w:sz w:val="21"/>
        </w:rPr>
        <w:t xml:space="preserve">Funding: </w:t>
      </w:r>
      <w:r>
        <w:rPr>
          <w:rFonts w:ascii="Arial" w:hAnsi="Arial"/>
          <w:color w:val="1A1A1A"/>
          <w:sz w:val="21"/>
        </w:rPr>
        <w:t>$650,000 seed round (pre-revenue; Months 1–3 build phase)</w:t>
      </w:r>
    </w:p>
    <w:p>
      <w:pPr>
        <w:pStyle w:val="ListBullet"/>
        <w:spacing w:before="20" w:after="60"/>
        <w:ind w:left="360"/>
      </w:pPr>
      <w:r>
        <w:rPr>
          <w:rFonts w:ascii="Arial" w:hAnsi="Arial"/>
          <w:b/>
          <w:color w:val="1A1A1A"/>
          <w:sz w:val="21"/>
        </w:rPr>
        <w:t xml:space="preserve">Headcount: </w:t>
      </w:r>
      <w:r>
        <w:rPr>
          <w:rFonts w:ascii="Arial" w:hAnsi="Arial"/>
          <w:color w:val="1A1A1A"/>
          <w:sz w:val="21"/>
        </w:rPr>
        <w:t>4-person founding team; avg fully-loaded cost $12,500/person/month</w:t>
      </w:r>
    </w:p>
    <w:p>
      <w:pPr>
        <w:pStyle w:val="ListBullet"/>
        <w:spacing w:before="20" w:after="60"/>
        <w:ind w:left="360"/>
      </w:pPr>
      <w:r>
        <w:rPr>
          <w:rFonts w:ascii="Arial" w:hAnsi="Arial"/>
          <w:b/>
          <w:color w:val="1A1A1A"/>
          <w:sz w:val="21"/>
        </w:rPr>
        <w:t xml:space="preserve">Infrastructure: </w:t>
      </w:r>
      <w:r>
        <w:rPr>
          <w:rFonts w:ascii="Arial" w:hAnsi="Arial"/>
          <w:color w:val="1A1A1A"/>
          <w:sz w:val="21"/>
        </w:rPr>
        <w:t>AWS infrastructure scales from $3,500/mo (launch) to $8,200/mo (Month 12)</w:t>
      </w:r>
    </w:p>
    <w:p>
      <w:pPr>
        <w:pStyle w:val="ListBullet"/>
        <w:spacing w:before="20" w:after="60"/>
        <w:ind w:left="360"/>
      </w:pPr>
      <w:r>
        <w:rPr>
          <w:rFonts w:ascii="Arial" w:hAnsi="Arial"/>
          <w:b/>
          <w:color w:val="1A1A1A"/>
          <w:sz w:val="21"/>
        </w:rPr>
        <w:t xml:space="preserve">Vendor SaaS: </w:t>
      </w:r>
      <w:r>
        <w:rPr>
          <w:rFonts w:ascii="Arial" w:hAnsi="Arial"/>
          <w:color w:val="1A1A1A"/>
          <w:sz w:val="21"/>
        </w:rPr>
        <w:t>Pro Vendor at $199/mo; 10 net new vendors/month from Month 4; 15% churn/year</w:t>
      </w:r>
    </w:p>
    <w:p>
      <w:pPr>
        <w:pStyle w:val="ListBullet"/>
        <w:spacing w:before="20" w:after="60"/>
        <w:ind w:left="360"/>
      </w:pPr>
      <w:r>
        <w:rPr>
          <w:rFonts w:ascii="Arial" w:hAnsi="Arial"/>
          <w:b/>
          <w:color w:val="1A1A1A"/>
          <w:sz w:val="21"/>
        </w:rPr>
        <w:t xml:space="preserve">Referrals: </w:t>
      </w:r>
      <w:r>
        <w:rPr>
          <w:rFonts w:ascii="Arial" w:hAnsi="Arial"/>
          <w:color w:val="1A1A1A"/>
          <w:sz w:val="21"/>
        </w:rPr>
        <w:t>Consumer referrals generate avg $22 commission per converted visitor</w:t>
      </w:r>
    </w:p>
    <w:p>
      <w:pPr>
        <w:pStyle w:val="ListBullet"/>
        <w:spacing w:before="20" w:after="60"/>
        <w:ind w:left="360"/>
      </w:pPr>
      <w:r>
        <w:rPr>
          <w:rFonts w:ascii="Arial" w:hAnsi="Arial"/>
          <w:b/>
          <w:color w:val="1A1A1A"/>
          <w:sz w:val="21"/>
        </w:rPr>
        <w:t xml:space="preserve">API: </w:t>
      </w:r>
      <w:r>
        <w:rPr>
          <w:rFonts w:ascii="Arial" w:hAnsi="Arial"/>
          <w:color w:val="1A1A1A"/>
          <w:sz w:val="21"/>
        </w:rPr>
        <w:t>API: 3 clients by Month 6, 12 clients by Month 12 at avg $520/mo</w:t>
      </w:r>
    </w:p>
    <w:p>
      <w:pPr>
        <w:spacing w:before="280" w:after="60"/>
      </w:pPr>
      <w:r>
        <w:rPr>
          <w:rFonts w:ascii="Arial" w:hAnsi="Arial"/>
          <w:b/>
          <w:color w:val="008B8B"/>
          <w:sz w:val="24"/>
        </w:rPr>
        <w:t>Monthly P&amp;L Summary (USD)</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792"/>
            <w:shd w:val="clear" w:color="auto" w:fill="1A376C"/>
            <w:vAlign w:val="center"/>
          </w:tcPr>
          <w:p>
            <w:pPr>
              <w:jc w:val="center"/>
            </w:pPr>
            <w:r>
              <w:rPr>
                <w:rFonts w:ascii="Arial" w:hAnsi="Arial"/>
                <w:b/>
                <w:color w:val="FFFFFF"/>
                <w:sz w:val="19"/>
              </w:rPr>
              <w:t>Month</w:t>
            </w:r>
          </w:p>
        </w:tc>
        <w:tc>
          <w:tcPr>
            <w:tcW w:type="dxa" w:w="1181"/>
            <w:shd w:val="clear" w:color="auto" w:fill="1A376C"/>
            <w:vAlign w:val="center"/>
          </w:tcPr>
          <w:p>
            <w:pPr>
              <w:jc w:val="center"/>
            </w:pPr>
            <w:r>
              <w:rPr>
                <w:rFonts w:ascii="Arial" w:hAnsi="Arial"/>
                <w:b/>
                <w:color w:val="FFFFFF"/>
                <w:sz w:val="19"/>
              </w:rPr>
              <w:t>Vendor SaaS</w:t>
            </w:r>
          </w:p>
        </w:tc>
        <w:tc>
          <w:tcPr>
            <w:tcW w:type="dxa" w:w="1181"/>
            <w:shd w:val="clear" w:color="auto" w:fill="1A376C"/>
            <w:vAlign w:val="center"/>
          </w:tcPr>
          <w:p>
            <w:pPr>
              <w:jc w:val="center"/>
            </w:pPr>
            <w:r>
              <w:rPr>
                <w:rFonts w:ascii="Arial" w:hAnsi="Arial"/>
                <w:b/>
                <w:color w:val="FFFFFF"/>
                <w:sz w:val="19"/>
              </w:rPr>
              <w:t>Referral</w:t>
            </w:r>
          </w:p>
        </w:tc>
        <w:tc>
          <w:tcPr>
            <w:tcW w:type="dxa" w:w="1080"/>
            <w:shd w:val="clear" w:color="auto" w:fill="1A376C"/>
            <w:vAlign w:val="center"/>
          </w:tcPr>
          <w:p>
            <w:pPr>
              <w:jc w:val="center"/>
            </w:pPr>
            <w:r>
              <w:rPr>
                <w:rFonts w:ascii="Arial" w:hAnsi="Arial"/>
                <w:b/>
                <w:color w:val="FFFFFF"/>
                <w:sz w:val="19"/>
              </w:rPr>
              <w:t>API</w:t>
            </w:r>
          </w:p>
        </w:tc>
        <w:tc>
          <w:tcPr>
            <w:tcW w:type="dxa" w:w="1181"/>
            <w:shd w:val="clear" w:color="auto" w:fill="1A376C"/>
            <w:vAlign w:val="center"/>
          </w:tcPr>
          <w:p>
            <w:pPr>
              <w:jc w:val="center"/>
            </w:pPr>
            <w:r>
              <w:rPr>
                <w:rFonts w:ascii="Arial" w:hAnsi="Arial"/>
                <w:b/>
                <w:color w:val="FFFFFF"/>
                <w:sz w:val="19"/>
              </w:rPr>
              <w:t>Reports</w:t>
            </w:r>
          </w:p>
        </w:tc>
        <w:tc>
          <w:tcPr>
            <w:tcW w:type="dxa" w:w="1181"/>
            <w:shd w:val="clear" w:color="auto" w:fill="1A376C"/>
            <w:vAlign w:val="center"/>
          </w:tcPr>
          <w:p>
            <w:pPr>
              <w:jc w:val="center"/>
            </w:pPr>
            <w:r>
              <w:rPr>
                <w:rFonts w:ascii="Arial" w:hAnsi="Arial"/>
                <w:b/>
                <w:color w:val="FFFFFF"/>
                <w:sz w:val="19"/>
              </w:rPr>
              <w:t>Total Rev</w:t>
            </w:r>
          </w:p>
        </w:tc>
        <w:tc>
          <w:tcPr>
            <w:tcW w:type="dxa" w:w="1267"/>
            <w:shd w:val="clear" w:color="auto" w:fill="1A376C"/>
            <w:vAlign w:val="center"/>
          </w:tcPr>
          <w:p>
            <w:pPr>
              <w:jc w:val="center"/>
            </w:pPr>
            <w:r>
              <w:rPr>
                <w:rFonts w:ascii="Arial" w:hAnsi="Arial"/>
                <w:b/>
                <w:color w:val="FFFFFF"/>
                <w:sz w:val="19"/>
              </w:rPr>
              <w:t>COGS+OpEx</w:t>
            </w:r>
          </w:p>
        </w:tc>
        <w:tc>
          <w:tcPr>
            <w:tcW w:type="dxa" w:w="1267"/>
            <w:shd w:val="clear" w:color="auto" w:fill="1A376C"/>
            <w:vAlign w:val="center"/>
          </w:tcPr>
          <w:p>
            <w:pPr>
              <w:jc w:val="center"/>
            </w:pPr>
            <w:r>
              <w:rPr>
                <w:rFonts w:ascii="Arial" w:hAnsi="Arial"/>
                <w:b/>
                <w:color w:val="FFFFFF"/>
                <w:sz w:val="19"/>
              </w:rPr>
              <w:t>Net P&amp;L</w:t>
            </w:r>
          </w:p>
        </w:tc>
      </w:tr>
      <w:tr>
        <w:tc>
          <w:tcPr>
            <w:tcW w:type="dxa" w:w="792"/>
            <w:shd w:val="clear" w:color="auto" w:fill="F2F5F9"/>
            <w:vAlign w:val="center"/>
          </w:tcPr>
          <w:p>
            <w:pPr>
              <w:jc w:val="left"/>
            </w:pPr>
            <w:r>
              <w:rPr>
                <w:rFonts w:ascii="Arial" w:hAnsi="Arial"/>
                <w:color w:val="1A1A1A"/>
                <w:sz w:val="19"/>
              </w:rPr>
              <w:t>M1</w:t>
            </w:r>
          </w:p>
        </w:tc>
        <w:tc>
          <w:tcPr>
            <w:tcW w:type="dxa" w:w="1181"/>
            <w:shd w:val="clear" w:color="auto" w:fill="F2F5F9"/>
            <w:vAlign w:val="center"/>
          </w:tcPr>
          <w:p>
            <w:pPr>
              <w:jc w:val="center"/>
            </w:pPr>
            <w:r>
              <w:rPr>
                <w:rFonts w:ascii="Arial" w:hAnsi="Arial"/>
                <w:color w:val="1A1A1A"/>
                <w:sz w:val="19"/>
              </w:rPr>
              <w:t>$0</w:t>
            </w:r>
          </w:p>
        </w:tc>
        <w:tc>
          <w:tcPr>
            <w:tcW w:type="dxa" w:w="1181"/>
            <w:shd w:val="clear" w:color="auto" w:fill="F2F5F9"/>
            <w:vAlign w:val="center"/>
          </w:tcPr>
          <w:p>
            <w:pPr>
              <w:jc w:val="center"/>
            </w:pPr>
            <w:r>
              <w:rPr>
                <w:rFonts w:ascii="Arial" w:hAnsi="Arial"/>
                <w:color w:val="1A1A1A"/>
                <w:sz w:val="19"/>
              </w:rPr>
              <w:t>$0</w:t>
            </w:r>
          </w:p>
        </w:tc>
        <w:tc>
          <w:tcPr>
            <w:tcW w:type="dxa" w:w="1080"/>
            <w:shd w:val="clear" w:color="auto" w:fill="F2F5F9"/>
            <w:vAlign w:val="center"/>
          </w:tcPr>
          <w:p>
            <w:pPr>
              <w:jc w:val="center"/>
            </w:pPr>
            <w:r>
              <w:rPr>
                <w:rFonts w:ascii="Arial" w:hAnsi="Arial"/>
                <w:color w:val="1A1A1A"/>
                <w:sz w:val="19"/>
              </w:rPr>
              <w:t>$0</w:t>
            </w:r>
          </w:p>
        </w:tc>
        <w:tc>
          <w:tcPr>
            <w:tcW w:type="dxa" w:w="1181"/>
            <w:shd w:val="clear" w:color="auto" w:fill="F2F5F9"/>
            <w:vAlign w:val="center"/>
          </w:tcPr>
          <w:p>
            <w:pPr>
              <w:jc w:val="center"/>
            </w:pPr>
            <w:r>
              <w:rPr>
                <w:rFonts w:ascii="Arial" w:hAnsi="Arial"/>
                <w:color w:val="1A1A1A"/>
                <w:sz w:val="19"/>
              </w:rPr>
              <w:t>$0</w:t>
            </w:r>
          </w:p>
        </w:tc>
        <w:tc>
          <w:tcPr>
            <w:tcW w:type="dxa" w:w="1181"/>
            <w:shd w:val="clear" w:color="auto" w:fill="F2F5F9"/>
            <w:vAlign w:val="center"/>
          </w:tcPr>
          <w:p>
            <w:pPr>
              <w:jc w:val="center"/>
            </w:pPr>
            <w:r>
              <w:rPr>
                <w:rFonts w:ascii="Arial" w:hAnsi="Arial"/>
                <w:color w:val="1A1A1A"/>
                <w:sz w:val="19"/>
              </w:rPr>
              <w:t>$0</w:t>
            </w:r>
          </w:p>
        </w:tc>
        <w:tc>
          <w:tcPr>
            <w:tcW w:type="dxa" w:w="1267"/>
            <w:shd w:val="clear" w:color="auto" w:fill="F2F5F9"/>
            <w:vAlign w:val="center"/>
          </w:tcPr>
          <w:p>
            <w:pPr>
              <w:jc w:val="center"/>
            </w:pPr>
            <w:r>
              <w:rPr>
                <w:rFonts w:ascii="Arial" w:hAnsi="Arial"/>
                <w:color w:val="1A1A1A"/>
                <w:sz w:val="19"/>
              </w:rPr>
              <w:t>$78,000</w:t>
            </w:r>
          </w:p>
        </w:tc>
        <w:tc>
          <w:tcPr>
            <w:tcW w:type="dxa" w:w="1267"/>
            <w:shd w:val="clear" w:color="auto" w:fill="F2F5F9"/>
            <w:vAlign w:val="center"/>
          </w:tcPr>
          <w:p>
            <w:pPr>
              <w:jc w:val="center"/>
            </w:pPr>
            <w:r>
              <w:rPr>
                <w:rFonts w:ascii="Arial" w:hAnsi="Arial"/>
                <w:color w:val="1A1A1A"/>
                <w:sz w:val="19"/>
              </w:rPr>
              <w:t>-$78,000</w:t>
            </w:r>
          </w:p>
        </w:tc>
      </w:tr>
      <w:tr>
        <w:tc>
          <w:tcPr>
            <w:tcW w:type="dxa" w:w="792"/>
            <w:shd w:val="clear" w:color="auto" w:fill="FFFFFF"/>
            <w:vAlign w:val="center"/>
          </w:tcPr>
          <w:p>
            <w:pPr>
              <w:jc w:val="left"/>
            </w:pPr>
            <w:r>
              <w:rPr>
                <w:rFonts w:ascii="Arial" w:hAnsi="Arial"/>
                <w:color w:val="1A1A1A"/>
                <w:sz w:val="19"/>
              </w:rPr>
              <w:t>M2</w:t>
            </w:r>
          </w:p>
        </w:tc>
        <w:tc>
          <w:tcPr>
            <w:tcW w:type="dxa" w:w="1181"/>
            <w:shd w:val="clear" w:color="auto" w:fill="FFFFFF"/>
            <w:vAlign w:val="center"/>
          </w:tcPr>
          <w:p>
            <w:pPr>
              <w:jc w:val="center"/>
            </w:pPr>
            <w:r>
              <w:rPr>
                <w:rFonts w:ascii="Arial" w:hAnsi="Arial"/>
                <w:color w:val="1A1A1A"/>
                <w:sz w:val="19"/>
              </w:rPr>
              <w:t>$0</w:t>
            </w:r>
          </w:p>
        </w:tc>
        <w:tc>
          <w:tcPr>
            <w:tcW w:type="dxa" w:w="1181"/>
            <w:shd w:val="clear" w:color="auto" w:fill="FFFFFF"/>
            <w:vAlign w:val="center"/>
          </w:tcPr>
          <w:p>
            <w:pPr>
              <w:jc w:val="center"/>
            </w:pPr>
            <w:r>
              <w:rPr>
                <w:rFonts w:ascii="Arial" w:hAnsi="Arial"/>
                <w:color w:val="1A1A1A"/>
                <w:sz w:val="19"/>
              </w:rPr>
              <w:t>$0</w:t>
            </w:r>
          </w:p>
        </w:tc>
        <w:tc>
          <w:tcPr>
            <w:tcW w:type="dxa" w:w="1080"/>
            <w:shd w:val="clear" w:color="auto" w:fill="FFFFFF"/>
            <w:vAlign w:val="center"/>
          </w:tcPr>
          <w:p>
            <w:pPr>
              <w:jc w:val="center"/>
            </w:pPr>
            <w:r>
              <w:rPr>
                <w:rFonts w:ascii="Arial" w:hAnsi="Arial"/>
                <w:color w:val="1A1A1A"/>
                <w:sz w:val="19"/>
              </w:rPr>
              <w:t>$0</w:t>
            </w:r>
          </w:p>
        </w:tc>
        <w:tc>
          <w:tcPr>
            <w:tcW w:type="dxa" w:w="1181"/>
            <w:shd w:val="clear" w:color="auto" w:fill="FFFFFF"/>
            <w:vAlign w:val="center"/>
          </w:tcPr>
          <w:p>
            <w:pPr>
              <w:jc w:val="center"/>
            </w:pPr>
            <w:r>
              <w:rPr>
                <w:rFonts w:ascii="Arial" w:hAnsi="Arial"/>
                <w:color w:val="1A1A1A"/>
                <w:sz w:val="19"/>
              </w:rPr>
              <w:t>$0</w:t>
            </w:r>
          </w:p>
        </w:tc>
        <w:tc>
          <w:tcPr>
            <w:tcW w:type="dxa" w:w="1181"/>
            <w:shd w:val="clear" w:color="auto" w:fill="FFFFFF"/>
            <w:vAlign w:val="center"/>
          </w:tcPr>
          <w:p>
            <w:pPr>
              <w:jc w:val="center"/>
            </w:pPr>
            <w:r>
              <w:rPr>
                <w:rFonts w:ascii="Arial" w:hAnsi="Arial"/>
                <w:color w:val="1A1A1A"/>
                <w:sz w:val="19"/>
              </w:rPr>
              <w:t>$0</w:t>
            </w:r>
          </w:p>
        </w:tc>
        <w:tc>
          <w:tcPr>
            <w:tcW w:type="dxa" w:w="1267"/>
            <w:shd w:val="clear" w:color="auto" w:fill="FFFFFF"/>
            <w:vAlign w:val="center"/>
          </w:tcPr>
          <w:p>
            <w:pPr>
              <w:jc w:val="center"/>
            </w:pPr>
            <w:r>
              <w:rPr>
                <w:rFonts w:ascii="Arial" w:hAnsi="Arial"/>
                <w:color w:val="1A1A1A"/>
                <w:sz w:val="19"/>
              </w:rPr>
              <w:t>$76,000</w:t>
            </w:r>
          </w:p>
        </w:tc>
        <w:tc>
          <w:tcPr>
            <w:tcW w:type="dxa" w:w="1267"/>
            <w:shd w:val="clear" w:color="auto" w:fill="FFFFFF"/>
            <w:vAlign w:val="center"/>
          </w:tcPr>
          <w:p>
            <w:pPr>
              <w:jc w:val="center"/>
            </w:pPr>
            <w:r>
              <w:rPr>
                <w:rFonts w:ascii="Arial" w:hAnsi="Arial"/>
                <w:color w:val="1A1A1A"/>
                <w:sz w:val="19"/>
              </w:rPr>
              <w:t>-$76,000</w:t>
            </w:r>
          </w:p>
        </w:tc>
      </w:tr>
      <w:tr>
        <w:tc>
          <w:tcPr>
            <w:tcW w:type="dxa" w:w="792"/>
            <w:shd w:val="clear" w:color="auto" w:fill="F2F5F9"/>
            <w:vAlign w:val="center"/>
          </w:tcPr>
          <w:p>
            <w:pPr>
              <w:jc w:val="left"/>
            </w:pPr>
            <w:r>
              <w:rPr>
                <w:rFonts w:ascii="Arial" w:hAnsi="Arial"/>
                <w:color w:val="1A1A1A"/>
                <w:sz w:val="19"/>
              </w:rPr>
              <w:t>M3</w:t>
            </w:r>
          </w:p>
        </w:tc>
        <w:tc>
          <w:tcPr>
            <w:tcW w:type="dxa" w:w="1181"/>
            <w:shd w:val="clear" w:color="auto" w:fill="F2F5F9"/>
            <w:vAlign w:val="center"/>
          </w:tcPr>
          <w:p>
            <w:pPr>
              <w:jc w:val="center"/>
            </w:pPr>
            <w:r>
              <w:rPr>
                <w:rFonts w:ascii="Arial" w:hAnsi="Arial"/>
                <w:color w:val="1A1A1A"/>
                <w:sz w:val="19"/>
              </w:rPr>
              <w:t>$2,000</w:t>
            </w:r>
          </w:p>
        </w:tc>
        <w:tc>
          <w:tcPr>
            <w:tcW w:type="dxa" w:w="1181"/>
            <w:shd w:val="clear" w:color="auto" w:fill="F2F5F9"/>
            <w:vAlign w:val="center"/>
          </w:tcPr>
          <w:p>
            <w:pPr>
              <w:jc w:val="center"/>
            </w:pPr>
            <w:r>
              <w:rPr>
                <w:rFonts w:ascii="Arial" w:hAnsi="Arial"/>
                <w:color w:val="1A1A1A"/>
                <w:sz w:val="19"/>
              </w:rPr>
              <w:t>$800</w:t>
            </w:r>
          </w:p>
        </w:tc>
        <w:tc>
          <w:tcPr>
            <w:tcW w:type="dxa" w:w="1080"/>
            <w:shd w:val="clear" w:color="auto" w:fill="F2F5F9"/>
            <w:vAlign w:val="center"/>
          </w:tcPr>
          <w:p>
            <w:pPr>
              <w:jc w:val="center"/>
            </w:pPr>
            <w:r>
              <w:rPr>
                <w:rFonts w:ascii="Arial" w:hAnsi="Arial"/>
                <w:color w:val="1A1A1A"/>
                <w:sz w:val="19"/>
              </w:rPr>
              <w:t>$0</w:t>
            </w:r>
          </w:p>
        </w:tc>
        <w:tc>
          <w:tcPr>
            <w:tcW w:type="dxa" w:w="1181"/>
            <w:shd w:val="clear" w:color="auto" w:fill="F2F5F9"/>
            <w:vAlign w:val="center"/>
          </w:tcPr>
          <w:p>
            <w:pPr>
              <w:jc w:val="center"/>
            </w:pPr>
            <w:r>
              <w:rPr>
                <w:rFonts w:ascii="Arial" w:hAnsi="Arial"/>
                <w:color w:val="1A1A1A"/>
                <w:sz w:val="19"/>
              </w:rPr>
              <w:t>$0</w:t>
            </w:r>
          </w:p>
        </w:tc>
        <w:tc>
          <w:tcPr>
            <w:tcW w:type="dxa" w:w="1181"/>
            <w:shd w:val="clear" w:color="auto" w:fill="F2F5F9"/>
            <w:vAlign w:val="center"/>
          </w:tcPr>
          <w:p>
            <w:pPr>
              <w:jc w:val="center"/>
            </w:pPr>
            <w:r>
              <w:rPr>
                <w:rFonts w:ascii="Arial" w:hAnsi="Arial"/>
                <w:color w:val="1A1A1A"/>
                <w:sz w:val="19"/>
              </w:rPr>
              <w:t>$2,800</w:t>
            </w:r>
          </w:p>
        </w:tc>
        <w:tc>
          <w:tcPr>
            <w:tcW w:type="dxa" w:w="1267"/>
            <w:shd w:val="clear" w:color="auto" w:fill="F2F5F9"/>
            <w:vAlign w:val="center"/>
          </w:tcPr>
          <w:p>
            <w:pPr>
              <w:jc w:val="center"/>
            </w:pPr>
            <w:r>
              <w:rPr>
                <w:rFonts w:ascii="Arial" w:hAnsi="Arial"/>
                <w:color w:val="1A1A1A"/>
                <w:sz w:val="19"/>
              </w:rPr>
              <w:t>$79,000</w:t>
            </w:r>
          </w:p>
        </w:tc>
        <w:tc>
          <w:tcPr>
            <w:tcW w:type="dxa" w:w="1267"/>
            <w:shd w:val="clear" w:color="auto" w:fill="F2F5F9"/>
            <w:vAlign w:val="center"/>
          </w:tcPr>
          <w:p>
            <w:pPr>
              <w:jc w:val="center"/>
            </w:pPr>
            <w:r>
              <w:rPr>
                <w:rFonts w:ascii="Arial" w:hAnsi="Arial"/>
                <w:color w:val="1A1A1A"/>
                <w:sz w:val="19"/>
              </w:rPr>
              <w:t>-$76,200</w:t>
            </w:r>
          </w:p>
        </w:tc>
      </w:tr>
      <w:tr>
        <w:tc>
          <w:tcPr>
            <w:tcW w:type="dxa" w:w="792"/>
            <w:shd w:val="clear" w:color="auto" w:fill="FFFFFF"/>
            <w:vAlign w:val="center"/>
          </w:tcPr>
          <w:p>
            <w:pPr>
              <w:jc w:val="left"/>
            </w:pPr>
            <w:r>
              <w:rPr>
                <w:rFonts w:ascii="Arial" w:hAnsi="Arial"/>
                <w:color w:val="1A1A1A"/>
                <w:sz w:val="19"/>
              </w:rPr>
              <w:t>M4</w:t>
            </w:r>
          </w:p>
        </w:tc>
        <w:tc>
          <w:tcPr>
            <w:tcW w:type="dxa" w:w="1181"/>
            <w:shd w:val="clear" w:color="auto" w:fill="FFFFFF"/>
            <w:vAlign w:val="center"/>
          </w:tcPr>
          <w:p>
            <w:pPr>
              <w:jc w:val="center"/>
            </w:pPr>
            <w:r>
              <w:rPr>
                <w:rFonts w:ascii="Arial" w:hAnsi="Arial"/>
                <w:color w:val="1A1A1A"/>
                <w:sz w:val="19"/>
              </w:rPr>
              <w:t>$8,000</w:t>
            </w:r>
          </w:p>
        </w:tc>
        <w:tc>
          <w:tcPr>
            <w:tcW w:type="dxa" w:w="1181"/>
            <w:shd w:val="clear" w:color="auto" w:fill="FFFFFF"/>
            <w:vAlign w:val="center"/>
          </w:tcPr>
          <w:p>
            <w:pPr>
              <w:jc w:val="center"/>
            </w:pPr>
            <w:r>
              <w:rPr>
                <w:rFonts w:ascii="Arial" w:hAnsi="Arial"/>
                <w:color w:val="1A1A1A"/>
                <w:sz w:val="19"/>
              </w:rPr>
              <w:t>$4,200</w:t>
            </w:r>
          </w:p>
        </w:tc>
        <w:tc>
          <w:tcPr>
            <w:tcW w:type="dxa" w:w="1080"/>
            <w:shd w:val="clear" w:color="auto" w:fill="FFFFFF"/>
            <w:vAlign w:val="center"/>
          </w:tcPr>
          <w:p>
            <w:pPr>
              <w:jc w:val="center"/>
            </w:pPr>
            <w:r>
              <w:rPr>
                <w:rFonts w:ascii="Arial" w:hAnsi="Arial"/>
                <w:color w:val="1A1A1A"/>
                <w:sz w:val="19"/>
              </w:rPr>
              <w:t>$0</w:t>
            </w:r>
          </w:p>
        </w:tc>
        <w:tc>
          <w:tcPr>
            <w:tcW w:type="dxa" w:w="1181"/>
            <w:shd w:val="clear" w:color="auto" w:fill="FFFFFF"/>
            <w:vAlign w:val="center"/>
          </w:tcPr>
          <w:p>
            <w:pPr>
              <w:jc w:val="center"/>
            </w:pPr>
            <w:r>
              <w:rPr>
                <w:rFonts w:ascii="Arial" w:hAnsi="Arial"/>
                <w:color w:val="1A1A1A"/>
                <w:sz w:val="19"/>
              </w:rPr>
              <w:t>$0</w:t>
            </w:r>
          </w:p>
        </w:tc>
        <w:tc>
          <w:tcPr>
            <w:tcW w:type="dxa" w:w="1181"/>
            <w:shd w:val="clear" w:color="auto" w:fill="FFFFFF"/>
            <w:vAlign w:val="center"/>
          </w:tcPr>
          <w:p>
            <w:pPr>
              <w:jc w:val="center"/>
            </w:pPr>
            <w:r>
              <w:rPr>
                <w:rFonts w:ascii="Arial" w:hAnsi="Arial"/>
                <w:color w:val="1A1A1A"/>
                <w:sz w:val="19"/>
              </w:rPr>
              <w:t>$12,200</w:t>
            </w:r>
          </w:p>
        </w:tc>
        <w:tc>
          <w:tcPr>
            <w:tcW w:type="dxa" w:w="1267"/>
            <w:shd w:val="clear" w:color="auto" w:fill="FFFFFF"/>
            <w:vAlign w:val="center"/>
          </w:tcPr>
          <w:p>
            <w:pPr>
              <w:jc w:val="center"/>
            </w:pPr>
            <w:r>
              <w:rPr>
                <w:rFonts w:ascii="Arial" w:hAnsi="Arial"/>
                <w:color w:val="1A1A1A"/>
                <w:sz w:val="19"/>
              </w:rPr>
              <w:t>$75,000</w:t>
            </w:r>
          </w:p>
        </w:tc>
        <w:tc>
          <w:tcPr>
            <w:tcW w:type="dxa" w:w="1267"/>
            <w:shd w:val="clear" w:color="auto" w:fill="FFFFFF"/>
            <w:vAlign w:val="center"/>
          </w:tcPr>
          <w:p>
            <w:pPr>
              <w:jc w:val="center"/>
            </w:pPr>
            <w:r>
              <w:rPr>
                <w:rFonts w:ascii="Arial" w:hAnsi="Arial"/>
                <w:color w:val="1A1A1A"/>
                <w:sz w:val="19"/>
              </w:rPr>
              <w:t>-$62,800</w:t>
            </w:r>
          </w:p>
        </w:tc>
      </w:tr>
      <w:tr>
        <w:tc>
          <w:tcPr>
            <w:tcW w:type="dxa" w:w="792"/>
            <w:shd w:val="clear" w:color="auto" w:fill="F2F5F9"/>
            <w:vAlign w:val="center"/>
          </w:tcPr>
          <w:p>
            <w:pPr>
              <w:jc w:val="left"/>
            </w:pPr>
            <w:r>
              <w:rPr>
                <w:rFonts w:ascii="Arial" w:hAnsi="Arial"/>
                <w:color w:val="1A1A1A"/>
                <w:sz w:val="19"/>
              </w:rPr>
              <w:t>M5</w:t>
            </w:r>
          </w:p>
        </w:tc>
        <w:tc>
          <w:tcPr>
            <w:tcW w:type="dxa" w:w="1181"/>
            <w:shd w:val="clear" w:color="auto" w:fill="F2F5F9"/>
            <w:vAlign w:val="center"/>
          </w:tcPr>
          <w:p>
            <w:pPr>
              <w:jc w:val="center"/>
            </w:pPr>
            <w:r>
              <w:rPr>
                <w:rFonts w:ascii="Arial" w:hAnsi="Arial"/>
                <w:color w:val="1A1A1A"/>
                <w:sz w:val="19"/>
              </w:rPr>
              <w:t>$18,000</w:t>
            </w:r>
          </w:p>
        </w:tc>
        <w:tc>
          <w:tcPr>
            <w:tcW w:type="dxa" w:w="1181"/>
            <w:shd w:val="clear" w:color="auto" w:fill="F2F5F9"/>
            <w:vAlign w:val="center"/>
          </w:tcPr>
          <w:p>
            <w:pPr>
              <w:jc w:val="center"/>
            </w:pPr>
            <w:r>
              <w:rPr>
                <w:rFonts w:ascii="Arial" w:hAnsi="Arial"/>
                <w:color w:val="1A1A1A"/>
                <w:sz w:val="19"/>
              </w:rPr>
              <w:t>$9,500</w:t>
            </w:r>
          </w:p>
        </w:tc>
        <w:tc>
          <w:tcPr>
            <w:tcW w:type="dxa" w:w="1080"/>
            <w:shd w:val="clear" w:color="auto" w:fill="F2F5F9"/>
            <w:vAlign w:val="center"/>
          </w:tcPr>
          <w:p>
            <w:pPr>
              <w:jc w:val="center"/>
            </w:pPr>
            <w:r>
              <w:rPr>
                <w:rFonts w:ascii="Arial" w:hAnsi="Arial"/>
                <w:color w:val="1A1A1A"/>
                <w:sz w:val="19"/>
              </w:rPr>
              <w:t>$1,200</w:t>
            </w:r>
          </w:p>
        </w:tc>
        <w:tc>
          <w:tcPr>
            <w:tcW w:type="dxa" w:w="1181"/>
            <w:shd w:val="clear" w:color="auto" w:fill="F2F5F9"/>
            <w:vAlign w:val="center"/>
          </w:tcPr>
          <w:p>
            <w:pPr>
              <w:jc w:val="center"/>
            </w:pPr>
            <w:r>
              <w:rPr>
                <w:rFonts w:ascii="Arial" w:hAnsi="Arial"/>
                <w:color w:val="1A1A1A"/>
                <w:sz w:val="19"/>
              </w:rPr>
              <w:t>$0</w:t>
            </w:r>
          </w:p>
        </w:tc>
        <w:tc>
          <w:tcPr>
            <w:tcW w:type="dxa" w:w="1181"/>
            <w:shd w:val="clear" w:color="auto" w:fill="F2F5F9"/>
            <w:vAlign w:val="center"/>
          </w:tcPr>
          <w:p>
            <w:pPr>
              <w:jc w:val="center"/>
            </w:pPr>
            <w:r>
              <w:rPr>
                <w:rFonts w:ascii="Arial" w:hAnsi="Arial"/>
                <w:color w:val="1A1A1A"/>
                <w:sz w:val="19"/>
              </w:rPr>
              <w:t>$28,700</w:t>
            </w:r>
          </w:p>
        </w:tc>
        <w:tc>
          <w:tcPr>
            <w:tcW w:type="dxa" w:w="1267"/>
            <w:shd w:val="clear" w:color="auto" w:fill="F2F5F9"/>
            <w:vAlign w:val="center"/>
          </w:tcPr>
          <w:p>
            <w:pPr>
              <w:jc w:val="center"/>
            </w:pPr>
            <w:r>
              <w:rPr>
                <w:rFonts w:ascii="Arial" w:hAnsi="Arial"/>
                <w:color w:val="1A1A1A"/>
                <w:sz w:val="19"/>
              </w:rPr>
              <w:t>$74,000</w:t>
            </w:r>
          </w:p>
        </w:tc>
        <w:tc>
          <w:tcPr>
            <w:tcW w:type="dxa" w:w="1267"/>
            <w:shd w:val="clear" w:color="auto" w:fill="F2F5F9"/>
            <w:vAlign w:val="center"/>
          </w:tcPr>
          <w:p>
            <w:pPr>
              <w:jc w:val="center"/>
            </w:pPr>
            <w:r>
              <w:rPr>
                <w:rFonts w:ascii="Arial" w:hAnsi="Arial"/>
                <w:color w:val="1A1A1A"/>
                <w:sz w:val="19"/>
              </w:rPr>
              <w:t>-$45,300</w:t>
            </w:r>
          </w:p>
        </w:tc>
      </w:tr>
      <w:tr>
        <w:tc>
          <w:tcPr>
            <w:tcW w:type="dxa" w:w="792"/>
            <w:shd w:val="clear" w:color="auto" w:fill="FFFFFF"/>
            <w:vAlign w:val="center"/>
          </w:tcPr>
          <w:p>
            <w:pPr>
              <w:jc w:val="left"/>
            </w:pPr>
            <w:r>
              <w:rPr>
                <w:rFonts w:ascii="Arial" w:hAnsi="Arial"/>
                <w:color w:val="1A1A1A"/>
                <w:sz w:val="19"/>
              </w:rPr>
              <w:t>M6</w:t>
            </w:r>
          </w:p>
        </w:tc>
        <w:tc>
          <w:tcPr>
            <w:tcW w:type="dxa" w:w="1181"/>
            <w:shd w:val="clear" w:color="auto" w:fill="FFFFFF"/>
            <w:vAlign w:val="center"/>
          </w:tcPr>
          <w:p>
            <w:pPr>
              <w:jc w:val="center"/>
            </w:pPr>
            <w:r>
              <w:rPr>
                <w:rFonts w:ascii="Arial" w:hAnsi="Arial"/>
                <w:color w:val="1A1A1A"/>
                <w:sz w:val="19"/>
              </w:rPr>
              <w:t>$32,000</w:t>
            </w:r>
          </w:p>
        </w:tc>
        <w:tc>
          <w:tcPr>
            <w:tcW w:type="dxa" w:w="1181"/>
            <w:shd w:val="clear" w:color="auto" w:fill="FFFFFF"/>
            <w:vAlign w:val="center"/>
          </w:tcPr>
          <w:p>
            <w:pPr>
              <w:jc w:val="center"/>
            </w:pPr>
            <w:r>
              <w:rPr>
                <w:rFonts w:ascii="Arial" w:hAnsi="Arial"/>
                <w:color w:val="1A1A1A"/>
                <w:sz w:val="19"/>
              </w:rPr>
              <w:t>$17,000</w:t>
            </w:r>
          </w:p>
        </w:tc>
        <w:tc>
          <w:tcPr>
            <w:tcW w:type="dxa" w:w="1080"/>
            <w:shd w:val="clear" w:color="auto" w:fill="FFFFFF"/>
            <w:vAlign w:val="center"/>
          </w:tcPr>
          <w:p>
            <w:pPr>
              <w:jc w:val="center"/>
            </w:pPr>
            <w:r>
              <w:rPr>
                <w:rFonts w:ascii="Arial" w:hAnsi="Arial"/>
                <w:color w:val="1A1A1A"/>
                <w:sz w:val="19"/>
              </w:rPr>
              <w:t>$2,800</w:t>
            </w:r>
          </w:p>
        </w:tc>
        <w:tc>
          <w:tcPr>
            <w:tcW w:type="dxa" w:w="1181"/>
            <w:shd w:val="clear" w:color="auto" w:fill="FFFFFF"/>
            <w:vAlign w:val="center"/>
          </w:tcPr>
          <w:p>
            <w:pPr>
              <w:jc w:val="center"/>
            </w:pPr>
            <w:r>
              <w:rPr>
                <w:rFonts w:ascii="Arial" w:hAnsi="Arial"/>
                <w:color w:val="1A1A1A"/>
                <w:sz w:val="19"/>
              </w:rPr>
              <w:t>$2,500</w:t>
            </w:r>
          </w:p>
        </w:tc>
        <w:tc>
          <w:tcPr>
            <w:tcW w:type="dxa" w:w="1181"/>
            <w:shd w:val="clear" w:color="auto" w:fill="FFFFFF"/>
            <w:vAlign w:val="center"/>
          </w:tcPr>
          <w:p>
            <w:pPr>
              <w:jc w:val="center"/>
            </w:pPr>
            <w:r>
              <w:rPr>
                <w:rFonts w:ascii="Arial" w:hAnsi="Arial"/>
                <w:color w:val="1A1A1A"/>
                <w:sz w:val="19"/>
              </w:rPr>
              <w:t>$54,300</w:t>
            </w:r>
          </w:p>
        </w:tc>
        <w:tc>
          <w:tcPr>
            <w:tcW w:type="dxa" w:w="1267"/>
            <w:shd w:val="clear" w:color="auto" w:fill="FFFFFF"/>
            <w:vAlign w:val="center"/>
          </w:tcPr>
          <w:p>
            <w:pPr>
              <w:jc w:val="center"/>
            </w:pPr>
            <w:r>
              <w:rPr>
                <w:rFonts w:ascii="Arial" w:hAnsi="Arial"/>
                <w:color w:val="1A1A1A"/>
                <w:sz w:val="19"/>
              </w:rPr>
              <w:t>$74,500</w:t>
            </w:r>
          </w:p>
        </w:tc>
        <w:tc>
          <w:tcPr>
            <w:tcW w:type="dxa" w:w="1267"/>
            <w:shd w:val="clear" w:color="auto" w:fill="FFFFFF"/>
            <w:vAlign w:val="center"/>
          </w:tcPr>
          <w:p>
            <w:pPr>
              <w:jc w:val="center"/>
            </w:pPr>
            <w:r>
              <w:rPr>
                <w:rFonts w:ascii="Arial" w:hAnsi="Arial"/>
                <w:color w:val="1A1A1A"/>
                <w:sz w:val="19"/>
              </w:rPr>
              <w:t>-$20,200</w:t>
            </w:r>
          </w:p>
        </w:tc>
      </w:tr>
      <w:tr>
        <w:tc>
          <w:tcPr>
            <w:tcW w:type="dxa" w:w="792"/>
            <w:shd w:val="clear" w:color="auto" w:fill="F2F5F9"/>
            <w:vAlign w:val="center"/>
          </w:tcPr>
          <w:p>
            <w:pPr>
              <w:jc w:val="left"/>
            </w:pPr>
            <w:r>
              <w:rPr>
                <w:rFonts w:ascii="Arial" w:hAnsi="Arial"/>
                <w:color w:val="1A1A1A"/>
                <w:sz w:val="19"/>
              </w:rPr>
              <w:t>M7</w:t>
            </w:r>
          </w:p>
        </w:tc>
        <w:tc>
          <w:tcPr>
            <w:tcW w:type="dxa" w:w="1181"/>
            <w:shd w:val="clear" w:color="auto" w:fill="F2F5F9"/>
            <w:vAlign w:val="center"/>
          </w:tcPr>
          <w:p>
            <w:pPr>
              <w:jc w:val="center"/>
            </w:pPr>
            <w:r>
              <w:rPr>
                <w:rFonts w:ascii="Arial" w:hAnsi="Arial"/>
                <w:color w:val="1A1A1A"/>
                <w:sz w:val="19"/>
              </w:rPr>
              <w:t>$44,000</w:t>
            </w:r>
          </w:p>
        </w:tc>
        <w:tc>
          <w:tcPr>
            <w:tcW w:type="dxa" w:w="1181"/>
            <w:shd w:val="clear" w:color="auto" w:fill="F2F5F9"/>
            <w:vAlign w:val="center"/>
          </w:tcPr>
          <w:p>
            <w:pPr>
              <w:jc w:val="center"/>
            </w:pPr>
            <w:r>
              <w:rPr>
                <w:rFonts w:ascii="Arial" w:hAnsi="Arial"/>
                <w:color w:val="1A1A1A"/>
                <w:sz w:val="19"/>
              </w:rPr>
              <w:t>$22,000</w:t>
            </w:r>
          </w:p>
        </w:tc>
        <w:tc>
          <w:tcPr>
            <w:tcW w:type="dxa" w:w="1080"/>
            <w:shd w:val="clear" w:color="auto" w:fill="F2F5F9"/>
            <w:vAlign w:val="center"/>
          </w:tcPr>
          <w:p>
            <w:pPr>
              <w:jc w:val="center"/>
            </w:pPr>
            <w:r>
              <w:rPr>
                <w:rFonts w:ascii="Arial" w:hAnsi="Arial"/>
                <w:color w:val="1A1A1A"/>
                <w:sz w:val="19"/>
              </w:rPr>
              <w:t>$4,400</w:t>
            </w:r>
          </w:p>
        </w:tc>
        <w:tc>
          <w:tcPr>
            <w:tcW w:type="dxa" w:w="1181"/>
            <w:shd w:val="clear" w:color="auto" w:fill="F2F5F9"/>
            <w:vAlign w:val="center"/>
          </w:tcPr>
          <w:p>
            <w:pPr>
              <w:jc w:val="center"/>
            </w:pPr>
            <w:r>
              <w:rPr>
                <w:rFonts w:ascii="Arial" w:hAnsi="Arial"/>
                <w:color w:val="1A1A1A"/>
                <w:sz w:val="19"/>
              </w:rPr>
              <w:t>$0</w:t>
            </w:r>
          </w:p>
        </w:tc>
        <w:tc>
          <w:tcPr>
            <w:tcW w:type="dxa" w:w="1181"/>
            <w:shd w:val="clear" w:color="auto" w:fill="F2F5F9"/>
            <w:vAlign w:val="center"/>
          </w:tcPr>
          <w:p>
            <w:pPr>
              <w:jc w:val="center"/>
            </w:pPr>
            <w:r>
              <w:rPr>
                <w:rFonts w:ascii="Arial" w:hAnsi="Arial"/>
                <w:color w:val="1A1A1A"/>
                <w:sz w:val="19"/>
              </w:rPr>
              <w:t>$70,400</w:t>
            </w:r>
          </w:p>
        </w:tc>
        <w:tc>
          <w:tcPr>
            <w:tcW w:type="dxa" w:w="1267"/>
            <w:shd w:val="clear" w:color="auto" w:fill="F2F5F9"/>
            <w:vAlign w:val="center"/>
          </w:tcPr>
          <w:p>
            <w:pPr>
              <w:jc w:val="center"/>
            </w:pPr>
            <w:r>
              <w:rPr>
                <w:rFonts w:ascii="Arial" w:hAnsi="Arial"/>
                <w:color w:val="1A1A1A"/>
                <w:sz w:val="19"/>
              </w:rPr>
              <w:t>$73,800</w:t>
            </w:r>
          </w:p>
        </w:tc>
        <w:tc>
          <w:tcPr>
            <w:tcW w:type="dxa" w:w="1267"/>
            <w:shd w:val="clear" w:color="auto" w:fill="F2F5F9"/>
            <w:vAlign w:val="center"/>
          </w:tcPr>
          <w:p>
            <w:pPr>
              <w:jc w:val="center"/>
            </w:pPr>
            <w:r>
              <w:rPr>
                <w:rFonts w:ascii="Arial" w:hAnsi="Arial"/>
                <w:color w:val="1A1A1A"/>
                <w:sz w:val="19"/>
              </w:rPr>
              <w:t>-$3,400</w:t>
            </w:r>
          </w:p>
        </w:tc>
      </w:tr>
      <w:tr>
        <w:tc>
          <w:tcPr>
            <w:tcW w:type="dxa" w:w="792"/>
            <w:shd w:val="clear" w:color="auto" w:fill="FFFFFF"/>
            <w:vAlign w:val="center"/>
          </w:tcPr>
          <w:p>
            <w:pPr>
              <w:jc w:val="left"/>
            </w:pPr>
            <w:r>
              <w:rPr>
                <w:rFonts w:ascii="Arial" w:hAnsi="Arial"/>
                <w:color w:val="1A1A1A"/>
                <w:sz w:val="19"/>
              </w:rPr>
              <w:t>M8</w:t>
            </w:r>
          </w:p>
        </w:tc>
        <w:tc>
          <w:tcPr>
            <w:tcW w:type="dxa" w:w="1181"/>
            <w:shd w:val="clear" w:color="auto" w:fill="FFFFFF"/>
            <w:vAlign w:val="center"/>
          </w:tcPr>
          <w:p>
            <w:pPr>
              <w:jc w:val="center"/>
            </w:pPr>
            <w:r>
              <w:rPr>
                <w:rFonts w:ascii="Arial" w:hAnsi="Arial"/>
                <w:color w:val="1A1A1A"/>
                <w:sz w:val="19"/>
              </w:rPr>
              <w:t>$56,000</w:t>
            </w:r>
          </w:p>
        </w:tc>
        <w:tc>
          <w:tcPr>
            <w:tcW w:type="dxa" w:w="1181"/>
            <w:shd w:val="clear" w:color="auto" w:fill="FFFFFF"/>
            <w:vAlign w:val="center"/>
          </w:tcPr>
          <w:p>
            <w:pPr>
              <w:jc w:val="center"/>
            </w:pPr>
            <w:r>
              <w:rPr>
                <w:rFonts w:ascii="Arial" w:hAnsi="Arial"/>
                <w:color w:val="1A1A1A"/>
                <w:sz w:val="19"/>
              </w:rPr>
              <w:t>$26,500</w:t>
            </w:r>
          </w:p>
        </w:tc>
        <w:tc>
          <w:tcPr>
            <w:tcW w:type="dxa" w:w="1080"/>
            <w:shd w:val="clear" w:color="auto" w:fill="FFFFFF"/>
            <w:vAlign w:val="center"/>
          </w:tcPr>
          <w:p>
            <w:pPr>
              <w:jc w:val="center"/>
            </w:pPr>
            <w:r>
              <w:rPr>
                <w:rFonts w:ascii="Arial" w:hAnsi="Arial"/>
                <w:color w:val="1A1A1A"/>
                <w:sz w:val="19"/>
              </w:rPr>
              <w:t>$6,200</w:t>
            </w:r>
          </w:p>
        </w:tc>
        <w:tc>
          <w:tcPr>
            <w:tcW w:type="dxa" w:w="1181"/>
            <w:shd w:val="clear" w:color="auto" w:fill="FFFFFF"/>
            <w:vAlign w:val="center"/>
          </w:tcPr>
          <w:p>
            <w:pPr>
              <w:jc w:val="center"/>
            </w:pPr>
            <w:r>
              <w:rPr>
                <w:rFonts w:ascii="Arial" w:hAnsi="Arial"/>
                <w:color w:val="1A1A1A"/>
                <w:sz w:val="19"/>
              </w:rPr>
              <w:t>$0</w:t>
            </w:r>
          </w:p>
        </w:tc>
        <w:tc>
          <w:tcPr>
            <w:tcW w:type="dxa" w:w="1181"/>
            <w:shd w:val="clear" w:color="auto" w:fill="FFFFFF"/>
            <w:vAlign w:val="center"/>
          </w:tcPr>
          <w:p>
            <w:pPr>
              <w:jc w:val="center"/>
            </w:pPr>
            <w:r>
              <w:rPr>
                <w:rFonts w:ascii="Arial" w:hAnsi="Arial"/>
                <w:color w:val="1A1A1A"/>
                <w:sz w:val="19"/>
              </w:rPr>
              <w:t>$88,700</w:t>
            </w:r>
          </w:p>
        </w:tc>
        <w:tc>
          <w:tcPr>
            <w:tcW w:type="dxa" w:w="1267"/>
            <w:shd w:val="clear" w:color="auto" w:fill="FFFFFF"/>
            <w:vAlign w:val="center"/>
          </w:tcPr>
          <w:p>
            <w:pPr>
              <w:jc w:val="center"/>
            </w:pPr>
            <w:r>
              <w:rPr>
                <w:rFonts w:ascii="Arial" w:hAnsi="Arial"/>
                <w:color w:val="1A1A1A"/>
                <w:sz w:val="19"/>
              </w:rPr>
              <w:t>$76,000</w:t>
            </w:r>
          </w:p>
        </w:tc>
        <w:tc>
          <w:tcPr>
            <w:tcW w:type="dxa" w:w="1267"/>
            <w:shd w:val="clear" w:color="auto" w:fill="FFFFFF"/>
            <w:vAlign w:val="center"/>
          </w:tcPr>
          <w:p>
            <w:pPr>
              <w:jc w:val="center"/>
            </w:pPr>
            <w:r>
              <w:rPr>
                <w:rFonts w:ascii="Arial" w:hAnsi="Arial"/>
                <w:color w:val="1A1A1A"/>
                <w:sz w:val="19"/>
              </w:rPr>
              <w:t>+$12,700</w:t>
            </w:r>
          </w:p>
        </w:tc>
      </w:tr>
      <w:tr>
        <w:tc>
          <w:tcPr>
            <w:tcW w:type="dxa" w:w="792"/>
            <w:shd w:val="clear" w:color="auto" w:fill="F2F5F9"/>
            <w:vAlign w:val="center"/>
          </w:tcPr>
          <w:p>
            <w:pPr>
              <w:jc w:val="left"/>
            </w:pPr>
            <w:r>
              <w:rPr>
                <w:rFonts w:ascii="Arial" w:hAnsi="Arial"/>
                <w:color w:val="1A1A1A"/>
                <w:sz w:val="19"/>
              </w:rPr>
              <w:t>M9</w:t>
            </w:r>
          </w:p>
        </w:tc>
        <w:tc>
          <w:tcPr>
            <w:tcW w:type="dxa" w:w="1181"/>
            <w:shd w:val="clear" w:color="auto" w:fill="F2F5F9"/>
            <w:vAlign w:val="center"/>
          </w:tcPr>
          <w:p>
            <w:pPr>
              <w:jc w:val="center"/>
            </w:pPr>
            <w:r>
              <w:rPr>
                <w:rFonts w:ascii="Arial" w:hAnsi="Arial"/>
                <w:color w:val="1A1A1A"/>
                <w:sz w:val="19"/>
              </w:rPr>
              <w:t>$68,000</w:t>
            </w:r>
          </w:p>
        </w:tc>
        <w:tc>
          <w:tcPr>
            <w:tcW w:type="dxa" w:w="1181"/>
            <w:shd w:val="clear" w:color="auto" w:fill="F2F5F9"/>
            <w:vAlign w:val="center"/>
          </w:tcPr>
          <w:p>
            <w:pPr>
              <w:jc w:val="center"/>
            </w:pPr>
            <w:r>
              <w:rPr>
                <w:rFonts w:ascii="Arial" w:hAnsi="Arial"/>
                <w:color w:val="1A1A1A"/>
                <w:sz w:val="19"/>
              </w:rPr>
              <w:t>$31,000</w:t>
            </w:r>
          </w:p>
        </w:tc>
        <w:tc>
          <w:tcPr>
            <w:tcW w:type="dxa" w:w="1080"/>
            <w:shd w:val="clear" w:color="auto" w:fill="F2F5F9"/>
            <w:vAlign w:val="center"/>
          </w:tcPr>
          <w:p>
            <w:pPr>
              <w:jc w:val="center"/>
            </w:pPr>
            <w:r>
              <w:rPr>
                <w:rFonts w:ascii="Arial" w:hAnsi="Arial"/>
                <w:color w:val="1A1A1A"/>
                <w:sz w:val="19"/>
              </w:rPr>
              <w:t>$8,100</w:t>
            </w:r>
          </w:p>
        </w:tc>
        <w:tc>
          <w:tcPr>
            <w:tcW w:type="dxa" w:w="1181"/>
            <w:shd w:val="clear" w:color="auto" w:fill="F2F5F9"/>
            <w:vAlign w:val="center"/>
          </w:tcPr>
          <w:p>
            <w:pPr>
              <w:jc w:val="center"/>
            </w:pPr>
            <w:r>
              <w:rPr>
                <w:rFonts w:ascii="Arial" w:hAnsi="Arial"/>
                <w:color w:val="1A1A1A"/>
                <w:sz w:val="19"/>
              </w:rPr>
              <w:t>$5,000</w:t>
            </w:r>
          </w:p>
        </w:tc>
        <w:tc>
          <w:tcPr>
            <w:tcW w:type="dxa" w:w="1181"/>
            <w:shd w:val="clear" w:color="auto" w:fill="F2F5F9"/>
            <w:vAlign w:val="center"/>
          </w:tcPr>
          <w:p>
            <w:pPr>
              <w:jc w:val="center"/>
            </w:pPr>
            <w:r>
              <w:rPr>
                <w:rFonts w:ascii="Arial" w:hAnsi="Arial"/>
                <w:color w:val="1A1A1A"/>
                <w:sz w:val="19"/>
              </w:rPr>
              <w:t>$112,100</w:t>
            </w:r>
          </w:p>
        </w:tc>
        <w:tc>
          <w:tcPr>
            <w:tcW w:type="dxa" w:w="1267"/>
            <w:shd w:val="clear" w:color="auto" w:fill="F2F5F9"/>
            <w:vAlign w:val="center"/>
          </w:tcPr>
          <w:p>
            <w:pPr>
              <w:jc w:val="center"/>
            </w:pPr>
            <w:r>
              <w:rPr>
                <w:rFonts w:ascii="Arial" w:hAnsi="Arial"/>
                <w:color w:val="1A1A1A"/>
                <w:sz w:val="19"/>
              </w:rPr>
              <w:t>$78,500</w:t>
            </w:r>
          </w:p>
        </w:tc>
        <w:tc>
          <w:tcPr>
            <w:tcW w:type="dxa" w:w="1267"/>
            <w:shd w:val="clear" w:color="auto" w:fill="F2F5F9"/>
            <w:vAlign w:val="center"/>
          </w:tcPr>
          <w:p>
            <w:pPr>
              <w:jc w:val="center"/>
            </w:pPr>
            <w:r>
              <w:rPr>
                <w:rFonts w:ascii="Arial" w:hAnsi="Arial"/>
                <w:color w:val="1A1A1A"/>
                <w:sz w:val="19"/>
              </w:rPr>
              <w:t>+$33,600</w:t>
            </w:r>
          </w:p>
        </w:tc>
      </w:tr>
      <w:tr>
        <w:tc>
          <w:tcPr>
            <w:tcW w:type="dxa" w:w="792"/>
            <w:shd w:val="clear" w:color="auto" w:fill="FFFFFF"/>
            <w:vAlign w:val="center"/>
          </w:tcPr>
          <w:p>
            <w:pPr>
              <w:jc w:val="left"/>
            </w:pPr>
            <w:r>
              <w:rPr>
                <w:rFonts w:ascii="Arial" w:hAnsi="Arial"/>
                <w:color w:val="1A1A1A"/>
                <w:sz w:val="19"/>
              </w:rPr>
              <w:t>M10</w:t>
            </w:r>
          </w:p>
        </w:tc>
        <w:tc>
          <w:tcPr>
            <w:tcW w:type="dxa" w:w="1181"/>
            <w:shd w:val="clear" w:color="auto" w:fill="FFFFFF"/>
            <w:vAlign w:val="center"/>
          </w:tcPr>
          <w:p>
            <w:pPr>
              <w:jc w:val="center"/>
            </w:pPr>
            <w:r>
              <w:rPr>
                <w:rFonts w:ascii="Arial" w:hAnsi="Arial"/>
                <w:color w:val="1A1A1A"/>
                <w:sz w:val="19"/>
              </w:rPr>
              <w:t>$80,000</w:t>
            </w:r>
          </w:p>
        </w:tc>
        <w:tc>
          <w:tcPr>
            <w:tcW w:type="dxa" w:w="1181"/>
            <w:shd w:val="clear" w:color="auto" w:fill="FFFFFF"/>
            <w:vAlign w:val="center"/>
          </w:tcPr>
          <w:p>
            <w:pPr>
              <w:jc w:val="center"/>
            </w:pPr>
            <w:r>
              <w:rPr>
                <w:rFonts w:ascii="Arial" w:hAnsi="Arial"/>
                <w:color w:val="1A1A1A"/>
                <w:sz w:val="19"/>
              </w:rPr>
              <w:t>$36,000</w:t>
            </w:r>
          </w:p>
        </w:tc>
        <w:tc>
          <w:tcPr>
            <w:tcW w:type="dxa" w:w="1080"/>
            <w:shd w:val="clear" w:color="auto" w:fill="FFFFFF"/>
            <w:vAlign w:val="center"/>
          </w:tcPr>
          <w:p>
            <w:pPr>
              <w:jc w:val="center"/>
            </w:pPr>
            <w:r>
              <w:rPr>
                <w:rFonts w:ascii="Arial" w:hAnsi="Arial"/>
                <w:color w:val="1A1A1A"/>
                <w:sz w:val="19"/>
              </w:rPr>
              <w:t>$9,800</w:t>
            </w:r>
          </w:p>
        </w:tc>
        <w:tc>
          <w:tcPr>
            <w:tcW w:type="dxa" w:w="1181"/>
            <w:shd w:val="clear" w:color="auto" w:fill="FFFFFF"/>
            <w:vAlign w:val="center"/>
          </w:tcPr>
          <w:p>
            <w:pPr>
              <w:jc w:val="center"/>
            </w:pPr>
            <w:r>
              <w:rPr>
                <w:rFonts w:ascii="Arial" w:hAnsi="Arial"/>
                <w:color w:val="1A1A1A"/>
                <w:sz w:val="19"/>
              </w:rPr>
              <w:t>$0</w:t>
            </w:r>
          </w:p>
        </w:tc>
        <w:tc>
          <w:tcPr>
            <w:tcW w:type="dxa" w:w="1181"/>
            <w:shd w:val="clear" w:color="auto" w:fill="FFFFFF"/>
            <w:vAlign w:val="center"/>
          </w:tcPr>
          <w:p>
            <w:pPr>
              <w:jc w:val="center"/>
            </w:pPr>
            <w:r>
              <w:rPr>
                <w:rFonts w:ascii="Arial" w:hAnsi="Arial"/>
                <w:color w:val="1A1A1A"/>
                <w:sz w:val="19"/>
              </w:rPr>
              <w:t>$125,800</w:t>
            </w:r>
          </w:p>
        </w:tc>
        <w:tc>
          <w:tcPr>
            <w:tcW w:type="dxa" w:w="1267"/>
            <w:shd w:val="clear" w:color="auto" w:fill="FFFFFF"/>
            <w:vAlign w:val="center"/>
          </w:tcPr>
          <w:p>
            <w:pPr>
              <w:jc w:val="center"/>
            </w:pPr>
            <w:r>
              <w:rPr>
                <w:rFonts w:ascii="Arial" w:hAnsi="Arial"/>
                <w:color w:val="1A1A1A"/>
                <w:sz w:val="19"/>
              </w:rPr>
              <w:t>$80,000</w:t>
            </w:r>
          </w:p>
        </w:tc>
        <w:tc>
          <w:tcPr>
            <w:tcW w:type="dxa" w:w="1267"/>
            <w:shd w:val="clear" w:color="auto" w:fill="FFFFFF"/>
            <w:vAlign w:val="center"/>
          </w:tcPr>
          <w:p>
            <w:pPr>
              <w:jc w:val="center"/>
            </w:pPr>
            <w:r>
              <w:rPr>
                <w:rFonts w:ascii="Arial" w:hAnsi="Arial"/>
                <w:color w:val="1A1A1A"/>
                <w:sz w:val="19"/>
              </w:rPr>
              <w:t>+$45,800</w:t>
            </w:r>
          </w:p>
        </w:tc>
      </w:tr>
      <w:tr>
        <w:tc>
          <w:tcPr>
            <w:tcW w:type="dxa" w:w="792"/>
            <w:shd w:val="clear" w:color="auto" w:fill="F2F5F9"/>
            <w:vAlign w:val="center"/>
          </w:tcPr>
          <w:p>
            <w:pPr>
              <w:jc w:val="left"/>
            </w:pPr>
            <w:r>
              <w:rPr>
                <w:rFonts w:ascii="Arial" w:hAnsi="Arial"/>
                <w:color w:val="1A1A1A"/>
                <w:sz w:val="19"/>
              </w:rPr>
              <w:t>M11</w:t>
            </w:r>
          </w:p>
        </w:tc>
        <w:tc>
          <w:tcPr>
            <w:tcW w:type="dxa" w:w="1181"/>
            <w:shd w:val="clear" w:color="auto" w:fill="F2F5F9"/>
            <w:vAlign w:val="center"/>
          </w:tcPr>
          <w:p>
            <w:pPr>
              <w:jc w:val="center"/>
            </w:pPr>
            <w:r>
              <w:rPr>
                <w:rFonts w:ascii="Arial" w:hAnsi="Arial"/>
                <w:color w:val="1A1A1A"/>
                <w:sz w:val="19"/>
              </w:rPr>
              <w:t>$95,000</w:t>
            </w:r>
          </w:p>
        </w:tc>
        <w:tc>
          <w:tcPr>
            <w:tcW w:type="dxa" w:w="1181"/>
            <w:shd w:val="clear" w:color="auto" w:fill="F2F5F9"/>
            <w:vAlign w:val="center"/>
          </w:tcPr>
          <w:p>
            <w:pPr>
              <w:jc w:val="center"/>
            </w:pPr>
            <w:r>
              <w:rPr>
                <w:rFonts w:ascii="Arial" w:hAnsi="Arial"/>
                <w:color w:val="1A1A1A"/>
                <w:sz w:val="19"/>
              </w:rPr>
              <w:t>$42,000</w:t>
            </w:r>
          </w:p>
        </w:tc>
        <w:tc>
          <w:tcPr>
            <w:tcW w:type="dxa" w:w="1080"/>
            <w:shd w:val="clear" w:color="auto" w:fill="F2F5F9"/>
            <w:vAlign w:val="center"/>
          </w:tcPr>
          <w:p>
            <w:pPr>
              <w:jc w:val="center"/>
            </w:pPr>
            <w:r>
              <w:rPr>
                <w:rFonts w:ascii="Arial" w:hAnsi="Arial"/>
                <w:color w:val="1A1A1A"/>
                <w:sz w:val="19"/>
              </w:rPr>
              <w:t>$11,500</w:t>
            </w:r>
          </w:p>
        </w:tc>
        <w:tc>
          <w:tcPr>
            <w:tcW w:type="dxa" w:w="1181"/>
            <w:shd w:val="clear" w:color="auto" w:fill="F2F5F9"/>
            <w:vAlign w:val="center"/>
          </w:tcPr>
          <w:p>
            <w:pPr>
              <w:jc w:val="center"/>
            </w:pPr>
            <w:r>
              <w:rPr>
                <w:rFonts w:ascii="Arial" w:hAnsi="Arial"/>
                <w:color w:val="1A1A1A"/>
                <w:sz w:val="19"/>
              </w:rPr>
              <w:t>$2,500</w:t>
            </w:r>
          </w:p>
        </w:tc>
        <w:tc>
          <w:tcPr>
            <w:tcW w:type="dxa" w:w="1181"/>
            <w:shd w:val="clear" w:color="auto" w:fill="F2F5F9"/>
            <w:vAlign w:val="center"/>
          </w:tcPr>
          <w:p>
            <w:pPr>
              <w:jc w:val="center"/>
            </w:pPr>
            <w:r>
              <w:rPr>
                <w:rFonts w:ascii="Arial" w:hAnsi="Arial"/>
                <w:color w:val="1A1A1A"/>
                <w:sz w:val="19"/>
              </w:rPr>
              <w:t>$151,000</w:t>
            </w:r>
          </w:p>
        </w:tc>
        <w:tc>
          <w:tcPr>
            <w:tcW w:type="dxa" w:w="1267"/>
            <w:shd w:val="clear" w:color="auto" w:fill="F2F5F9"/>
            <w:vAlign w:val="center"/>
          </w:tcPr>
          <w:p>
            <w:pPr>
              <w:jc w:val="center"/>
            </w:pPr>
            <w:r>
              <w:rPr>
                <w:rFonts w:ascii="Arial" w:hAnsi="Arial"/>
                <w:color w:val="1A1A1A"/>
                <w:sz w:val="19"/>
              </w:rPr>
              <w:t>$83,000</w:t>
            </w:r>
          </w:p>
        </w:tc>
        <w:tc>
          <w:tcPr>
            <w:tcW w:type="dxa" w:w="1267"/>
            <w:shd w:val="clear" w:color="auto" w:fill="F2F5F9"/>
            <w:vAlign w:val="center"/>
          </w:tcPr>
          <w:p>
            <w:pPr>
              <w:jc w:val="center"/>
            </w:pPr>
            <w:r>
              <w:rPr>
                <w:rFonts w:ascii="Arial" w:hAnsi="Arial"/>
                <w:color w:val="1A1A1A"/>
                <w:sz w:val="19"/>
              </w:rPr>
              <w:t>+$68,000</w:t>
            </w:r>
          </w:p>
        </w:tc>
      </w:tr>
      <w:tr>
        <w:tc>
          <w:tcPr>
            <w:tcW w:type="dxa" w:w="792"/>
            <w:shd w:val="clear" w:color="auto" w:fill="FFFFFF"/>
            <w:vAlign w:val="center"/>
          </w:tcPr>
          <w:p>
            <w:pPr>
              <w:jc w:val="left"/>
            </w:pPr>
            <w:r>
              <w:rPr>
                <w:rFonts w:ascii="Arial" w:hAnsi="Arial"/>
                <w:color w:val="1A1A1A"/>
                <w:sz w:val="19"/>
              </w:rPr>
              <w:t>M12</w:t>
            </w:r>
          </w:p>
        </w:tc>
        <w:tc>
          <w:tcPr>
            <w:tcW w:type="dxa" w:w="1181"/>
            <w:shd w:val="clear" w:color="auto" w:fill="FFFFFF"/>
            <w:vAlign w:val="center"/>
          </w:tcPr>
          <w:p>
            <w:pPr>
              <w:jc w:val="center"/>
            </w:pPr>
            <w:r>
              <w:rPr>
                <w:rFonts w:ascii="Arial" w:hAnsi="Arial"/>
                <w:color w:val="1A1A1A"/>
                <w:sz w:val="19"/>
              </w:rPr>
              <w:t>$110,000</w:t>
            </w:r>
          </w:p>
        </w:tc>
        <w:tc>
          <w:tcPr>
            <w:tcW w:type="dxa" w:w="1181"/>
            <w:shd w:val="clear" w:color="auto" w:fill="FFFFFF"/>
            <w:vAlign w:val="center"/>
          </w:tcPr>
          <w:p>
            <w:pPr>
              <w:jc w:val="center"/>
            </w:pPr>
            <w:r>
              <w:rPr>
                <w:rFonts w:ascii="Arial" w:hAnsi="Arial"/>
                <w:color w:val="1A1A1A"/>
                <w:sz w:val="19"/>
              </w:rPr>
              <w:t>$48,000</w:t>
            </w:r>
          </w:p>
        </w:tc>
        <w:tc>
          <w:tcPr>
            <w:tcW w:type="dxa" w:w="1080"/>
            <w:shd w:val="clear" w:color="auto" w:fill="FFFFFF"/>
            <w:vAlign w:val="center"/>
          </w:tcPr>
          <w:p>
            <w:pPr>
              <w:jc w:val="center"/>
            </w:pPr>
            <w:r>
              <w:rPr>
                <w:rFonts w:ascii="Arial" w:hAnsi="Arial"/>
                <w:color w:val="1A1A1A"/>
                <w:sz w:val="19"/>
              </w:rPr>
              <w:t>$13,200</w:t>
            </w:r>
          </w:p>
        </w:tc>
        <w:tc>
          <w:tcPr>
            <w:tcW w:type="dxa" w:w="1181"/>
            <w:shd w:val="clear" w:color="auto" w:fill="FFFFFF"/>
            <w:vAlign w:val="center"/>
          </w:tcPr>
          <w:p>
            <w:pPr>
              <w:jc w:val="center"/>
            </w:pPr>
            <w:r>
              <w:rPr>
                <w:rFonts w:ascii="Arial" w:hAnsi="Arial"/>
                <w:color w:val="1A1A1A"/>
                <w:sz w:val="19"/>
              </w:rPr>
              <w:t>$5,000</w:t>
            </w:r>
          </w:p>
        </w:tc>
        <w:tc>
          <w:tcPr>
            <w:tcW w:type="dxa" w:w="1181"/>
            <w:shd w:val="clear" w:color="auto" w:fill="FFFFFF"/>
            <w:vAlign w:val="center"/>
          </w:tcPr>
          <w:p>
            <w:pPr>
              <w:jc w:val="center"/>
            </w:pPr>
            <w:r>
              <w:rPr>
                <w:rFonts w:ascii="Arial" w:hAnsi="Arial"/>
                <w:color w:val="1A1A1A"/>
                <w:sz w:val="19"/>
              </w:rPr>
              <w:t>$176,200</w:t>
            </w:r>
          </w:p>
        </w:tc>
        <w:tc>
          <w:tcPr>
            <w:tcW w:type="dxa" w:w="1267"/>
            <w:shd w:val="clear" w:color="auto" w:fill="FFFFFF"/>
            <w:vAlign w:val="center"/>
          </w:tcPr>
          <w:p>
            <w:pPr>
              <w:jc w:val="center"/>
            </w:pPr>
            <w:r>
              <w:rPr>
                <w:rFonts w:ascii="Arial" w:hAnsi="Arial"/>
                <w:color w:val="1A1A1A"/>
                <w:sz w:val="19"/>
              </w:rPr>
              <w:t>$87,000</w:t>
            </w:r>
          </w:p>
        </w:tc>
        <w:tc>
          <w:tcPr>
            <w:tcW w:type="dxa" w:w="1267"/>
            <w:shd w:val="clear" w:color="auto" w:fill="FFFFFF"/>
            <w:vAlign w:val="center"/>
          </w:tcPr>
          <w:p>
            <w:pPr>
              <w:jc w:val="center"/>
            </w:pPr>
            <w:r>
              <w:rPr>
                <w:rFonts w:ascii="Arial" w:hAnsi="Arial"/>
                <w:color w:val="1A1A1A"/>
                <w:sz w:val="19"/>
              </w:rPr>
              <w:t>+$89,200</w:t>
            </w:r>
          </w:p>
        </w:tc>
      </w:tr>
      <w:tr>
        <w:tc>
          <w:tcPr>
            <w:tcW w:type="dxa" w:w="792"/>
            <w:shd w:val="clear" w:color="auto" w:fill="F2F5F9"/>
            <w:vAlign w:val="center"/>
          </w:tcPr>
          <w:p>
            <w:pPr>
              <w:jc w:val="left"/>
            </w:pPr>
            <w:r>
              <w:rPr>
                <w:rFonts w:ascii="Arial" w:hAnsi="Arial"/>
                <w:color w:val="1A1A1A"/>
                <w:sz w:val="19"/>
              </w:rPr>
              <w:t>TOTAL</w:t>
            </w:r>
          </w:p>
        </w:tc>
        <w:tc>
          <w:tcPr>
            <w:tcW w:type="dxa" w:w="1181"/>
            <w:shd w:val="clear" w:color="auto" w:fill="F2F5F9"/>
            <w:vAlign w:val="center"/>
          </w:tcPr>
          <w:p>
            <w:pPr>
              <w:jc w:val="center"/>
            </w:pPr>
            <w:r>
              <w:rPr>
                <w:rFonts w:ascii="Arial" w:hAnsi="Arial"/>
                <w:color w:val="1A1A1A"/>
                <w:sz w:val="19"/>
              </w:rPr>
              <w:t>$513,000</w:t>
            </w:r>
          </w:p>
        </w:tc>
        <w:tc>
          <w:tcPr>
            <w:tcW w:type="dxa" w:w="1181"/>
            <w:shd w:val="clear" w:color="auto" w:fill="F2F5F9"/>
            <w:vAlign w:val="center"/>
          </w:tcPr>
          <w:p>
            <w:pPr>
              <w:jc w:val="center"/>
            </w:pPr>
            <w:r>
              <w:rPr>
                <w:rFonts w:ascii="Arial" w:hAnsi="Arial"/>
                <w:color w:val="1A1A1A"/>
                <w:sz w:val="19"/>
              </w:rPr>
              <w:t>$237,000</w:t>
            </w:r>
          </w:p>
        </w:tc>
        <w:tc>
          <w:tcPr>
            <w:tcW w:type="dxa" w:w="1080"/>
            <w:shd w:val="clear" w:color="auto" w:fill="F2F5F9"/>
            <w:vAlign w:val="center"/>
          </w:tcPr>
          <w:p>
            <w:pPr>
              <w:jc w:val="center"/>
            </w:pPr>
            <w:r>
              <w:rPr>
                <w:rFonts w:ascii="Arial" w:hAnsi="Arial"/>
                <w:color w:val="1A1A1A"/>
                <w:sz w:val="19"/>
              </w:rPr>
              <w:t>$57,200</w:t>
            </w:r>
          </w:p>
        </w:tc>
        <w:tc>
          <w:tcPr>
            <w:tcW w:type="dxa" w:w="1181"/>
            <w:shd w:val="clear" w:color="auto" w:fill="F2F5F9"/>
            <w:vAlign w:val="center"/>
          </w:tcPr>
          <w:p>
            <w:pPr>
              <w:jc w:val="center"/>
            </w:pPr>
            <w:r>
              <w:rPr>
                <w:rFonts w:ascii="Arial" w:hAnsi="Arial"/>
                <w:color w:val="1A1A1A"/>
                <w:sz w:val="19"/>
              </w:rPr>
              <w:t>$15,000</w:t>
            </w:r>
          </w:p>
        </w:tc>
        <w:tc>
          <w:tcPr>
            <w:tcW w:type="dxa" w:w="1181"/>
            <w:shd w:val="clear" w:color="auto" w:fill="F2F5F9"/>
            <w:vAlign w:val="center"/>
          </w:tcPr>
          <w:p>
            <w:pPr>
              <w:jc w:val="center"/>
            </w:pPr>
            <w:r>
              <w:rPr>
                <w:rFonts w:ascii="Arial" w:hAnsi="Arial"/>
                <w:color w:val="1A1A1A"/>
                <w:sz w:val="19"/>
              </w:rPr>
              <w:t>$822,200</w:t>
            </w:r>
          </w:p>
        </w:tc>
        <w:tc>
          <w:tcPr>
            <w:tcW w:type="dxa" w:w="1267"/>
            <w:shd w:val="clear" w:color="auto" w:fill="F2F5F9"/>
            <w:vAlign w:val="center"/>
          </w:tcPr>
          <w:p>
            <w:pPr>
              <w:jc w:val="center"/>
            </w:pPr>
            <w:r>
              <w:rPr>
                <w:rFonts w:ascii="Arial" w:hAnsi="Arial"/>
                <w:color w:val="1A1A1A"/>
                <w:sz w:val="19"/>
              </w:rPr>
              <w:t>$934,800</w:t>
            </w:r>
          </w:p>
        </w:tc>
        <w:tc>
          <w:tcPr>
            <w:tcW w:type="dxa" w:w="1267"/>
            <w:shd w:val="clear" w:color="auto" w:fill="F2F5F9"/>
            <w:vAlign w:val="center"/>
          </w:tcPr>
          <w:p>
            <w:pPr>
              <w:jc w:val="center"/>
            </w:pPr>
            <w:r>
              <w:rPr>
                <w:rFonts w:ascii="Arial" w:hAnsi="Arial"/>
                <w:color w:val="1A1A1A"/>
                <w:sz w:val="19"/>
              </w:rPr>
              <w:t>-$112,600</w:t>
            </w:r>
          </w:p>
        </w:tc>
      </w:tr>
    </w:tbl>
    <w:p/>
    <w:p>
      <w:pPr>
        <w:spacing w:before="40" w:after="120"/>
      </w:pPr>
      <w:r>
        <w:rPr>
          <w:rFonts w:ascii="Arial" w:hAnsi="Arial"/>
          <w:color w:val="1A1A1A"/>
          <w:sz w:val="21"/>
        </w:rPr>
        <w:t>Note: Year 1 net loss of ~$113K is funded by the $650K seed round, leaving $537K in reserve entering Year 2. Annualized ARR at Month 12 run-rate: $1.03M. Year 2 projection: $3.1M ARR with 62% net margin as infrastructure costs plateau.</w:t>
      </w:r>
    </w:p>
    <w:p>
      <w:pPr>
        <w:spacing w:before="280" w:after="60"/>
      </w:pPr>
      <w:r>
        <w:rPr>
          <w:rFonts w:ascii="Arial" w:hAnsi="Arial"/>
          <w:b/>
          <w:color w:val="008B8B"/>
          <w:sz w:val="24"/>
        </w:rPr>
        <w:t>Use of Seed Funds ($650,000)</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456"/>
            <w:shd w:val="clear" w:color="auto" w:fill="1A376C"/>
            <w:vAlign w:val="center"/>
          </w:tcPr>
          <w:p>
            <w:pPr>
              <w:jc w:val="center"/>
            </w:pPr>
            <w:r>
              <w:rPr>
                <w:rFonts w:ascii="Arial" w:hAnsi="Arial"/>
                <w:b/>
                <w:color w:val="FFFFFF"/>
                <w:sz w:val="19"/>
              </w:rPr>
              <w:t>Category</w:t>
            </w:r>
          </w:p>
        </w:tc>
        <w:tc>
          <w:tcPr>
            <w:tcW w:type="dxa" w:w="1728"/>
            <w:shd w:val="clear" w:color="auto" w:fill="1A376C"/>
            <w:vAlign w:val="center"/>
          </w:tcPr>
          <w:p>
            <w:pPr>
              <w:jc w:val="center"/>
            </w:pPr>
            <w:r>
              <w:rPr>
                <w:rFonts w:ascii="Arial" w:hAnsi="Arial"/>
                <w:b/>
                <w:color w:val="FFFFFF"/>
                <w:sz w:val="19"/>
              </w:rPr>
              <w:t>Amount</w:t>
            </w:r>
          </w:p>
        </w:tc>
        <w:tc>
          <w:tcPr>
            <w:tcW w:type="dxa" w:w="1728"/>
            <w:shd w:val="clear" w:color="auto" w:fill="1A376C"/>
            <w:vAlign w:val="center"/>
          </w:tcPr>
          <w:p>
            <w:pPr>
              <w:jc w:val="center"/>
            </w:pPr>
            <w:r>
              <w:rPr>
                <w:rFonts w:ascii="Arial" w:hAnsi="Arial"/>
                <w:b/>
                <w:color w:val="FFFFFF"/>
                <w:sz w:val="19"/>
              </w:rPr>
              <w:t>% of Raise</w:t>
            </w:r>
          </w:p>
        </w:tc>
        <w:tc>
          <w:tcPr>
            <w:tcW w:type="dxa" w:w="3168"/>
            <w:shd w:val="clear" w:color="auto" w:fill="1A376C"/>
            <w:vAlign w:val="center"/>
          </w:tcPr>
          <w:p>
            <w:pPr>
              <w:jc w:val="center"/>
            </w:pPr>
            <w:r>
              <w:rPr>
                <w:rFonts w:ascii="Arial" w:hAnsi="Arial"/>
                <w:b/>
                <w:color w:val="FFFFFF"/>
                <w:sz w:val="19"/>
              </w:rPr>
              <w:t>Notes</w:t>
            </w:r>
          </w:p>
        </w:tc>
      </w:tr>
      <w:tr>
        <w:tc>
          <w:tcPr>
            <w:tcW w:type="dxa" w:w="3456"/>
            <w:shd w:val="clear" w:color="auto" w:fill="F2F5F9"/>
            <w:vAlign w:val="center"/>
          </w:tcPr>
          <w:p>
            <w:pPr>
              <w:jc w:val="left"/>
            </w:pPr>
            <w:r>
              <w:rPr>
                <w:rFonts w:ascii="Arial" w:hAnsi="Arial"/>
                <w:color w:val="1A1A1A"/>
                <w:sz w:val="19"/>
              </w:rPr>
              <w:t>Personnel (12 months)</w:t>
            </w:r>
          </w:p>
        </w:tc>
        <w:tc>
          <w:tcPr>
            <w:tcW w:type="dxa" w:w="1728"/>
            <w:shd w:val="clear" w:color="auto" w:fill="F2F5F9"/>
            <w:vAlign w:val="center"/>
          </w:tcPr>
          <w:p>
            <w:pPr>
              <w:jc w:val="center"/>
            </w:pPr>
            <w:r>
              <w:rPr>
                <w:rFonts w:ascii="Arial" w:hAnsi="Arial"/>
                <w:color w:val="1A1A1A"/>
                <w:sz w:val="19"/>
              </w:rPr>
              <w:t>$420,000</w:t>
            </w:r>
          </w:p>
        </w:tc>
        <w:tc>
          <w:tcPr>
            <w:tcW w:type="dxa" w:w="1728"/>
            <w:shd w:val="clear" w:color="auto" w:fill="F2F5F9"/>
            <w:vAlign w:val="center"/>
          </w:tcPr>
          <w:p>
            <w:pPr>
              <w:jc w:val="center"/>
            </w:pPr>
            <w:r>
              <w:rPr>
                <w:rFonts w:ascii="Arial" w:hAnsi="Arial"/>
                <w:color w:val="1A1A1A"/>
                <w:sz w:val="19"/>
              </w:rPr>
              <w:t>65%</w:t>
            </w:r>
          </w:p>
        </w:tc>
        <w:tc>
          <w:tcPr>
            <w:tcW w:type="dxa" w:w="3168"/>
            <w:shd w:val="clear" w:color="auto" w:fill="F2F5F9"/>
            <w:vAlign w:val="center"/>
          </w:tcPr>
          <w:p>
            <w:pPr>
              <w:jc w:val="center"/>
            </w:pPr>
            <w:r>
              <w:rPr>
                <w:rFonts w:ascii="Arial" w:hAnsi="Arial"/>
                <w:color w:val="1A1A1A"/>
                <w:sz w:val="19"/>
              </w:rPr>
              <w:t>4 founders at market-rate salaries</w:t>
            </w:r>
          </w:p>
        </w:tc>
      </w:tr>
      <w:tr>
        <w:tc>
          <w:tcPr>
            <w:tcW w:type="dxa" w:w="3456"/>
            <w:shd w:val="clear" w:color="auto" w:fill="FFFFFF"/>
            <w:vAlign w:val="center"/>
          </w:tcPr>
          <w:p>
            <w:pPr>
              <w:jc w:val="left"/>
            </w:pPr>
            <w:r>
              <w:rPr>
                <w:rFonts w:ascii="Arial" w:hAnsi="Arial"/>
                <w:color w:val="1A1A1A"/>
                <w:sz w:val="19"/>
              </w:rPr>
              <w:t>AWS Infrastructure</w:t>
            </w:r>
          </w:p>
        </w:tc>
        <w:tc>
          <w:tcPr>
            <w:tcW w:type="dxa" w:w="1728"/>
            <w:shd w:val="clear" w:color="auto" w:fill="FFFFFF"/>
            <w:vAlign w:val="center"/>
          </w:tcPr>
          <w:p>
            <w:pPr>
              <w:jc w:val="center"/>
            </w:pPr>
            <w:r>
              <w:rPr>
                <w:rFonts w:ascii="Arial" w:hAnsi="Arial"/>
                <w:color w:val="1A1A1A"/>
                <w:sz w:val="19"/>
              </w:rPr>
              <w:t>$72,000</w:t>
            </w:r>
          </w:p>
        </w:tc>
        <w:tc>
          <w:tcPr>
            <w:tcW w:type="dxa" w:w="1728"/>
            <w:shd w:val="clear" w:color="auto" w:fill="FFFFFF"/>
            <w:vAlign w:val="center"/>
          </w:tcPr>
          <w:p>
            <w:pPr>
              <w:jc w:val="center"/>
            </w:pPr>
            <w:r>
              <w:rPr>
                <w:rFonts w:ascii="Arial" w:hAnsi="Arial"/>
                <w:color w:val="1A1A1A"/>
                <w:sz w:val="19"/>
              </w:rPr>
              <w:t>11%</w:t>
            </w:r>
          </w:p>
        </w:tc>
        <w:tc>
          <w:tcPr>
            <w:tcW w:type="dxa" w:w="3168"/>
            <w:shd w:val="clear" w:color="auto" w:fill="FFFFFF"/>
            <w:vAlign w:val="center"/>
          </w:tcPr>
          <w:p>
            <w:pPr>
              <w:jc w:val="center"/>
            </w:pPr>
            <w:r>
              <w:rPr>
                <w:rFonts w:ascii="Arial" w:hAnsi="Arial"/>
                <w:color w:val="1A1A1A"/>
                <w:sz w:val="19"/>
              </w:rPr>
              <w:t>Scraping, AI inference, storage</w:t>
            </w:r>
          </w:p>
        </w:tc>
      </w:tr>
      <w:tr>
        <w:tc>
          <w:tcPr>
            <w:tcW w:type="dxa" w:w="3456"/>
            <w:shd w:val="clear" w:color="auto" w:fill="F2F5F9"/>
            <w:vAlign w:val="center"/>
          </w:tcPr>
          <w:p>
            <w:pPr>
              <w:jc w:val="left"/>
            </w:pPr>
            <w:r>
              <w:rPr>
                <w:rFonts w:ascii="Arial" w:hAnsi="Arial"/>
                <w:color w:val="1A1A1A"/>
                <w:sz w:val="19"/>
              </w:rPr>
              <w:t>AI Model Development</w:t>
            </w:r>
          </w:p>
        </w:tc>
        <w:tc>
          <w:tcPr>
            <w:tcW w:type="dxa" w:w="1728"/>
            <w:shd w:val="clear" w:color="auto" w:fill="F2F5F9"/>
            <w:vAlign w:val="center"/>
          </w:tcPr>
          <w:p>
            <w:pPr>
              <w:jc w:val="center"/>
            </w:pPr>
            <w:r>
              <w:rPr>
                <w:rFonts w:ascii="Arial" w:hAnsi="Arial"/>
                <w:color w:val="1A1A1A"/>
                <w:sz w:val="19"/>
              </w:rPr>
              <w:t>$45,000</w:t>
            </w:r>
          </w:p>
        </w:tc>
        <w:tc>
          <w:tcPr>
            <w:tcW w:type="dxa" w:w="1728"/>
            <w:shd w:val="clear" w:color="auto" w:fill="F2F5F9"/>
            <w:vAlign w:val="center"/>
          </w:tcPr>
          <w:p>
            <w:pPr>
              <w:jc w:val="center"/>
            </w:pPr>
            <w:r>
              <w:rPr>
                <w:rFonts w:ascii="Arial" w:hAnsi="Arial"/>
                <w:color w:val="1A1A1A"/>
                <w:sz w:val="19"/>
              </w:rPr>
              <w:t>7%</w:t>
            </w:r>
          </w:p>
        </w:tc>
        <w:tc>
          <w:tcPr>
            <w:tcW w:type="dxa" w:w="3168"/>
            <w:shd w:val="clear" w:color="auto" w:fill="F2F5F9"/>
            <w:vAlign w:val="center"/>
          </w:tcPr>
          <w:p>
            <w:pPr>
              <w:jc w:val="center"/>
            </w:pPr>
            <w:r>
              <w:rPr>
                <w:rFonts w:ascii="Arial" w:hAnsi="Arial"/>
                <w:color w:val="1A1A1A"/>
                <w:sz w:val="19"/>
              </w:rPr>
              <w:t>COA AI training, NLP fine-tuning</w:t>
            </w:r>
          </w:p>
        </w:tc>
      </w:tr>
      <w:tr>
        <w:tc>
          <w:tcPr>
            <w:tcW w:type="dxa" w:w="3456"/>
            <w:shd w:val="clear" w:color="auto" w:fill="FFFFFF"/>
            <w:vAlign w:val="center"/>
          </w:tcPr>
          <w:p>
            <w:pPr>
              <w:jc w:val="left"/>
            </w:pPr>
            <w:r>
              <w:rPr>
                <w:rFonts w:ascii="Arial" w:hAnsi="Arial"/>
                <w:color w:val="1A1A1A"/>
                <w:sz w:val="19"/>
              </w:rPr>
              <w:t>Legal &amp; Compliance</w:t>
            </w:r>
          </w:p>
        </w:tc>
        <w:tc>
          <w:tcPr>
            <w:tcW w:type="dxa" w:w="1728"/>
            <w:shd w:val="clear" w:color="auto" w:fill="FFFFFF"/>
            <w:vAlign w:val="center"/>
          </w:tcPr>
          <w:p>
            <w:pPr>
              <w:jc w:val="center"/>
            </w:pPr>
            <w:r>
              <w:rPr>
                <w:rFonts w:ascii="Arial" w:hAnsi="Arial"/>
                <w:color w:val="1A1A1A"/>
                <w:sz w:val="19"/>
              </w:rPr>
              <w:t>$28,000</w:t>
            </w:r>
          </w:p>
        </w:tc>
        <w:tc>
          <w:tcPr>
            <w:tcW w:type="dxa" w:w="1728"/>
            <w:shd w:val="clear" w:color="auto" w:fill="FFFFFF"/>
            <w:vAlign w:val="center"/>
          </w:tcPr>
          <w:p>
            <w:pPr>
              <w:jc w:val="center"/>
            </w:pPr>
            <w:r>
              <w:rPr>
                <w:rFonts w:ascii="Arial" w:hAnsi="Arial"/>
                <w:color w:val="1A1A1A"/>
                <w:sz w:val="19"/>
              </w:rPr>
              <w:t>4%</w:t>
            </w:r>
          </w:p>
        </w:tc>
        <w:tc>
          <w:tcPr>
            <w:tcW w:type="dxa" w:w="3168"/>
            <w:shd w:val="clear" w:color="auto" w:fill="FFFFFF"/>
            <w:vAlign w:val="center"/>
          </w:tcPr>
          <w:p>
            <w:pPr>
              <w:jc w:val="center"/>
            </w:pPr>
            <w:r>
              <w:rPr>
                <w:rFonts w:ascii="Arial" w:hAnsi="Arial"/>
                <w:color w:val="1A1A1A"/>
                <w:sz w:val="19"/>
              </w:rPr>
              <w:t>Terms of service, GDPR, IP protection</w:t>
            </w:r>
          </w:p>
        </w:tc>
      </w:tr>
      <w:tr>
        <w:tc>
          <w:tcPr>
            <w:tcW w:type="dxa" w:w="3456"/>
            <w:shd w:val="clear" w:color="auto" w:fill="F2F5F9"/>
            <w:vAlign w:val="center"/>
          </w:tcPr>
          <w:p>
            <w:pPr>
              <w:jc w:val="left"/>
            </w:pPr>
            <w:r>
              <w:rPr>
                <w:rFonts w:ascii="Arial" w:hAnsi="Arial"/>
                <w:color w:val="1A1A1A"/>
                <w:sz w:val="19"/>
              </w:rPr>
              <w:t>Marketing &amp; Content</w:t>
            </w:r>
          </w:p>
        </w:tc>
        <w:tc>
          <w:tcPr>
            <w:tcW w:type="dxa" w:w="1728"/>
            <w:shd w:val="clear" w:color="auto" w:fill="F2F5F9"/>
            <w:vAlign w:val="center"/>
          </w:tcPr>
          <w:p>
            <w:pPr>
              <w:jc w:val="center"/>
            </w:pPr>
            <w:r>
              <w:rPr>
                <w:rFonts w:ascii="Arial" w:hAnsi="Arial"/>
                <w:color w:val="1A1A1A"/>
                <w:sz w:val="19"/>
              </w:rPr>
              <w:t>$35,000</w:t>
            </w:r>
          </w:p>
        </w:tc>
        <w:tc>
          <w:tcPr>
            <w:tcW w:type="dxa" w:w="1728"/>
            <w:shd w:val="clear" w:color="auto" w:fill="F2F5F9"/>
            <w:vAlign w:val="center"/>
          </w:tcPr>
          <w:p>
            <w:pPr>
              <w:jc w:val="center"/>
            </w:pPr>
            <w:r>
              <w:rPr>
                <w:rFonts w:ascii="Arial" w:hAnsi="Arial"/>
                <w:color w:val="1A1A1A"/>
                <w:sz w:val="19"/>
              </w:rPr>
              <w:t>5%</w:t>
            </w:r>
          </w:p>
        </w:tc>
        <w:tc>
          <w:tcPr>
            <w:tcW w:type="dxa" w:w="3168"/>
            <w:shd w:val="clear" w:color="auto" w:fill="F2F5F9"/>
            <w:vAlign w:val="center"/>
          </w:tcPr>
          <w:p>
            <w:pPr>
              <w:jc w:val="center"/>
            </w:pPr>
            <w:r>
              <w:rPr>
                <w:rFonts w:ascii="Arial" w:hAnsi="Arial"/>
                <w:color w:val="1A1A1A"/>
                <w:sz w:val="19"/>
              </w:rPr>
              <w:t>SEO content, influencer, design</w:t>
            </w:r>
          </w:p>
        </w:tc>
      </w:tr>
      <w:tr>
        <w:tc>
          <w:tcPr>
            <w:tcW w:type="dxa" w:w="3456"/>
            <w:shd w:val="clear" w:color="auto" w:fill="FFFFFF"/>
            <w:vAlign w:val="center"/>
          </w:tcPr>
          <w:p>
            <w:pPr>
              <w:jc w:val="left"/>
            </w:pPr>
            <w:r>
              <w:rPr>
                <w:rFonts w:ascii="Arial" w:hAnsi="Arial"/>
                <w:color w:val="1A1A1A"/>
                <w:sz w:val="19"/>
              </w:rPr>
              <w:t>Operations &amp; Tools</w:t>
            </w:r>
          </w:p>
        </w:tc>
        <w:tc>
          <w:tcPr>
            <w:tcW w:type="dxa" w:w="1728"/>
            <w:shd w:val="clear" w:color="auto" w:fill="FFFFFF"/>
            <w:vAlign w:val="center"/>
          </w:tcPr>
          <w:p>
            <w:pPr>
              <w:jc w:val="center"/>
            </w:pPr>
            <w:r>
              <w:rPr>
                <w:rFonts w:ascii="Arial" w:hAnsi="Arial"/>
                <w:color w:val="1A1A1A"/>
                <w:sz w:val="19"/>
              </w:rPr>
              <w:t>$18,000</w:t>
            </w:r>
          </w:p>
        </w:tc>
        <w:tc>
          <w:tcPr>
            <w:tcW w:type="dxa" w:w="1728"/>
            <w:shd w:val="clear" w:color="auto" w:fill="FFFFFF"/>
            <w:vAlign w:val="center"/>
          </w:tcPr>
          <w:p>
            <w:pPr>
              <w:jc w:val="center"/>
            </w:pPr>
            <w:r>
              <w:rPr>
                <w:rFonts w:ascii="Arial" w:hAnsi="Arial"/>
                <w:color w:val="1A1A1A"/>
                <w:sz w:val="19"/>
              </w:rPr>
              <w:t>3%</w:t>
            </w:r>
          </w:p>
        </w:tc>
        <w:tc>
          <w:tcPr>
            <w:tcW w:type="dxa" w:w="3168"/>
            <w:shd w:val="clear" w:color="auto" w:fill="FFFFFF"/>
            <w:vAlign w:val="center"/>
          </w:tcPr>
          <w:p>
            <w:pPr>
              <w:jc w:val="center"/>
            </w:pPr>
            <w:r>
              <w:rPr>
                <w:rFonts w:ascii="Arial" w:hAnsi="Arial"/>
                <w:color w:val="1A1A1A"/>
                <w:sz w:val="19"/>
              </w:rPr>
              <w:t>SaaS stack, analytics, CRM</w:t>
            </w:r>
          </w:p>
        </w:tc>
      </w:tr>
      <w:tr>
        <w:tc>
          <w:tcPr>
            <w:tcW w:type="dxa" w:w="3456"/>
            <w:shd w:val="clear" w:color="auto" w:fill="F2F5F9"/>
            <w:vAlign w:val="center"/>
          </w:tcPr>
          <w:p>
            <w:pPr>
              <w:jc w:val="left"/>
            </w:pPr>
            <w:r>
              <w:rPr>
                <w:rFonts w:ascii="Arial" w:hAnsi="Arial"/>
                <w:color w:val="1A1A1A"/>
                <w:sz w:val="19"/>
              </w:rPr>
              <w:t>Reserve / Contingency</w:t>
            </w:r>
          </w:p>
        </w:tc>
        <w:tc>
          <w:tcPr>
            <w:tcW w:type="dxa" w:w="1728"/>
            <w:shd w:val="clear" w:color="auto" w:fill="F2F5F9"/>
            <w:vAlign w:val="center"/>
          </w:tcPr>
          <w:p>
            <w:pPr>
              <w:jc w:val="center"/>
            </w:pPr>
            <w:r>
              <w:rPr>
                <w:rFonts w:ascii="Arial" w:hAnsi="Arial"/>
                <w:color w:val="1A1A1A"/>
                <w:sz w:val="19"/>
              </w:rPr>
              <w:t>$32,000</w:t>
            </w:r>
          </w:p>
        </w:tc>
        <w:tc>
          <w:tcPr>
            <w:tcW w:type="dxa" w:w="1728"/>
            <w:shd w:val="clear" w:color="auto" w:fill="F2F5F9"/>
            <w:vAlign w:val="center"/>
          </w:tcPr>
          <w:p>
            <w:pPr>
              <w:jc w:val="center"/>
            </w:pPr>
            <w:r>
              <w:rPr>
                <w:rFonts w:ascii="Arial" w:hAnsi="Arial"/>
                <w:color w:val="1A1A1A"/>
                <w:sz w:val="19"/>
              </w:rPr>
              <w:t>5%</w:t>
            </w:r>
          </w:p>
        </w:tc>
        <w:tc>
          <w:tcPr>
            <w:tcW w:type="dxa" w:w="3168"/>
            <w:shd w:val="clear" w:color="auto" w:fill="F2F5F9"/>
            <w:vAlign w:val="center"/>
          </w:tcPr>
          <w:p>
            <w:pPr>
              <w:jc w:val="center"/>
            </w:pPr>
            <w:r>
              <w:rPr>
                <w:rFonts w:ascii="Arial" w:hAnsi="Arial"/>
                <w:color w:val="1A1A1A"/>
                <w:sz w:val="19"/>
              </w:rPr>
              <w:t>Buffer for unexpected costs</w:t>
            </w:r>
          </w:p>
        </w:tc>
      </w:tr>
      <w:tr>
        <w:tc>
          <w:tcPr>
            <w:tcW w:type="dxa" w:w="3456"/>
            <w:shd w:val="clear" w:color="auto" w:fill="FFFFFF"/>
            <w:vAlign w:val="center"/>
          </w:tcPr>
          <w:p>
            <w:pPr>
              <w:jc w:val="left"/>
            </w:pPr>
            <w:r>
              <w:rPr>
                <w:rFonts w:ascii="Arial" w:hAnsi="Arial"/>
                <w:color w:val="1A1A1A"/>
                <w:sz w:val="19"/>
              </w:rPr>
              <w:t>TOTAL</w:t>
            </w:r>
          </w:p>
        </w:tc>
        <w:tc>
          <w:tcPr>
            <w:tcW w:type="dxa" w:w="1728"/>
            <w:shd w:val="clear" w:color="auto" w:fill="FFFFFF"/>
            <w:vAlign w:val="center"/>
          </w:tcPr>
          <w:p>
            <w:pPr>
              <w:jc w:val="center"/>
            </w:pPr>
            <w:r>
              <w:rPr>
                <w:rFonts w:ascii="Arial" w:hAnsi="Arial"/>
                <w:color w:val="1A1A1A"/>
                <w:sz w:val="19"/>
              </w:rPr>
              <w:t>$650,000</w:t>
            </w:r>
          </w:p>
        </w:tc>
        <w:tc>
          <w:tcPr>
            <w:tcW w:type="dxa" w:w="1728"/>
            <w:shd w:val="clear" w:color="auto" w:fill="FFFFFF"/>
            <w:vAlign w:val="center"/>
          </w:tcPr>
          <w:p>
            <w:pPr>
              <w:jc w:val="center"/>
            </w:pPr>
            <w:r>
              <w:rPr>
                <w:rFonts w:ascii="Arial" w:hAnsi="Arial"/>
                <w:color w:val="1A1A1A"/>
                <w:sz w:val="19"/>
              </w:rPr>
              <w:t>100%</w:t>
            </w:r>
          </w:p>
        </w:tc>
        <w:tc>
          <w:tcPr>
            <w:tcW w:type="dxa" w:w="3168"/>
            <w:shd w:val="clear" w:color="auto" w:fill="FFFFFF"/>
            <w:vAlign w:val="center"/>
          </w:tcPr>
          <w:p>
            <w:pPr>
              <w:jc w:val="center"/>
            </w:pPr>
            <w:r>
              <w:rPr>
                <w:rFonts w:ascii="Arial" w:hAnsi="Arial"/>
                <w:color w:val="1A1A1A"/>
                <w:sz w:val="19"/>
              </w:rPr>
            </w:r>
          </w:p>
        </w:tc>
      </w:tr>
    </w:tbl>
    <w:p/>
    <w:p>
      <w:pPr>
        <w:spacing w:before="440" w:after="80"/>
      </w:pPr>
      <w:r>
        <w:rPr>
          <w:rFonts w:ascii="Arial" w:hAnsi="Arial"/>
          <w:b/>
          <w:color w:val="1A376C"/>
          <w:sz w:val="30"/>
        </w:rPr>
        <w:t>KEY RISKS &amp; MITIGATIONS</w:t>
      </w:r>
    </w:p>
    <w:p>
      <w:pPr>
        <w:spacing w:before="0" w:after="0"/>
        <w:pBdr>
          <w:bottom w:val="single" w:sz="10" w:space="1" w:color="1A376C"/>
        </w:pBdr>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68"/>
            <w:shd w:val="clear" w:color="auto" w:fill="1A376C"/>
            <w:vAlign w:val="center"/>
          </w:tcPr>
          <w:p>
            <w:pPr>
              <w:jc w:val="center"/>
            </w:pPr>
            <w:r>
              <w:rPr>
                <w:rFonts w:ascii="Arial" w:hAnsi="Arial"/>
                <w:b/>
                <w:color w:val="FFFFFF"/>
                <w:sz w:val="19"/>
              </w:rPr>
              <w:t>Risk</w:t>
            </w:r>
          </w:p>
        </w:tc>
        <w:tc>
          <w:tcPr>
            <w:tcW w:type="dxa" w:w="1152"/>
            <w:shd w:val="clear" w:color="auto" w:fill="1A376C"/>
            <w:vAlign w:val="center"/>
          </w:tcPr>
          <w:p>
            <w:pPr>
              <w:jc w:val="center"/>
            </w:pPr>
            <w:r>
              <w:rPr>
                <w:rFonts w:ascii="Arial" w:hAnsi="Arial"/>
                <w:b/>
                <w:color w:val="FFFFFF"/>
                <w:sz w:val="19"/>
              </w:rPr>
              <w:t>Severity</w:t>
            </w:r>
          </w:p>
        </w:tc>
        <w:tc>
          <w:tcPr>
            <w:tcW w:type="dxa" w:w="1224"/>
            <w:shd w:val="clear" w:color="auto" w:fill="1A376C"/>
            <w:vAlign w:val="center"/>
          </w:tcPr>
          <w:p>
            <w:pPr>
              <w:jc w:val="center"/>
            </w:pPr>
            <w:r>
              <w:rPr>
                <w:rFonts w:ascii="Arial" w:hAnsi="Arial"/>
                <w:b/>
                <w:color w:val="FFFFFF"/>
                <w:sz w:val="19"/>
              </w:rPr>
              <w:t>Probability</w:t>
            </w:r>
          </w:p>
        </w:tc>
        <w:tc>
          <w:tcPr>
            <w:tcW w:type="dxa" w:w="4536"/>
            <w:shd w:val="clear" w:color="auto" w:fill="1A376C"/>
            <w:vAlign w:val="center"/>
          </w:tcPr>
          <w:p>
            <w:pPr>
              <w:jc w:val="center"/>
            </w:pPr>
            <w:r>
              <w:rPr>
                <w:rFonts w:ascii="Arial" w:hAnsi="Arial"/>
                <w:b/>
                <w:color w:val="FFFFFF"/>
                <w:sz w:val="19"/>
              </w:rPr>
              <w:t>Mitigation</w:t>
            </w:r>
          </w:p>
        </w:tc>
      </w:tr>
      <w:tr>
        <w:tc>
          <w:tcPr>
            <w:tcW w:type="dxa" w:w="3168"/>
            <w:shd w:val="clear" w:color="auto" w:fill="F2F5F9"/>
            <w:vAlign w:val="center"/>
          </w:tcPr>
          <w:p>
            <w:pPr>
              <w:jc w:val="left"/>
            </w:pPr>
            <w:r>
              <w:rPr>
                <w:rFonts w:ascii="Arial" w:hAnsi="Arial"/>
                <w:color w:val="1A1A1A"/>
                <w:sz w:val="19"/>
              </w:rPr>
              <w:t>Vendors threaten legal action over scores</w:t>
            </w:r>
          </w:p>
        </w:tc>
        <w:tc>
          <w:tcPr>
            <w:tcW w:type="dxa" w:w="1152"/>
            <w:shd w:val="clear" w:color="auto" w:fill="F2F5F9"/>
            <w:vAlign w:val="center"/>
          </w:tcPr>
          <w:p>
            <w:pPr>
              <w:jc w:val="center"/>
            </w:pPr>
            <w:r>
              <w:rPr>
                <w:rFonts w:ascii="Arial" w:hAnsi="Arial"/>
                <w:color w:val="1A1A1A"/>
                <w:sz w:val="19"/>
              </w:rPr>
              <w:t>High</w:t>
            </w:r>
          </w:p>
        </w:tc>
        <w:tc>
          <w:tcPr>
            <w:tcW w:type="dxa" w:w="1224"/>
            <w:shd w:val="clear" w:color="auto" w:fill="F2F5F9"/>
            <w:vAlign w:val="center"/>
          </w:tcPr>
          <w:p>
            <w:pPr>
              <w:jc w:val="center"/>
            </w:pPr>
            <w:r>
              <w:rPr>
                <w:rFonts w:ascii="Arial" w:hAnsi="Arial"/>
                <w:color w:val="1A1A1A"/>
                <w:sz w:val="19"/>
              </w:rPr>
              <w:t>Medium</w:t>
            </w:r>
          </w:p>
        </w:tc>
        <w:tc>
          <w:tcPr>
            <w:tcW w:type="dxa" w:w="4536"/>
            <w:shd w:val="clear" w:color="auto" w:fill="F2F5F9"/>
            <w:vAlign w:val="center"/>
          </w:tcPr>
          <w:p>
            <w:pPr>
              <w:jc w:val="center"/>
            </w:pPr>
            <w:r>
              <w:rPr>
                <w:rFonts w:ascii="Arial" w:hAnsi="Arial"/>
                <w:color w:val="1A1A1A"/>
                <w:sz w:val="19"/>
              </w:rPr>
              <w:t>Publish methodology publicly; use factual, source-cited data only; score is opinion protected by 1st Amendment; legal counsel on retainer</w:t>
            </w:r>
          </w:p>
        </w:tc>
      </w:tr>
      <w:tr>
        <w:tc>
          <w:tcPr>
            <w:tcW w:type="dxa" w:w="3168"/>
            <w:shd w:val="clear" w:color="auto" w:fill="FFFFFF"/>
            <w:vAlign w:val="center"/>
          </w:tcPr>
          <w:p>
            <w:pPr>
              <w:jc w:val="left"/>
            </w:pPr>
            <w:r>
              <w:rPr>
                <w:rFonts w:ascii="Arial" w:hAnsi="Arial"/>
                <w:color w:val="1A1A1A"/>
                <w:sz w:val="19"/>
              </w:rPr>
              <w:t>Reddit API pricing changes limit data access</w:t>
            </w:r>
          </w:p>
        </w:tc>
        <w:tc>
          <w:tcPr>
            <w:tcW w:type="dxa" w:w="1152"/>
            <w:shd w:val="clear" w:color="auto" w:fill="FFFFFF"/>
            <w:vAlign w:val="center"/>
          </w:tcPr>
          <w:p>
            <w:pPr>
              <w:jc w:val="center"/>
            </w:pPr>
            <w:r>
              <w:rPr>
                <w:rFonts w:ascii="Arial" w:hAnsi="Arial"/>
                <w:color w:val="1A1A1A"/>
                <w:sz w:val="19"/>
              </w:rPr>
              <w:t>Medium</w:t>
            </w:r>
          </w:p>
        </w:tc>
        <w:tc>
          <w:tcPr>
            <w:tcW w:type="dxa" w:w="1224"/>
            <w:shd w:val="clear" w:color="auto" w:fill="FFFFFF"/>
            <w:vAlign w:val="center"/>
          </w:tcPr>
          <w:p>
            <w:pPr>
              <w:jc w:val="center"/>
            </w:pPr>
            <w:r>
              <w:rPr>
                <w:rFonts w:ascii="Arial" w:hAnsi="Arial"/>
                <w:color w:val="1A1A1A"/>
                <w:sz w:val="19"/>
              </w:rPr>
              <w:t>Medium</w:t>
            </w:r>
          </w:p>
        </w:tc>
        <w:tc>
          <w:tcPr>
            <w:tcW w:type="dxa" w:w="4536"/>
            <w:shd w:val="clear" w:color="auto" w:fill="FFFFFF"/>
            <w:vAlign w:val="center"/>
          </w:tcPr>
          <w:p>
            <w:pPr>
              <w:jc w:val="center"/>
            </w:pPr>
            <w:r>
              <w:rPr>
                <w:rFonts w:ascii="Arial" w:hAnsi="Arial"/>
                <w:color w:val="1A1A1A"/>
                <w:sz w:val="19"/>
              </w:rPr>
              <w:t>Diversify to forum scraping, Discord, X/Twitter; cache 90-day historical data; negotiate academic/media API tier</w:t>
            </w:r>
          </w:p>
        </w:tc>
      </w:tr>
      <w:tr>
        <w:tc>
          <w:tcPr>
            <w:tcW w:type="dxa" w:w="3168"/>
            <w:shd w:val="clear" w:color="auto" w:fill="F2F5F9"/>
            <w:vAlign w:val="center"/>
          </w:tcPr>
          <w:p>
            <w:pPr>
              <w:jc w:val="left"/>
            </w:pPr>
            <w:r>
              <w:rPr>
                <w:rFonts w:ascii="Arial" w:hAnsi="Arial"/>
                <w:color w:val="1A1A1A"/>
                <w:sz w:val="19"/>
              </w:rPr>
              <w:t>AI COA parsing accuracy below threshold</w:t>
            </w:r>
          </w:p>
        </w:tc>
        <w:tc>
          <w:tcPr>
            <w:tcW w:type="dxa" w:w="1152"/>
            <w:shd w:val="clear" w:color="auto" w:fill="F2F5F9"/>
            <w:vAlign w:val="center"/>
          </w:tcPr>
          <w:p>
            <w:pPr>
              <w:jc w:val="center"/>
            </w:pPr>
            <w:r>
              <w:rPr>
                <w:rFonts w:ascii="Arial" w:hAnsi="Arial"/>
                <w:color w:val="1A1A1A"/>
                <w:sz w:val="19"/>
              </w:rPr>
              <w:t>High</w:t>
            </w:r>
          </w:p>
        </w:tc>
        <w:tc>
          <w:tcPr>
            <w:tcW w:type="dxa" w:w="1224"/>
            <w:shd w:val="clear" w:color="auto" w:fill="F2F5F9"/>
            <w:vAlign w:val="center"/>
          </w:tcPr>
          <w:p>
            <w:pPr>
              <w:jc w:val="center"/>
            </w:pPr>
            <w:r>
              <w:rPr>
                <w:rFonts w:ascii="Arial" w:hAnsi="Arial"/>
                <w:color w:val="1A1A1A"/>
                <w:sz w:val="19"/>
              </w:rPr>
              <w:t>Low</w:t>
            </w:r>
          </w:p>
        </w:tc>
        <w:tc>
          <w:tcPr>
            <w:tcW w:type="dxa" w:w="4536"/>
            <w:shd w:val="clear" w:color="auto" w:fill="F2F5F9"/>
            <w:vAlign w:val="center"/>
          </w:tcPr>
          <w:p>
            <w:pPr>
              <w:jc w:val="center"/>
            </w:pPr>
            <w:r>
              <w:rPr>
                <w:rFonts w:ascii="Arial" w:hAnsi="Arial"/>
                <w:color w:val="1A1A1A"/>
                <w:sz w:val="19"/>
              </w:rPr>
              <w:t>Human-in-the-loop QA for ambiguous COAs; confidence scoring; phased rollout starting with top-50 vendors</w:t>
            </w:r>
          </w:p>
        </w:tc>
      </w:tr>
      <w:tr>
        <w:tc>
          <w:tcPr>
            <w:tcW w:type="dxa" w:w="3168"/>
            <w:shd w:val="clear" w:color="auto" w:fill="FFFFFF"/>
            <w:vAlign w:val="center"/>
          </w:tcPr>
          <w:p>
            <w:pPr>
              <w:jc w:val="left"/>
            </w:pPr>
            <w:r>
              <w:rPr>
                <w:rFonts w:ascii="Arial" w:hAnsi="Arial"/>
                <w:color w:val="1A1A1A"/>
                <w:sz w:val="19"/>
              </w:rPr>
              <w:t>Large competitor enters market (e.g., Trustpilot pivots)</w:t>
            </w:r>
          </w:p>
        </w:tc>
        <w:tc>
          <w:tcPr>
            <w:tcW w:type="dxa" w:w="1152"/>
            <w:shd w:val="clear" w:color="auto" w:fill="FFFFFF"/>
            <w:vAlign w:val="center"/>
          </w:tcPr>
          <w:p>
            <w:pPr>
              <w:jc w:val="center"/>
            </w:pPr>
            <w:r>
              <w:rPr>
                <w:rFonts w:ascii="Arial" w:hAnsi="Arial"/>
                <w:color w:val="1A1A1A"/>
                <w:sz w:val="19"/>
              </w:rPr>
              <w:t>Medium</w:t>
            </w:r>
          </w:p>
        </w:tc>
        <w:tc>
          <w:tcPr>
            <w:tcW w:type="dxa" w:w="1224"/>
            <w:shd w:val="clear" w:color="auto" w:fill="FFFFFF"/>
            <w:vAlign w:val="center"/>
          </w:tcPr>
          <w:p>
            <w:pPr>
              <w:jc w:val="center"/>
            </w:pPr>
            <w:r>
              <w:rPr>
                <w:rFonts w:ascii="Arial" w:hAnsi="Arial"/>
                <w:color w:val="1A1A1A"/>
                <w:sz w:val="19"/>
              </w:rPr>
              <w:t>Low</w:t>
            </w:r>
          </w:p>
        </w:tc>
        <w:tc>
          <w:tcPr>
            <w:tcW w:type="dxa" w:w="4536"/>
            <w:shd w:val="clear" w:color="auto" w:fill="FFFFFF"/>
            <w:vAlign w:val="center"/>
          </w:tcPr>
          <w:p>
            <w:pPr>
              <w:jc w:val="center"/>
            </w:pPr>
            <w:r>
              <w:rPr>
                <w:rFonts w:ascii="Arial" w:hAnsi="Arial"/>
                <w:color w:val="1A1A1A"/>
                <w:sz w:val="19"/>
              </w:rPr>
              <w:t>Speed to market advantage; community-native data moat; vendor lock-in via Verified Badge program</w:t>
            </w:r>
          </w:p>
        </w:tc>
      </w:tr>
      <w:tr>
        <w:tc>
          <w:tcPr>
            <w:tcW w:type="dxa" w:w="3168"/>
            <w:shd w:val="clear" w:color="auto" w:fill="F2F5F9"/>
            <w:vAlign w:val="center"/>
          </w:tcPr>
          <w:p>
            <w:pPr>
              <w:jc w:val="left"/>
            </w:pPr>
            <w:r>
              <w:rPr>
                <w:rFonts w:ascii="Arial" w:hAnsi="Arial"/>
                <w:color w:val="1A1A1A"/>
                <w:sz w:val="19"/>
              </w:rPr>
              <w:t>Regulatory change restricts peptide sales</w:t>
            </w:r>
          </w:p>
        </w:tc>
        <w:tc>
          <w:tcPr>
            <w:tcW w:type="dxa" w:w="1152"/>
            <w:shd w:val="clear" w:color="auto" w:fill="F2F5F9"/>
            <w:vAlign w:val="center"/>
          </w:tcPr>
          <w:p>
            <w:pPr>
              <w:jc w:val="center"/>
            </w:pPr>
            <w:r>
              <w:rPr>
                <w:rFonts w:ascii="Arial" w:hAnsi="Arial"/>
                <w:color w:val="1A1A1A"/>
                <w:sz w:val="19"/>
              </w:rPr>
              <w:t>Medium</w:t>
            </w:r>
          </w:p>
        </w:tc>
        <w:tc>
          <w:tcPr>
            <w:tcW w:type="dxa" w:w="1224"/>
            <w:shd w:val="clear" w:color="auto" w:fill="F2F5F9"/>
            <w:vAlign w:val="center"/>
          </w:tcPr>
          <w:p>
            <w:pPr>
              <w:jc w:val="center"/>
            </w:pPr>
            <w:r>
              <w:rPr>
                <w:rFonts w:ascii="Arial" w:hAnsi="Arial"/>
                <w:color w:val="1A1A1A"/>
                <w:sz w:val="19"/>
              </w:rPr>
              <w:t>Medium</w:t>
            </w:r>
          </w:p>
        </w:tc>
        <w:tc>
          <w:tcPr>
            <w:tcW w:type="dxa" w:w="4536"/>
            <w:shd w:val="clear" w:color="auto" w:fill="F2F5F9"/>
            <w:vAlign w:val="center"/>
          </w:tcPr>
          <w:p>
            <w:pPr>
              <w:jc w:val="center"/>
            </w:pPr>
            <w:r>
              <w:rPr>
                <w:rFonts w:ascii="Arial" w:hAnsi="Arial"/>
                <w:color w:val="1A1A1A"/>
                <w:sz w:val="19"/>
              </w:rPr>
              <w:t>Pivot to 'pharmaceutical supply chain intelligence'; data still valuable to regulators and researchers</w:t>
            </w:r>
          </w:p>
        </w:tc>
      </w:tr>
      <w:tr>
        <w:tc>
          <w:tcPr>
            <w:tcW w:type="dxa" w:w="3168"/>
            <w:shd w:val="clear" w:color="auto" w:fill="FFFFFF"/>
            <w:vAlign w:val="center"/>
          </w:tcPr>
          <w:p>
            <w:pPr>
              <w:jc w:val="left"/>
            </w:pPr>
            <w:r>
              <w:rPr>
                <w:rFonts w:ascii="Arial" w:hAnsi="Arial"/>
                <w:color w:val="1A1A1A"/>
                <w:sz w:val="19"/>
              </w:rPr>
              <w:t>Low vendor subscription conversion rate</w:t>
            </w:r>
          </w:p>
        </w:tc>
        <w:tc>
          <w:tcPr>
            <w:tcW w:type="dxa" w:w="1152"/>
            <w:shd w:val="clear" w:color="auto" w:fill="FFFFFF"/>
            <w:vAlign w:val="center"/>
          </w:tcPr>
          <w:p>
            <w:pPr>
              <w:jc w:val="center"/>
            </w:pPr>
            <w:r>
              <w:rPr>
                <w:rFonts w:ascii="Arial" w:hAnsi="Arial"/>
                <w:color w:val="1A1A1A"/>
                <w:sz w:val="19"/>
              </w:rPr>
              <w:t>High</w:t>
            </w:r>
          </w:p>
        </w:tc>
        <w:tc>
          <w:tcPr>
            <w:tcW w:type="dxa" w:w="1224"/>
            <w:shd w:val="clear" w:color="auto" w:fill="FFFFFF"/>
            <w:vAlign w:val="center"/>
          </w:tcPr>
          <w:p>
            <w:pPr>
              <w:jc w:val="center"/>
            </w:pPr>
            <w:r>
              <w:rPr>
                <w:rFonts w:ascii="Arial" w:hAnsi="Arial"/>
                <w:color w:val="1A1A1A"/>
                <w:sz w:val="19"/>
              </w:rPr>
              <w:t>Medium</w:t>
            </w:r>
          </w:p>
        </w:tc>
        <w:tc>
          <w:tcPr>
            <w:tcW w:type="dxa" w:w="4536"/>
            <w:shd w:val="clear" w:color="auto" w:fill="FFFFFF"/>
            <w:vAlign w:val="center"/>
          </w:tcPr>
          <w:p>
            <w:pPr>
              <w:jc w:val="center"/>
            </w:pPr>
            <w:r>
              <w:rPr>
                <w:rFonts w:ascii="Arial" w:hAnsi="Arial"/>
                <w:color w:val="1A1A1A"/>
                <w:sz w:val="19"/>
              </w:rPr>
              <w:t>Freemium creates install base; aggressive outbound sales; vendor FOMO from competitor badge adoption</w:t>
            </w:r>
          </w:p>
        </w:tc>
      </w:tr>
    </w:tbl>
    <w:p/>
    <w:p>
      <w:pPr>
        <w:spacing w:before="440" w:after="80"/>
      </w:pPr>
      <w:r>
        <w:rPr>
          <w:rFonts w:ascii="Arial" w:hAnsi="Arial"/>
          <w:b/>
          <w:color w:val="1A376C"/>
          <w:sz w:val="30"/>
        </w:rPr>
        <w:t>12-MONTH MILESTONE ROADMAP</w:t>
      </w:r>
    </w:p>
    <w:p>
      <w:pPr>
        <w:spacing w:before="0" w:after="0"/>
        <w:pBdr>
          <w:bottom w:val="single" w:sz="10" w:space="1" w:color="1A376C"/>
        </w:pBdr>
      </w:pPr>
    </w:p>
    <w:tbl>
      <w:tblPr>
        <w:tblStyle w:val="TableGrid"/>
        <w:tblW w:type="auto" w:w="0"/>
        <w:jc w:val="left"/>
        <w:tblLook w:firstColumn="1" w:firstRow="1" w:lastColumn="0" w:lastRow="0" w:noHBand="0" w:noVBand="1" w:val="04A0"/>
      </w:tblPr>
      <w:tblGrid>
        <w:gridCol w:w="3024"/>
        <w:gridCol w:w="3024"/>
        <w:gridCol w:w="3024"/>
      </w:tblGrid>
      <w:tr>
        <w:tc>
          <w:tcPr>
            <w:tcW w:type="dxa" w:w="4608"/>
            <w:shd w:val="clear" w:color="auto" w:fill="1A376C"/>
            <w:vAlign w:val="center"/>
          </w:tcPr>
          <w:p>
            <w:pPr>
              <w:jc w:val="center"/>
            </w:pPr>
            <w:r>
              <w:rPr>
                <w:rFonts w:ascii="Arial" w:hAnsi="Arial"/>
                <w:b/>
                <w:color w:val="FFFFFF"/>
                <w:sz w:val="19"/>
              </w:rPr>
              <w:t>Milestone</w:t>
            </w:r>
          </w:p>
        </w:tc>
        <w:tc>
          <w:tcPr>
            <w:tcW w:type="dxa" w:w="2160"/>
            <w:shd w:val="clear" w:color="auto" w:fill="1A376C"/>
            <w:vAlign w:val="center"/>
          </w:tcPr>
          <w:p>
            <w:pPr>
              <w:jc w:val="center"/>
            </w:pPr>
            <w:r>
              <w:rPr>
                <w:rFonts w:ascii="Arial" w:hAnsi="Arial"/>
                <w:b/>
                <w:color w:val="FFFFFF"/>
                <w:sz w:val="19"/>
              </w:rPr>
              <w:t>Target Month</w:t>
            </w:r>
          </w:p>
        </w:tc>
        <w:tc>
          <w:tcPr>
            <w:tcW w:type="dxa" w:w="3312"/>
            <w:shd w:val="clear" w:color="auto" w:fill="1A376C"/>
            <w:vAlign w:val="center"/>
          </w:tcPr>
          <w:p>
            <w:pPr>
              <w:jc w:val="center"/>
            </w:pPr>
            <w:r>
              <w:rPr>
                <w:rFonts w:ascii="Arial" w:hAnsi="Arial"/>
                <w:b/>
                <w:color w:val="FFFFFF"/>
                <w:sz w:val="19"/>
              </w:rPr>
              <w:t>Success Metric</w:t>
            </w:r>
          </w:p>
        </w:tc>
      </w:tr>
      <w:tr>
        <w:tc>
          <w:tcPr>
            <w:tcW w:type="dxa" w:w="4608"/>
            <w:shd w:val="clear" w:color="auto" w:fill="F2F5F9"/>
            <w:vAlign w:val="center"/>
          </w:tcPr>
          <w:p>
            <w:pPr>
              <w:jc w:val="left"/>
            </w:pPr>
            <w:r>
              <w:rPr>
                <w:rFonts w:ascii="Arial" w:hAnsi="Arial"/>
                <w:color w:val="1A1A1A"/>
                <w:sz w:val="19"/>
              </w:rPr>
              <w:t>Beta platform live with 50 vendors scored</w:t>
            </w:r>
          </w:p>
        </w:tc>
        <w:tc>
          <w:tcPr>
            <w:tcW w:type="dxa" w:w="2160"/>
            <w:shd w:val="clear" w:color="auto" w:fill="F2F5F9"/>
            <w:vAlign w:val="center"/>
          </w:tcPr>
          <w:p>
            <w:pPr>
              <w:jc w:val="center"/>
            </w:pPr>
            <w:r>
              <w:rPr>
                <w:rFonts w:ascii="Arial" w:hAnsi="Arial"/>
                <w:color w:val="1A1A1A"/>
                <w:sz w:val="19"/>
              </w:rPr>
              <w:t>Month 2</w:t>
            </w:r>
          </w:p>
        </w:tc>
        <w:tc>
          <w:tcPr>
            <w:tcW w:type="dxa" w:w="3312"/>
            <w:shd w:val="clear" w:color="auto" w:fill="F2F5F9"/>
            <w:vAlign w:val="center"/>
          </w:tcPr>
          <w:p>
            <w:pPr>
              <w:jc w:val="center"/>
            </w:pPr>
            <w:r>
              <w:rPr>
                <w:rFonts w:ascii="Arial" w:hAnsi="Arial"/>
                <w:color w:val="1A1A1A"/>
                <w:sz w:val="19"/>
              </w:rPr>
              <w:t>50 vendor profiles with PRS published</w:t>
            </w:r>
          </w:p>
        </w:tc>
      </w:tr>
      <w:tr>
        <w:tc>
          <w:tcPr>
            <w:tcW w:type="dxa" w:w="4608"/>
            <w:shd w:val="clear" w:color="auto" w:fill="FFFFFF"/>
            <w:vAlign w:val="center"/>
          </w:tcPr>
          <w:p>
            <w:pPr>
              <w:jc w:val="left"/>
            </w:pPr>
            <w:r>
              <w:rPr>
                <w:rFonts w:ascii="Arial" w:hAnsi="Arial"/>
                <w:color w:val="1A1A1A"/>
                <w:sz w:val="19"/>
              </w:rPr>
              <w:t>Full launch: 200+ vendors indexed</w:t>
            </w:r>
          </w:p>
        </w:tc>
        <w:tc>
          <w:tcPr>
            <w:tcW w:type="dxa" w:w="2160"/>
            <w:shd w:val="clear" w:color="auto" w:fill="FFFFFF"/>
            <w:vAlign w:val="center"/>
          </w:tcPr>
          <w:p>
            <w:pPr>
              <w:jc w:val="center"/>
            </w:pPr>
            <w:r>
              <w:rPr>
                <w:rFonts w:ascii="Arial" w:hAnsi="Arial"/>
                <w:color w:val="1A1A1A"/>
                <w:sz w:val="19"/>
              </w:rPr>
              <w:t>Month 3</w:t>
            </w:r>
          </w:p>
        </w:tc>
        <w:tc>
          <w:tcPr>
            <w:tcW w:type="dxa" w:w="3312"/>
            <w:shd w:val="clear" w:color="auto" w:fill="FFFFFF"/>
            <w:vAlign w:val="center"/>
          </w:tcPr>
          <w:p>
            <w:pPr>
              <w:jc w:val="center"/>
            </w:pPr>
            <w:r>
              <w:rPr>
                <w:rFonts w:ascii="Arial" w:hAnsi="Arial"/>
                <w:color w:val="1A1A1A"/>
                <w:sz w:val="19"/>
              </w:rPr>
              <w:t>200 vendors; SEO indexing begins</w:t>
            </w:r>
          </w:p>
        </w:tc>
      </w:tr>
      <w:tr>
        <w:tc>
          <w:tcPr>
            <w:tcW w:type="dxa" w:w="4608"/>
            <w:shd w:val="clear" w:color="auto" w:fill="F2F5F9"/>
            <w:vAlign w:val="center"/>
          </w:tcPr>
          <w:p>
            <w:pPr>
              <w:jc w:val="left"/>
            </w:pPr>
            <w:r>
              <w:rPr>
                <w:rFonts w:ascii="Arial" w:hAnsi="Arial"/>
                <w:color w:val="1A1A1A"/>
                <w:sz w:val="19"/>
              </w:rPr>
              <w:t>First 20 Pro vendor subscribers</w:t>
            </w:r>
          </w:p>
        </w:tc>
        <w:tc>
          <w:tcPr>
            <w:tcW w:type="dxa" w:w="2160"/>
            <w:shd w:val="clear" w:color="auto" w:fill="F2F5F9"/>
            <w:vAlign w:val="center"/>
          </w:tcPr>
          <w:p>
            <w:pPr>
              <w:jc w:val="center"/>
            </w:pPr>
            <w:r>
              <w:rPr>
                <w:rFonts w:ascii="Arial" w:hAnsi="Arial"/>
                <w:color w:val="1A1A1A"/>
                <w:sz w:val="19"/>
              </w:rPr>
              <w:t>Month 4</w:t>
            </w:r>
          </w:p>
        </w:tc>
        <w:tc>
          <w:tcPr>
            <w:tcW w:type="dxa" w:w="3312"/>
            <w:shd w:val="clear" w:color="auto" w:fill="F2F5F9"/>
            <w:vAlign w:val="center"/>
          </w:tcPr>
          <w:p>
            <w:pPr>
              <w:jc w:val="center"/>
            </w:pPr>
            <w:r>
              <w:rPr>
                <w:rFonts w:ascii="Arial" w:hAnsi="Arial"/>
                <w:color w:val="1A1A1A"/>
                <w:sz w:val="19"/>
              </w:rPr>
              <w:t>$3,980 MRR from subscriptions</w:t>
            </w:r>
          </w:p>
        </w:tc>
      </w:tr>
      <w:tr>
        <w:tc>
          <w:tcPr>
            <w:tcW w:type="dxa" w:w="4608"/>
            <w:shd w:val="clear" w:color="auto" w:fill="FFFFFF"/>
            <w:vAlign w:val="center"/>
          </w:tcPr>
          <w:p>
            <w:pPr>
              <w:jc w:val="left"/>
            </w:pPr>
            <w:r>
              <w:rPr>
                <w:rFonts w:ascii="Arial" w:hAnsi="Arial"/>
                <w:color w:val="1A1A1A"/>
                <w:sz w:val="19"/>
              </w:rPr>
              <w:t>Reddit community recognition (top 5 search result)</w:t>
            </w:r>
          </w:p>
        </w:tc>
        <w:tc>
          <w:tcPr>
            <w:tcW w:type="dxa" w:w="2160"/>
            <w:shd w:val="clear" w:color="auto" w:fill="FFFFFF"/>
            <w:vAlign w:val="center"/>
          </w:tcPr>
          <w:p>
            <w:pPr>
              <w:jc w:val="center"/>
            </w:pPr>
            <w:r>
              <w:rPr>
                <w:rFonts w:ascii="Arial" w:hAnsi="Arial"/>
                <w:color w:val="1A1A1A"/>
                <w:sz w:val="19"/>
              </w:rPr>
              <w:t>Month 5</w:t>
            </w:r>
          </w:p>
        </w:tc>
        <w:tc>
          <w:tcPr>
            <w:tcW w:type="dxa" w:w="3312"/>
            <w:shd w:val="clear" w:color="auto" w:fill="FFFFFF"/>
            <w:vAlign w:val="center"/>
          </w:tcPr>
          <w:p>
            <w:pPr>
              <w:jc w:val="center"/>
            </w:pPr>
            <w:r>
              <w:rPr>
                <w:rFonts w:ascii="Arial" w:hAnsi="Arial"/>
                <w:color w:val="1A1A1A"/>
                <w:sz w:val="19"/>
              </w:rPr>
              <w:t>Position 1–5 for 'best peptide vendor'</w:t>
            </w:r>
          </w:p>
        </w:tc>
      </w:tr>
      <w:tr>
        <w:tc>
          <w:tcPr>
            <w:tcW w:type="dxa" w:w="4608"/>
            <w:shd w:val="clear" w:color="auto" w:fill="F2F5F9"/>
            <w:vAlign w:val="center"/>
          </w:tcPr>
          <w:p>
            <w:pPr>
              <w:jc w:val="left"/>
            </w:pPr>
            <w:r>
              <w:rPr>
                <w:rFonts w:ascii="Arial" w:hAnsi="Arial"/>
                <w:color w:val="1A1A1A"/>
                <w:sz w:val="19"/>
              </w:rPr>
              <w:t>API beta: 3 paying API clients</w:t>
            </w:r>
          </w:p>
        </w:tc>
        <w:tc>
          <w:tcPr>
            <w:tcW w:type="dxa" w:w="2160"/>
            <w:shd w:val="clear" w:color="auto" w:fill="F2F5F9"/>
            <w:vAlign w:val="center"/>
          </w:tcPr>
          <w:p>
            <w:pPr>
              <w:jc w:val="center"/>
            </w:pPr>
            <w:r>
              <w:rPr>
                <w:rFonts w:ascii="Arial" w:hAnsi="Arial"/>
                <w:color w:val="1A1A1A"/>
                <w:sz w:val="19"/>
              </w:rPr>
              <w:t>Month 6</w:t>
            </w:r>
          </w:p>
        </w:tc>
        <w:tc>
          <w:tcPr>
            <w:tcW w:type="dxa" w:w="3312"/>
            <w:shd w:val="clear" w:color="auto" w:fill="F2F5F9"/>
            <w:vAlign w:val="center"/>
          </w:tcPr>
          <w:p>
            <w:pPr>
              <w:jc w:val="center"/>
            </w:pPr>
            <w:r>
              <w:rPr>
                <w:rFonts w:ascii="Arial" w:hAnsi="Arial"/>
                <w:color w:val="1A1A1A"/>
                <w:sz w:val="19"/>
              </w:rPr>
              <w:t>$2,800 MRR from API</w:t>
            </w:r>
          </w:p>
        </w:tc>
      </w:tr>
      <w:tr>
        <w:tc>
          <w:tcPr>
            <w:tcW w:type="dxa" w:w="4608"/>
            <w:shd w:val="clear" w:color="auto" w:fill="FFFFFF"/>
            <w:vAlign w:val="center"/>
          </w:tcPr>
          <w:p>
            <w:pPr>
              <w:jc w:val="left"/>
            </w:pPr>
            <w:r>
              <w:rPr>
                <w:rFonts w:ascii="Arial" w:hAnsi="Arial"/>
                <w:color w:val="1A1A1A"/>
                <w:sz w:val="19"/>
              </w:rPr>
              <w:t>Break-even month</w:t>
            </w:r>
          </w:p>
        </w:tc>
        <w:tc>
          <w:tcPr>
            <w:tcW w:type="dxa" w:w="2160"/>
            <w:shd w:val="clear" w:color="auto" w:fill="FFFFFF"/>
            <w:vAlign w:val="center"/>
          </w:tcPr>
          <w:p>
            <w:pPr>
              <w:jc w:val="center"/>
            </w:pPr>
            <w:r>
              <w:rPr>
                <w:rFonts w:ascii="Arial" w:hAnsi="Arial"/>
                <w:color w:val="1A1A1A"/>
                <w:sz w:val="19"/>
              </w:rPr>
              <w:t>Month 8</w:t>
            </w:r>
          </w:p>
        </w:tc>
        <w:tc>
          <w:tcPr>
            <w:tcW w:type="dxa" w:w="3312"/>
            <w:shd w:val="clear" w:color="auto" w:fill="FFFFFF"/>
            <w:vAlign w:val="center"/>
          </w:tcPr>
          <w:p>
            <w:pPr>
              <w:jc w:val="center"/>
            </w:pPr>
            <w:r>
              <w:rPr>
                <w:rFonts w:ascii="Arial" w:hAnsi="Arial"/>
                <w:color w:val="1A1A1A"/>
                <w:sz w:val="19"/>
              </w:rPr>
              <w:t>Revenue ≥ Operating expenses</w:t>
            </w:r>
          </w:p>
        </w:tc>
      </w:tr>
      <w:tr>
        <w:tc>
          <w:tcPr>
            <w:tcW w:type="dxa" w:w="4608"/>
            <w:shd w:val="clear" w:color="auto" w:fill="F2F5F9"/>
            <w:vAlign w:val="center"/>
          </w:tcPr>
          <w:p>
            <w:pPr>
              <w:jc w:val="left"/>
            </w:pPr>
            <w:r>
              <w:rPr>
                <w:rFonts w:ascii="Arial" w:hAnsi="Arial"/>
                <w:color w:val="1A1A1A"/>
                <w:sz w:val="19"/>
              </w:rPr>
              <w:t>350+ vendors indexed globally</w:t>
            </w:r>
          </w:p>
        </w:tc>
        <w:tc>
          <w:tcPr>
            <w:tcW w:type="dxa" w:w="2160"/>
            <w:shd w:val="clear" w:color="auto" w:fill="F2F5F9"/>
            <w:vAlign w:val="center"/>
          </w:tcPr>
          <w:p>
            <w:pPr>
              <w:jc w:val="center"/>
            </w:pPr>
            <w:r>
              <w:rPr>
                <w:rFonts w:ascii="Arial" w:hAnsi="Arial"/>
                <w:color w:val="1A1A1A"/>
                <w:sz w:val="19"/>
              </w:rPr>
              <w:t>Month 9</w:t>
            </w:r>
          </w:p>
        </w:tc>
        <w:tc>
          <w:tcPr>
            <w:tcW w:type="dxa" w:w="3312"/>
            <w:shd w:val="clear" w:color="auto" w:fill="F2F5F9"/>
            <w:vAlign w:val="center"/>
          </w:tcPr>
          <w:p>
            <w:pPr>
              <w:jc w:val="center"/>
            </w:pPr>
            <w:r>
              <w:rPr>
                <w:rFonts w:ascii="Arial" w:hAnsi="Arial"/>
                <w:color w:val="1A1A1A"/>
                <w:sz w:val="19"/>
              </w:rPr>
              <w:t>Full market coverage; international expansion</w:t>
            </w:r>
          </w:p>
        </w:tc>
      </w:tr>
      <w:tr>
        <w:tc>
          <w:tcPr>
            <w:tcW w:type="dxa" w:w="4608"/>
            <w:shd w:val="clear" w:color="auto" w:fill="FFFFFF"/>
            <w:vAlign w:val="center"/>
          </w:tcPr>
          <w:p>
            <w:pPr>
              <w:jc w:val="left"/>
            </w:pPr>
            <w:r>
              <w:rPr>
                <w:rFonts w:ascii="Arial" w:hAnsi="Arial"/>
                <w:color w:val="1A1A1A"/>
                <w:sz w:val="19"/>
              </w:rPr>
              <w:t>$100K MRR milestone</w:t>
            </w:r>
          </w:p>
        </w:tc>
        <w:tc>
          <w:tcPr>
            <w:tcW w:type="dxa" w:w="2160"/>
            <w:shd w:val="clear" w:color="auto" w:fill="FFFFFF"/>
            <w:vAlign w:val="center"/>
          </w:tcPr>
          <w:p>
            <w:pPr>
              <w:jc w:val="center"/>
            </w:pPr>
            <w:r>
              <w:rPr>
                <w:rFonts w:ascii="Arial" w:hAnsi="Arial"/>
                <w:color w:val="1A1A1A"/>
                <w:sz w:val="19"/>
              </w:rPr>
              <w:t>Month 11</w:t>
            </w:r>
          </w:p>
        </w:tc>
        <w:tc>
          <w:tcPr>
            <w:tcW w:type="dxa" w:w="3312"/>
            <w:shd w:val="clear" w:color="auto" w:fill="FFFFFF"/>
            <w:vAlign w:val="center"/>
          </w:tcPr>
          <w:p>
            <w:pPr>
              <w:jc w:val="center"/>
            </w:pPr>
            <w:r>
              <w:rPr>
                <w:rFonts w:ascii="Arial" w:hAnsi="Arial"/>
                <w:color w:val="1A1A1A"/>
                <w:sz w:val="19"/>
              </w:rPr>
              <w:t>$100,000 single-month revenue</w:t>
            </w:r>
          </w:p>
        </w:tc>
      </w:tr>
      <w:tr>
        <w:tc>
          <w:tcPr>
            <w:tcW w:type="dxa" w:w="4608"/>
            <w:shd w:val="clear" w:color="auto" w:fill="F2F5F9"/>
            <w:vAlign w:val="center"/>
          </w:tcPr>
          <w:p>
            <w:pPr>
              <w:jc w:val="left"/>
            </w:pPr>
            <w:r>
              <w:rPr>
                <w:rFonts w:ascii="Arial" w:hAnsi="Arial"/>
                <w:color w:val="1A1A1A"/>
                <w:sz w:val="19"/>
              </w:rPr>
              <w:t>Series A fundraise begins</w:t>
            </w:r>
          </w:p>
        </w:tc>
        <w:tc>
          <w:tcPr>
            <w:tcW w:type="dxa" w:w="2160"/>
            <w:shd w:val="clear" w:color="auto" w:fill="F2F5F9"/>
            <w:vAlign w:val="center"/>
          </w:tcPr>
          <w:p>
            <w:pPr>
              <w:jc w:val="center"/>
            </w:pPr>
            <w:r>
              <w:rPr>
                <w:rFonts w:ascii="Arial" w:hAnsi="Arial"/>
                <w:color w:val="1A1A1A"/>
                <w:sz w:val="19"/>
              </w:rPr>
              <w:t>Month 12</w:t>
            </w:r>
          </w:p>
        </w:tc>
        <w:tc>
          <w:tcPr>
            <w:tcW w:type="dxa" w:w="3312"/>
            <w:shd w:val="clear" w:color="auto" w:fill="F2F5F9"/>
            <w:vAlign w:val="center"/>
          </w:tcPr>
          <w:p>
            <w:pPr>
              <w:jc w:val="center"/>
            </w:pPr>
            <w:r>
              <w:rPr>
                <w:rFonts w:ascii="Arial" w:hAnsi="Arial"/>
                <w:color w:val="1A1A1A"/>
                <w:sz w:val="19"/>
              </w:rPr>
              <w:t>Pitch deck + $1M ARR traction for raise</w:t>
            </w:r>
          </w:p>
        </w:tc>
      </w:tr>
    </w:tbl>
    <w:p/>
    <w:p>
      <w:pPr>
        <w:spacing w:before="440" w:after="80"/>
      </w:pPr>
      <w:r>
        <w:rPr>
          <w:rFonts w:ascii="Arial" w:hAnsi="Arial"/>
          <w:b/>
          <w:color w:val="1A376C"/>
          <w:sz w:val="30"/>
        </w:rPr>
        <w:t>INVESTMENT THESIS &amp; CLOSING STATEMENT</w:t>
      </w:r>
    </w:p>
    <w:p>
      <w:pPr>
        <w:spacing w:before="0" w:after="0"/>
        <w:pBdr>
          <w:bottom w:val="single" w:sz="10" w:space="1" w:color="1A376C"/>
        </w:pBdr>
      </w:pPr>
    </w:p>
    <w:p>
      <w:pPr>
        <w:spacing w:before="40" w:after="120"/>
      </w:pPr>
      <w:r>
        <w:rPr>
          <w:rFonts w:ascii="Arial" w:hAnsi="Arial"/>
          <w:color w:val="1A1A1A"/>
          <w:sz w:val="21"/>
        </w:rPr>
        <w:t>PeptideRank AI sits at the intersection of three durable, accelerating trends: the exponential growth of the biohacking and longevity movement, increasing regulatory and consumer demand for supply-chain transparency, and the commoditization of AI-powered data aggregation. The timing is optimal — the peptide research market is large enough to support a purpose-built intelligence platform, yet early enough that no credible competitor has established dominance.</w:t>
      </w:r>
    </w:p>
    <w:p>
      <w:pPr>
        <w:spacing w:before="40" w:after="120"/>
      </w:pPr>
      <w:r>
        <w:rPr>
          <w:rFonts w:ascii="Arial" w:hAnsi="Arial"/>
          <w:color w:val="1A1A1A"/>
          <w:sz w:val="21"/>
        </w:rPr>
        <w:t>With a $650,000 seed investment, a four-person team, and an 8-month path to profitability, PeptideRank AI offers an attractive risk-adjusted opportunity to build the definitive data layer for a $4.2 billion industry — and to become the trusted intermediary between vendors who want to prove their quality and researchers who demand it.</w:t>
      </w:r>
    </w:p>
    <w:p>
      <w:pPr>
        <w:spacing w:before="0" w:after="0"/>
        <w:pBdr>
          <w:bottom w:val="single" w:sz="8" w:space="1" w:color="008B8B"/>
        </w:pBdr>
      </w:pPr>
    </w:p>
    <w:p>
      <w:pPr>
        <w:spacing w:before="240"/>
        <w:jc w:val="center"/>
      </w:pPr>
      <w:r>
        <w:rPr>
          <w:rFonts w:ascii="Arial" w:hAnsi="Arial"/>
          <w:i/>
          <w:color w:val="8A96A8"/>
          <w:sz w:val="18"/>
        </w:rPr>
        <w:t>PEPTIDERANK AI  ·  CONFIDENTIAL BUSINESS PLAN  ·  MARCH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