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Research Response</w:t>
      </w:r>
    </w:p>
    <w:p>
      <w:pPr>
        <w:pStyle w:val="Heading2"/>
      </w:pPr>
      <w:r>
        <w:t>Summary</w:t>
      </w:r>
    </w:p>
    <w:p>
      <w:r>
        <w:t>Retrieved live price: 31800</w:t>
      </w:r>
    </w:p>
    <w:p>
      <w:pPr>
        <w:pStyle w:val="Heading2"/>
      </w:pPr>
      <w:r>
        <w:t>Sources</w:t>
      </w:r>
    </w:p>
    <w:p>
      <w:pPr>
        <w:pStyle w:val="ListBullet"/>
      </w:pPr>
      <w:r>
        <w:t>resolved_obligation</w:t>
      </w:r>
    </w:p>
    <w:p>
      <w:pPr>
        <w:pStyle w:val="ListBullet"/>
      </w:pPr>
      <w:r>
        <w:t>attachment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Research Response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