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Commercial Response</w:t>
      </w:r>
    </w:p>
    <w:p>
      <w:pPr>
        <w:pStyle w:val="Heading2"/>
      </w:pPr>
      <w:r>
        <w:t>Summary</w:t>
      </w:r>
    </w:p>
    <w:p>
      <w:r>
        <w:t>Total: 80 USD</w:t>
      </w:r>
    </w:p>
    <w:p>
      <w:pPr>
        <w:pStyle w:val="Heading2"/>
      </w:pPr>
      <w:r>
        <w:t>Findings</w:t>
      </w:r>
    </w:p>
    <w:p>
      <w:r>
        <w:t>Eligible records were read from the authorized workbook.</w:t>
      </w:r>
    </w:p>
    <w:p>
      <w:pPr>
        <w:pStyle w:val="Heading2"/>
      </w:pPr>
      <w:r>
        <w:t>Sources</w:t>
      </w:r>
    </w:p>
    <w:p>
      <w:pPr>
        <w:pStyle w:val="ListBullet"/>
      </w:pPr>
      <w:r>
        <w:t>Records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Commercial Response</dc:title>
  <dc:subject>Generated by Atom</dc:subject>
  <dc:creator>Atom</dc:creator>
  <cp:keywords/>
  <dc:description>Grounded artifact; sources: none recorded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