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Eligibility Assessment</w:t>
      </w:r>
    </w:p>
    <w:p>
      <w:pPr>
        <w:pStyle w:val="Heading2"/>
      </w:pPr>
      <w:r>
        <w:t>Summary</w:t>
      </w:r>
    </w:p>
    <w:p>
      <w:r>
        <w:t>Decision: CLEAR</w:t>
      </w:r>
    </w:p>
    <w:p>
      <w:pPr>
        <w:pStyle w:val="Heading2"/>
      </w:pPr>
      <w:r>
        <w:t>Sources</w:t>
      </w:r>
    </w:p>
    <w:p>
      <w:pPr>
        <w:pStyle w:val="ListBullet"/>
      </w:pPr>
      <w:r>
        <w:t>Qualification record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Eligibility Assessment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