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Research Response</w:t>
      </w:r>
    </w:p>
    <w:p>
      <w:pPr>
        <w:pStyle w:val="Heading2"/>
      </w:pPr>
      <w:r>
        <w:t>Summary</w:t>
      </w:r>
    </w:p>
    <w:p>
      <w:r>
        <w:t>Retrieved live price: 31800</w:t>
      </w:r>
    </w:p>
    <w:p>
      <w:pPr>
        <w:pStyle w:val="Heading2"/>
      </w:pPr>
      <w:r>
        <w:t>Sources</w:t>
      </w:r>
    </w:p>
    <w:p>
      <w:pPr>
        <w:pStyle w:val="ListBullet"/>
      </w:pPr>
      <w:r>
        <w:t>rish@brennan.ca</w:t>
      </w:r>
    </w:p>
    <w:p>
      <w:pPr>
        <w:pStyle w:val="ListBullet"/>
      </w:pPr>
      <w:r>
        <w:t>attachment 5cd746af2c46dfe3979b1881cb8623dff149958b4cadd97bd69da1e489c9dcb4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Research Response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