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04. Data Move: Move, Copy, Convert</w:t>
      </w:r>
    </w:p>
    <w:p>
      <w:pPr>
        <w:pStyle w:val="Heading2"/>
      </w:pPr>
      <w:r>
        <w:t>1. Definition</w:t>
      </w:r>
    </w:p>
    <w:p>
      <w:r>
        <w:t>Data movement in a PLC is the process of transferring values between tags, registers, memory locations, arrays, or structures. Data conversion changes a value from one data type or representation to another.</w:t>
      </w:r>
    </w:p>
    <w:p>
      <w:r>
        <w:t>These instructions operate primarily on data stored in the controller's memory. They do not directly change a physical process, although the transferred data may later be used to control motors, valves, robots, test equipment, or other devices.</w:t>
      </w:r>
    </w:p>
    <w:p>
      <w:r>
        <w:t>For example, a PLC may receive a raw analog input, convert it to a floating-point value, scale it into bar, and transfer the result to a tag used by an HMI.</w:t>
      </w:r>
    </w:p>
    <w:p>
      <w:r>
        <w:t>The three fundamental operations are:</w:t>
      </w:r>
    </w:p>
    <w:p>
      <w:pPr>
        <w:pStyle w:val="ListBullet"/>
      </w:pPr>
      <w:r>
        <w:t>Move: Transfer a value from one source to one destination.</w:t>
      </w:r>
    </w:p>
    <w:p>
      <w:pPr>
        <w:pStyle w:val="ListBullet"/>
      </w:pPr>
      <w:r>
        <w:t>Copy: Duplicate a value or a block of data from one memory area to another.</w:t>
      </w:r>
    </w:p>
    <w:p>
      <w:pPr>
        <w:pStyle w:val="ListBullet"/>
      </w:pPr>
      <w:r>
        <w:t>Convert: Change the data type or representation of a value.</w:t>
      </w:r>
    </w:p>
    <w:p>
      <w:pPr>
        <w:pStyle w:val="Heading2"/>
      </w:pPr>
      <w:r>
        <w:t>2. Why Data Movement Is Required</w:t>
      </w:r>
    </w:p>
    <w:p>
      <w:r>
        <w:t>Industrial PLC programs frequently need to move and convert data between different parts of a machine or control system.</w:t>
      </w:r>
    </w:p>
    <w:p>
      <w:r>
        <w:t>Common applications include:</w:t>
      </w:r>
    </w:p>
    <w:p>
      <w:pPr>
        <w:pStyle w:val="ListBullet"/>
      </w:pPr>
      <w:r>
        <w:t>Transferring a part count into a batch counter.</w:t>
      </w:r>
    </w:p>
    <w:p>
      <w:pPr>
        <w:pStyle w:val="ListBullet"/>
      </w:pPr>
      <w:r>
        <w:t>Loading recipe parameters into an active production buffer.</w:t>
      </w:r>
    </w:p>
    <w:p>
      <w:pPr>
        <w:pStyle w:val="ListBullet"/>
      </w:pPr>
      <w:r>
        <w:t>Copying machine status values for diagnostics or reporting.</w:t>
      </w:r>
    </w:p>
    <w:p>
      <w:pPr>
        <w:pStyle w:val="ListBullet"/>
      </w:pPr>
      <w:r>
        <w:t>Converting integer analog input values into real numbers for calculations.</w:t>
      </w:r>
    </w:p>
    <w:p>
      <w:pPr>
        <w:pStyle w:val="ListBullet"/>
      </w:pPr>
      <w:r>
        <w:t>Transferring operator-entered setpoints from HMI tags into control tags.</w:t>
      </w:r>
    </w:p>
    <w:p>
      <w:pPr>
        <w:pStyle w:val="ListBullet"/>
      </w:pPr>
      <w:r>
        <w:t>Preparing values for communication with another PLC, a robot, a CNC, or a supervisory system.</w:t>
      </w:r>
    </w:p>
    <w:p>
      <w:pPr>
        <w:pStyle w:val="ListBullet"/>
      </w:pPr>
      <w:r>
        <w:t>Saving a snapshot of process values for fault investigation.</w:t>
      </w:r>
    </w:p>
    <w:p>
      <w:r>
        <w:t>Example:</w:t>
      </w:r>
    </w:p>
    <w:p>
      <w:pPr>
        <w:shd w:val="clear" w:color="auto" w:fill="F4F4F4"/>
        <w:spacing w:before="0" w:after="0" w:line="240" w:lineRule="auto"/>
        <w:ind w:left="216" w:right="216"/>
        <w:jc w:val="left"/>
      </w:pPr>
      <w:r>
        <w:rPr>
          <w:rFonts w:ascii="Consolas" w:hAnsi="Consolas"/>
          <w:color w:val="202020"/>
          <w:sz w:val="18"/>
        </w:rPr>
        <w:t>HMI_Setpoint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Validate_Setpoint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Active_Setpoint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Control_Logic</w:t>
      </w:r>
    </w:p>
    <w:p/>
    <w:p>
      <w:r>
        <w:t>The PLC should not blindly apply every value received from an HMI or another controller. Validation matters because machines are very good at following incorrect instructions precisely.</w:t>
      </w:r>
    </w:p>
    <w:p>
      <w:pPr>
        <w:pStyle w:val="Heading2"/>
      </w:pPr>
      <w:r>
        <w:t>3. The MOVE Instruction</w:t>
      </w:r>
    </w:p>
    <w:p>
      <w:pPr>
        <w:pStyle w:val="Heading3"/>
      </w:pPr>
      <w:r>
        <w:t>3.1 What MOVE Does</w:t>
      </w:r>
    </w:p>
    <w:p>
      <w:r>
        <w:t xml:space="preserve">A </w:t>
      </w:r>
      <w:r>
        <w:rPr>
          <w:rFonts w:ascii="Consolas" w:hAnsi="Consolas"/>
          <w:color w:val="333333"/>
          <w:sz w:val="19"/>
          <w:shd w:val="clear" w:color="auto" w:fill="EFEFEF"/>
        </w:rPr>
        <w:t>MOV</w:t>
      </w:r>
      <w:r>
        <w:t xml:space="preserve"> or </w:t>
      </w:r>
      <w:r>
        <w:rPr>
          <w:rFonts w:ascii="Consolas" w:hAnsi="Consolas"/>
          <w:color w:val="333333"/>
          <w:sz w:val="19"/>
          <w:shd w:val="clear" w:color="auto" w:fill="EFEFEF"/>
        </w:rPr>
        <w:t>MOVE</w:t>
      </w:r>
      <w:r>
        <w:t xml:space="preserve"> instruction transfers the value of a source operand into a destination operand.</w:t>
      </w:r>
    </w:p>
    <w:p>
      <w:r>
        <w:t>General representation:</w:t>
      </w:r>
    </w:p>
    <w:p>
      <w:pPr>
        <w:shd w:val="clear" w:color="auto" w:fill="F4F4F4"/>
        <w:spacing w:before="0" w:after="0" w:line="240" w:lineRule="auto"/>
        <w:ind w:left="216" w:right="216"/>
        <w:jc w:val="left"/>
      </w:pPr>
      <w:r>
        <w:rPr>
          <w:rFonts w:ascii="Consolas" w:hAnsi="Consolas"/>
          <w:color w:val="202020"/>
          <w:sz w:val="18"/>
        </w:rPr>
        <w:t>MOV(Source, Destination)</w:t>
      </w:r>
    </w:p>
    <w:p/>
    <w:p>
      <w:r>
        <w:t>Example:</w:t>
      </w:r>
    </w:p>
    <w:p>
      <w:pPr>
        <w:shd w:val="clear" w:color="auto" w:fill="F4F4F4"/>
        <w:spacing w:before="0" w:after="0" w:line="240" w:lineRule="auto"/>
        <w:ind w:left="216" w:right="216"/>
        <w:jc w:val="left"/>
      </w:pPr>
      <w:r>
        <w:rPr>
          <w:rFonts w:ascii="Consolas" w:hAnsi="Consolas"/>
          <w:color w:val="202020"/>
          <w:sz w:val="18"/>
        </w:rPr>
        <w:t>Source:      PartCount = 125</w:t>
      </w:r>
    </w:p>
    <w:p>
      <w:pPr>
        <w:shd w:val="clear" w:color="auto" w:fill="F4F4F4"/>
        <w:spacing w:before="0" w:after="0" w:line="240" w:lineRule="auto"/>
        <w:ind w:left="216" w:right="216"/>
        <w:jc w:val="left"/>
      </w:pPr>
      <w:r>
        <w:rPr>
          <w:rFonts w:ascii="Consolas" w:hAnsi="Consolas"/>
          <w:color w:val="202020"/>
          <w:sz w:val="18"/>
        </w:rPr>
        <w:t>Destination: BatchCount = 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MOV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w:t>
      </w:r>
    </w:p>
    <w:p>
      <w:pPr>
        <w:shd w:val="clear" w:color="auto" w:fill="F4F4F4"/>
        <w:spacing w:before="0" w:after="0" w:line="240" w:lineRule="auto"/>
        <w:ind w:left="216" w:right="216"/>
        <w:jc w:val="left"/>
      </w:pPr>
      <w:r>
        <w:rPr>
          <w:rFonts w:ascii="Consolas" w:hAnsi="Consolas"/>
          <w:color w:val="202020"/>
          <w:sz w:val="18"/>
        </w:rPr>
        <w:t>PartCount  = 125</w:t>
      </w:r>
    </w:p>
    <w:p>
      <w:pPr>
        <w:shd w:val="clear" w:color="auto" w:fill="F4F4F4"/>
        <w:spacing w:before="0" w:after="0" w:line="240" w:lineRule="auto"/>
        <w:ind w:left="216" w:right="216"/>
        <w:jc w:val="left"/>
      </w:pPr>
      <w:r>
        <w:rPr>
          <w:rFonts w:ascii="Consolas" w:hAnsi="Consolas"/>
          <w:color w:val="202020"/>
          <w:sz w:val="18"/>
        </w:rPr>
        <w:t>BatchCount = 125</w:t>
      </w:r>
    </w:p>
    <w:p/>
    <w:p>
      <w:r>
        <w:t>The source remains unchanged. The destination is overwritten with the source value whenever the instruction executes.</w:t>
      </w:r>
    </w:p>
    <w:p>
      <w:pPr>
        <w:pStyle w:val="Heading3"/>
      </w:pPr>
      <w:r>
        <w:t>3.2 Important Characteristics</w:t>
      </w:r>
    </w:p>
    <w:p>
      <w:pPr>
        <w:pStyle w:val="ListBullet"/>
      </w:pPr>
      <w:r>
        <w:t>Normally transfers one scalar value per instruction.</w:t>
      </w:r>
    </w:p>
    <w:p>
      <w:pPr>
        <w:pStyle w:val="ListBullet"/>
      </w:pPr>
      <w:r>
        <w:t>The source is read and the destination is written.</w:t>
      </w:r>
    </w:p>
    <w:p>
      <w:pPr>
        <w:pStyle w:val="ListBullet"/>
      </w:pPr>
      <w:r>
        <w:t>The destination's previous value is replaced.</w:t>
      </w:r>
    </w:p>
    <w:p>
      <w:pPr>
        <w:pStyle w:val="ListBullet"/>
      </w:pPr>
      <w:r>
        <w:t>Source and destination data types must be compatible according to the PLC platform's rules.</w:t>
      </w:r>
    </w:p>
    <w:p>
      <w:pPr>
        <w:pStyle w:val="ListBullet"/>
      </w:pPr>
      <w:r>
        <w:t>Execution depends on the instruction's programming environment and conditions.</w:t>
      </w:r>
    </w:p>
    <w:p>
      <w:pPr>
        <w:pStyle w:val="ListBullet"/>
      </w:pPr>
      <w:r>
        <w:t>Moving a value does not automatically scale it, validate it, or make it physically meaningful.</w:t>
      </w:r>
    </w:p>
    <w:p>
      <w:r>
        <w:t xml:space="preserve">For example, moving a raw analog value of </w:t>
      </w:r>
      <w:r>
        <w:rPr>
          <w:rFonts w:ascii="Consolas" w:hAnsi="Consolas"/>
          <w:color w:val="333333"/>
          <w:sz w:val="19"/>
          <w:shd w:val="clear" w:color="auto" w:fill="EFEFEF"/>
        </w:rPr>
        <w:t>13824</w:t>
      </w:r>
      <w:r>
        <w:t xml:space="preserve"> into another integer tag produces </w:t>
      </w:r>
      <w:r>
        <w:rPr>
          <w:rFonts w:ascii="Consolas" w:hAnsi="Consolas"/>
          <w:color w:val="333333"/>
          <w:sz w:val="19"/>
          <w:shd w:val="clear" w:color="auto" w:fill="EFEFEF"/>
        </w:rPr>
        <w:t>13824</w:t>
      </w:r>
      <w:r>
        <w:t>. It does not automatically convert that value into a pressure reading.</w:t>
      </w:r>
    </w:p>
    <w:p>
      <w:pPr>
        <w:pStyle w:val="Heading3"/>
      </w:pPr>
      <w:r>
        <w:t>3.3 Ladder Logic Example</w:t>
      </w:r>
    </w:p>
    <w:p>
      <w:r>
        <w:t>Suppose a machine has a completed-part counter and must capture its value when the batch is completed.</w:t>
      </w:r>
    </w:p>
    <w:p>
      <w:pPr>
        <w:shd w:val="clear" w:color="auto" w:fill="F4F4F4"/>
        <w:spacing w:before="0" w:after="0" w:line="240" w:lineRule="auto"/>
        <w:ind w:left="216" w:right="216"/>
        <w:jc w:val="left"/>
      </w:pPr>
      <w:r>
        <w:rPr>
          <w:rFonts w:ascii="Consolas" w:hAnsi="Consolas"/>
          <w:color w:val="202020"/>
          <w:sz w:val="18"/>
        </w:rPr>
        <w:t>|----[ Batch_Complete ]----[ MOV PartCount BatchCount ]----|</w:t>
      </w:r>
    </w:p>
    <w:p/>
    <w:p>
      <w:r>
        <w:t xml:space="preserve">When </w:t>
      </w:r>
      <w:r>
        <w:rPr>
          <w:rFonts w:ascii="Consolas" w:hAnsi="Consolas"/>
          <w:color w:val="333333"/>
          <w:sz w:val="19"/>
          <w:shd w:val="clear" w:color="auto" w:fill="EFEFEF"/>
        </w:rPr>
        <w:t>Batch_Complete</w:t>
      </w:r>
      <w:r>
        <w:t xml:space="preserve"> enables the instruction:</w:t>
      </w:r>
    </w:p>
    <w:p>
      <w:pPr>
        <w:shd w:val="clear" w:color="auto" w:fill="F4F4F4"/>
        <w:spacing w:before="0" w:after="0" w:line="240" w:lineRule="auto"/>
        <w:ind w:left="216" w:right="216"/>
        <w:jc w:val="left"/>
      </w:pPr>
      <w:r>
        <w:rPr>
          <w:rFonts w:ascii="Consolas" w:hAnsi="Consolas"/>
          <w:color w:val="202020"/>
          <w:sz w:val="18"/>
        </w:rPr>
        <w:t>PartCount  = 500</w:t>
      </w:r>
    </w:p>
    <w:p>
      <w:pPr>
        <w:shd w:val="clear" w:color="auto" w:fill="F4F4F4"/>
        <w:spacing w:before="0" w:after="0" w:line="240" w:lineRule="auto"/>
        <w:ind w:left="216" w:right="216"/>
        <w:jc w:val="left"/>
      </w:pPr>
      <w:r>
        <w:rPr>
          <w:rFonts w:ascii="Consolas" w:hAnsi="Consolas"/>
          <w:color w:val="202020"/>
          <w:sz w:val="18"/>
        </w:rPr>
        <w:t>BatchCount = 500</w:t>
      </w:r>
    </w:p>
    <w:p/>
    <w:p>
      <w:r>
        <w:t xml:space="preserve">If the instruction executes again after </w:t>
      </w:r>
      <w:r>
        <w:rPr>
          <w:rFonts w:ascii="Consolas" w:hAnsi="Consolas"/>
          <w:color w:val="333333"/>
          <w:sz w:val="19"/>
          <w:shd w:val="clear" w:color="auto" w:fill="EFEFEF"/>
        </w:rPr>
        <w:t>PartCount</w:t>
      </w:r>
      <w:r>
        <w:t xml:space="preserve"> becomes </w:t>
      </w:r>
      <w:r>
        <w:rPr>
          <w:rFonts w:ascii="Consolas" w:hAnsi="Consolas"/>
          <w:color w:val="333333"/>
          <w:sz w:val="19"/>
          <w:shd w:val="clear" w:color="auto" w:fill="EFEFEF"/>
        </w:rPr>
        <w:t>501</w:t>
      </w:r>
      <w:r>
        <w:t xml:space="preserve">, </w:t>
      </w:r>
      <w:r>
        <w:rPr>
          <w:rFonts w:ascii="Consolas" w:hAnsi="Consolas"/>
          <w:color w:val="333333"/>
          <w:sz w:val="19"/>
          <w:shd w:val="clear" w:color="auto" w:fill="EFEFEF"/>
        </w:rPr>
        <w:t>BatchCount</w:t>
      </w:r>
      <w:r>
        <w:t xml:space="preserve"> becomes </w:t>
      </w:r>
      <w:r>
        <w:rPr>
          <w:rFonts w:ascii="Consolas" w:hAnsi="Consolas"/>
          <w:color w:val="333333"/>
          <w:sz w:val="19"/>
          <w:shd w:val="clear" w:color="auto" w:fill="EFEFEF"/>
        </w:rPr>
        <w:t>501</w:t>
      </w:r>
      <w:r>
        <w:t>.</w:t>
      </w:r>
    </w:p>
    <w:p>
      <w:r>
        <w:t>This is an important distinction: MOV is not inherently a one-time capture instruction. If the value must be captured only once, use an appropriate one-shot or edge-triggered condition, or another explicit sequence-control mechanism.</w:t>
      </w:r>
    </w:p>
    <w:p>
      <w:pPr>
        <w:pStyle w:val="Heading3"/>
      </w:pPr>
      <w:r>
        <w:t>3.4 Common Applications</w:t>
      </w:r>
    </w:p>
    <w:p>
      <w:pPr>
        <w:pStyle w:val="ListBullet"/>
      </w:pPr>
      <w:r>
        <w:t>Transfer a completed-part count.</w:t>
      </w:r>
    </w:p>
    <w:p>
      <w:pPr>
        <w:pStyle w:val="ListBullet"/>
      </w:pPr>
      <w:r>
        <w:t>Apply a validated setpoint.</w:t>
      </w:r>
    </w:p>
    <w:p>
      <w:pPr>
        <w:pStyle w:val="ListBullet"/>
      </w:pPr>
      <w:r>
        <w:t>Copy a calculated value into a reporting tag.</w:t>
      </w:r>
    </w:p>
    <w:p>
      <w:pPr>
        <w:pStyle w:val="ListBullet"/>
      </w:pPr>
      <w:r>
        <w:t>Initialize a working variable.</w:t>
      </w:r>
    </w:p>
    <w:p>
      <w:pPr>
        <w:pStyle w:val="ListBullet"/>
      </w:pPr>
      <w:r>
        <w:t>Transfer a machine state or recipe identifier.</w:t>
      </w:r>
    </w:p>
    <w:p>
      <w:pPr>
        <w:pStyle w:val="Heading2"/>
      </w:pPr>
      <w:r>
        <w:t>4. The COPY Instruction</w:t>
      </w:r>
    </w:p>
    <w:p>
      <w:pPr>
        <w:pStyle w:val="Heading3"/>
      </w:pPr>
      <w:r>
        <w:t>4.1 What COPY Does</w:t>
      </w:r>
    </w:p>
    <w:p>
      <w:r>
        <w:t>A copy operation duplicates data from a source memory area into a destination memory area. Depending on the PLC platform, it may copy a single value, an array, a structure, or a block of memory.</w:t>
      </w:r>
    </w:p>
    <w:p>
      <w:r>
        <w:t>Example:</w:t>
      </w:r>
    </w:p>
    <w:p>
      <w:pPr>
        <w:shd w:val="clear" w:color="auto" w:fill="F4F4F4"/>
        <w:spacing w:before="0" w:after="0" w:line="240" w:lineRule="auto"/>
        <w:ind w:left="216" w:right="216"/>
        <w:jc w:val="left"/>
      </w:pPr>
      <w:r>
        <w:rPr>
          <w:rFonts w:ascii="Consolas" w:hAnsi="Consolas"/>
          <w:color w:val="202020"/>
          <w:sz w:val="18"/>
        </w:rPr>
        <w:t>Source array:</w:t>
      </w:r>
    </w:p>
    <w:p>
      <w:pPr>
        <w:shd w:val="clear" w:color="auto" w:fill="F4F4F4"/>
        <w:spacing w:before="0" w:after="0" w:line="240" w:lineRule="auto"/>
        <w:ind w:left="216" w:right="216"/>
        <w:jc w:val="left"/>
      </w:pPr>
      <w:r>
        <w:rPr>
          <w:rFonts w:ascii="Consolas" w:hAnsi="Consolas"/>
          <w:color w:val="202020"/>
          <w:sz w:val="18"/>
        </w:rPr>
        <w:t>Recipe_1 = [10, 20, 30, 40]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Destination array before copy:</w:t>
      </w:r>
    </w:p>
    <w:p>
      <w:pPr>
        <w:shd w:val="clear" w:color="auto" w:fill="F4F4F4"/>
        <w:spacing w:before="0" w:after="0" w:line="240" w:lineRule="auto"/>
        <w:ind w:left="216" w:right="216"/>
        <w:jc w:val="left"/>
      </w:pPr>
      <w:r>
        <w:rPr>
          <w:rFonts w:ascii="Consolas" w:hAnsi="Consolas"/>
          <w:color w:val="202020"/>
          <w:sz w:val="18"/>
        </w:rPr>
        <w:t>Active_Recipe = [0, 0, 0, 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After copy:</w:t>
      </w:r>
    </w:p>
    <w:p>
      <w:pPr>
        <w:shd w:val="clear" w:color="auto" w:fill="F4F4F4"/>
        <w:spacing w:before="0" w:after="0" w:line="240" w:lineRule="auto"/>
        <w:ind w:left="216" w:right="216"/>
        <w:jc w:val="left"/>
      </w:pPr>
      <w:r>
        <w:rPr>
          <w:rFonts w:ascii="Consolas" w:hAnsi="Consolas"/>
          <w:color w:val="202020"/>
          <w:sz w:val="18"/>
        </w:rPr>
        <w:t>Active_Recipe = [10, 20, 30, 40]</w:t>
      </w:r>
    </w:p>
    <w:p/>
    <w:p>
      <w:r>
        <w:t>The source remains unchanged, while the corresponding destination elements are overwritten.</w:t>
      </w:r>
    </w:p>
    <w:p>
      <w:pPr>
        <w:pStyle w:val="Heading3"/>
      </w:pPr>
      <w:r>
        <w:t>4.2 MOV Versus COP</w:t>
      </w:r>
    </w:p>
    <w:p>
      <w:r>
        <w:t xml:space="preserve">On Rockwell Logix platforms, </w:t>
      </w:r>
      <w:r>
        <w:rPr>
          <w:rFonts w:ascii="Consolas" w:hAnsi="Consolas"/>
          <w:color w:val="333333"/>
          <w:sz w:val="19"/>
          <w:shd w:val="clear" w:color="auto" w:fill="EFEFEF"/>
        </w:rPr>
        <w:t>MOV</w:t>
      </w:r>
      <w:r>
        <w:t xml:space="preserve"> is commonly used to transfer one value, while </w:t>
      </w:r>
      <w:r>
        <w:rPr>
          <w:rFonts w:ascii="Consolas" w:hAnsi="Consolas"/>
          <w:color w:val="333333"/>
          <w:sz w:val="19"/>
          <w:shd w:val="clear" w:color="auto" w:fill="EFEFEF"/>
        </w:rPr>
        <w:t>COP</w:t>
      </w:r>
      <w:r>
        <w:t xml:space="preserve"> copies a specified amount of data from a source to a destination.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MOV</w:t>
            </w:r>
          </w:p>
        </w:tc>
        <w:tc>
          <w:tcPr>
            <w:tcW w:type="dxa" w:w="3600"/>
            <w:shd w:val="clear" w:color="auto" w:fill="EEF2F7"/>
          </w:tcPr>
          <w:p>
            <w:pPr>
              <w:spacing w:after="0" w:before="0" w:line="240" w:lineRule="auto"/>
              <w:jc w:val="left"/>
            </w:pPr>
            <w:r>
              <w:rPr>
                <w:b/>
                <w:color w:val="1A2E4A"/>
              </w:rPr>
              <w:t>COP</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Transfer a value</w:t>
            </w:r>
          </w:p>
        </w:tc>
        <w:tc>
          <w:tcPr>
            <w:tcW w:type="dxa" w:w="3600"/>
          </w:tcPr>
          <w:p>
            <w:pPr>
              <w:spacing w:after="0" w:before="0" w:line="240" w:lineRule="auto"/>
              <w:jc w:val="left"/>
            </w:pPr>
            <w:r>
              <w:t>Copy a block of data</w:t>
            </w:r>
          </w:p>
        </w:tc>
      </w:tr>
      <w:tr>
        <w:tc>
          <w:tcPr>
            <w:tcW w:type="dxa" w:w="3600"/>
          </w:tcPr>
          <w:p>
            <w:pPr>
              <w:spacing w:after="0" w:before="0" w:line="240" w:lineRule="auto"/>
              <w:jc w:val="left"/>
            </w:pPr>
            <w:r>
              <w:t>Typical use</w:t>
            </w:r>
          </w:p>
        </w:tc>
        <w:tc>
          <w:tcPr>
            <w:tcW w:type="dxa" w:w="3600"/>
          </w:tcPr>
          <w:p>
            <w:pPr>
              <w:spacing w:after="0" w:before="0" w:line="240" w:lineRule="auto"/>
              <w:jc w:val="left"/>
            </w:pPr>
            <w:r>
              <w:t>One count, setpoint, or state</w:t>
            </w:r>
          </w:p>
        </w:tc>
        <w:tc>
          <w:tcPr>
            <w:tcW w:type="dxa" w:w="3600"/>
          </w:tcPr>
          <w:p>
            <w:pPr>
              <w:spacing w:after="0" w:before="0" w:line="240" w:lineRule="auto"/>
              <w:jc w:val="left"/>
            </w:pPr>
            <w:r>
              <w:t>Arrays, structures, grouped data</w:t>
            </w:r>
          </w:p>
        </w:tc>
      </w:tr>
      <w:tr>
        <w:tc>
          <w:tcPr>
            <w:tcW w:type="dxa" w:w="3600"/>
          </w:tcPr>
          <w:p>
            <w:pPr>
              <w:spacing w:after="0" w:before="0" w:line="240" w:lineRule="auto"/>
              <w:jc w:val="left"/>
            </w:pPr>
            <w:r>
              <w:t>Source modified?</w:t>
            </w:r>
          </w:p>
        </w:tc>
        <w:tc>
          <w:tcPr>
            <w:tcW w:type="dxa" w:w="3600"/>
          </w:tcPr>
          <w:p>
            <w:pPr>
              <w:spacing w:after="0" w:before="0" w:line="240" w:lineRule="auto"/>
              <w:jc w:val="left"/>
            </w:pPr>
            <w:r>
              <w:t>No</w:t>
            </w:r>
          </w:p>
        </w:tc>
        <w:tc>
          <w:tcPr>
            <w:tcW w:type="dxa" w:w="3600"/>
          </w:tcPr>
          <w:p>
            <w:pPr>
              <w:spacing w:after="0" w:before="0" w:line="240" w:lineRule="auto"/>
              <w:jc w:val="left"/>
            </w:pPr>
            <w:r>
              <w:t>No</w:t>
            </w:r>
          </w:p>
        </w:tc>
      </w:tr>
      <w:tr>
        <w:tc>
          <w:tcPr>
            <w:tcW w:type="dxa" w:w="3600"/>
          </w:tcPr>
          <w:p>
            <w:pPr>
              <w:spacing w:after="0" w:before="0" w:line="240" w:lineRule="auto"/>
              <w:jc w:val="left"/>
            </w:pPr>
            <w:r>
              <w:t>Destination modified?</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Length parameter</w:t>
            </w:r>
          </w:p>
        </w:tc>
        <w:tc>
          <w:tcPr>
            <w:tcW w:type="dxa" w:w="3600"/>
          </w:tcPr>
          <w:p>
            <w:pPr>
              <w:spacing w:after="0" w:before="0" w:line="240" w:lineRule="auto"/>
              <w:jc w:val="left"/>
            </w:pPr>
            <w:r>
              <w:t>Typically not required</w:t>
            </w:r>
          </w:p>
        </w:tc>
        <w:tc>
          <w:tcPr>
            <w:tcW w:type="dxa" w:w="3600"/>
          </w:tcPr>
          <w:p>
            <w:pPr>
              <w:spacing w:after="0" w:before="0" w:line="240" w:lineRule="auto"/>
              <w:jc w:val="left"/>
            </w:pPr>
            <w:r>
              <w:t>Required on Rockwell COP</w:t>
            </w:r>
          </w:p>
        </w:tc>
      </w:tr>
      <w:tr>
        <w:tc>
          <w:tcPr>
            <w:tcW w:type="dxa" w:w="3600"/>
          </w:tcPr>
          <w:p>
            <w:pPr>
              <w:spacing w:after="0" w:before="0" w:line="240" w:lineRule="auto"/>
              <w:jc w:val="left"/>
            </w:pPr>
            <w:r>
              <w:t>Data compatibility</w:t>
            </w:r>
          </w:p>
        </w:tc>
        <w:tc>
          <w:tcPr>
            <w:tcW w:type="dxa" w:w="3600"/>
          </w:tcPr>
          <w:p>
            <w:pPr>
              <w:spacing w:after="0" w:before="0" w:line="240" w:lineRule="auto"/>
              <w:jc w:val="left"/>
            </w:pPr>
            <w:r>
              <w:t>Governed by instruction and operand types</w:t>
            </w:r>
          </w:p>
        </w:tc>
        <w:tc>
          <w:tcPr>
            <w:tcW w:type="dxa" w:w="3600"/>
          </w:tcPr>
          <w:p>
            <w:pPr>
              <w:spacing w:after="0" w:before="0" w:line="240" w:lineRule="auto"/>
              <w:jc w:val="left"/>
            </w:pPr>
            <w:r>
              <w:t>Governed by platform-specific copy and memory-layout rules</w:t>
            </w:r>
          </w:p>
        </w:tc>
      </w:tr>
    </w:tbl>
    <w:p/>
    <w:p>
      <w:r>
        <w:t>The distinction is not identical across every PLC brand. IEC Structured Text assignment, Siemens instructions, Mitsubishi instructions, and Rockwell instructions have different syntax and behavior.</w:t>
      </w:r>
    </w:p>
    <w:p>
      <w:pPr>
        <w:pStyle w:val="Heading3"/>
      </w:pPr>
      <w:r>
        <w:t>4.3 Understanding COPY Length</w:t>
      </w:r>
    </w:p>
    <w:p>
      <w:r>
        <w:t xml:space="preserve">On Rockwell Logix, </w:t>
      </w:r>
      <w:r>
        <w:rPr>
          <w:rFonts w:ascii="Consolas" w:hAnsi="Consolas"/>
          <w:color w:val="333333"/>
          <w:sz w:val="19"/>
          <w:shd w:val="clear" w:color="auto" w:fill="EFEFEF"/>
        </w:rPr>
        <w:t>COP</w:t>
      </w:r>
      <w:r>
        <w:t xml:space="preserve"> uses a </w:t>
      </w:r>
      <w:r>
        <w:rPr>
          <w:rFonts w:ascii="Consolas" w:hAnsi="Consolas"/>
          <w:color w:val="333333"/>
          <w:sz w:val="19"/>
          <w:shd w:val="clear" w:color="auto" w:fill="EFEFEF"/>
        </w:rPr>
        <w:t>Length</w:t>
      </w:r>
      <w:r>
        <w:t xml:space="preserve"> parameter. Its interpretation depends on the instruction and data types involved. For many Logix </w:t>
      </w:r>
      <w:r>
        <w:rPr>
          <w:rFonts w:ascii="Consolas" w:hAnsi="Consolas"/>
          <w:color w:val="333333"/>
          <w:sz w:val="19"/>
          <w:shd w:val="clear" w:color="auto" w:fill="EFEFEF"/>
        </w:rPr>
        <w:t>COP</w:t>
      </w:r>
      <w:r>
        <w:t xml:space="preserve"> applications, the length represents the number of destination elements, not a byte count. Consult the controller's instruction reference before using it with mixed or structured data.</w:t>
      </w:r>
    </w:p>
    <w:p>
      <w:r>
        <w:t>Consider this conceptual example:</w:t>
      </w:r>
    </w:p>
    <w:p>
      <w:pPr>
        <w:shd w:val="clear" w:color="auto" w:fill="F4F4F4"/>
        <w:spacing w:before="0" w:after="0" w:line="240" w:lineRule="auto"/>
        <w:ind w:left="216" w:right="216"/>
        <w:jc w:val="left"/>
      </w:pPr>
      <w:r>
        <w:rPr>
          <w:rFonts w:ascii="Consolas" w:hAnsi="Consolas"/>
          <w:color w:val="202020"/>
          <w:sz w:val="18"/>
        </w:rPr>
        <w:t>Source array:</w:t>
      </w:r>
    </w:p>
    <w:p>
      <w:pPr>
        <w:shd w:val="clear" w:color="auto" w:fill="F4F4F4"/>
        <w:spacing w:before="0" w:after="0" w:line="240" w:lineRule="auto"/>
        <w:ind w:left="216" w:right="216"/>
        <w:jc w:val="left"/>
      </w:pPr>
      <w:r>
        <w:rPr>
          <w:rFonts w:ascii="Consolas" w:hAnsi="Consolas"/>
          <w:color w:val="202020"/>
          <w:sz w:val="18"/>
        </w:rPr>
        <w:t>Recipe_Source[0..9]</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Destination array:</w:t>
      </w:r>
    </w:p>
    <w:p>
      <w:pPr>
        <w:shd w:val="clear" w:color="auto" w:fill="F4F4F4"/>
        <w:spacing w:before="0" w:after="0" w:line="240" w:lineRule="auto"/>
        <w:ind w:left="216" w:right="216"/>
        <w:jc w:val="left"/>
      </w:pPr>
      <w:r>
        <w:rPr>
          <w:rFonts w:ascii="Consolas" w:hAnsi="Consolas"/>
          <w:color w:val="202020"/>
          <w:sz w:val="18"/>
        </w:rPr>
        <w:t>Recipe_Active[0..9]</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Requested copy:</w:t>
      </w:r>
    </w:p>
    <w:p>
      <w:pPr>
        <w:shd w:val="clear" w:color="auto" w:fill="F4F4F4"/>
        <w:spacing w:before="0" w:after="0" w:line="240" w:lineRule="auto"/>
        <w:ind w:left="216" w:right="216"/>
        <w:jc w:val="left"/>
      </w:pPr>
      <w:r>
        <w:rPr>
          <w:rFonts w:ascii="Consolas" w:hAnsi="Consolas"/>
          <w:color w:val="202020"/>
          <w:sz w:val="18"/>
        </w:rPr>
        <w:t>10 elements</w:t>
      </w:r>
    </w:p>
    <w:p/>
    <w:p>
      <w:r>
        <w:t>The destination must have sufficient capacity for the requested copy.</w:t>
      </w:r>
    </w:p>
    <w:p>
      <w:r>
        <w:t>Common mistakes include:</w:t>
      </w:r>
    </w:p>
    <w:p>
      <w:pPr>
        <w:pStyle w:val="ListBullet"/>
      </w:pPr>
      <w:r>
        <w:t>Copying more elements than the destination can hold.</w:t>
      </w:r>
    </w:p>
    <w:p>
      <w:pPr>
        <w:pStyle w:val="ListBullet"/>
      </w:pPr>
      <w:r>
        <w:t>Using an incorrect length.</w:t>
      </w:r>
    </w:p>
    <w:p>
      <w:pPr>
        <w:pStyle w:val="ListBullet"/>
      </w:pPr>
      <w:r>
        <w:t>Assuming length always means bytes.</w:t>
      </w:r>
    </w:p>
    <w:p>
      <w:pPr>
        <w:pStyle w:val="ListBullet"/>
      </w:pPr>
      <w:r>
        <w:t>Copying between incompatible or differently laid-out data types.</w:t>
      </w:r>
    </w:p>
    <w:p>
      <w:pPr>
        <w:pStyle w:val="ListBullet"/>
      </w:pPr>
      <w:r>
        <w:t>Overlapping source and destination memory regions without checking the platform's rules.</w:t>
      </w:r>
    </w:p>
    <w:p>
      <w:r>
        <w:t>A wrong length can cause incorrect values to be transferred or produce controller-specific errors. Never guess this parameter.</w:t>
      </w:r>
    </w:p>
    <w:p>
      <w:pPr>
        <w:pStyle w:val="Heading3"/>
      </w:pPr>
      <w:r>
        <w:t>4.4 Copying a Recipe</w:t>
      </w:r>
    </w:p>
    <w:p>
      <w:r>
        <w:t>Imagine a robotic station with a recipe containing weld parameters:</w:t>
      </w:r>
    </w:p>
    <w:p>
      <w:pPr>
        <w:shd w:val="clear" w:color="auto" w:fill="F4F4F4"/>
        <w:spacing w:before="0" w:after="0" w:line="240" w:lineRule="auto"/>
        <w:ind w:left="216" w:right="216"/>
        <w:jc w:val="left"/>
      </w:pPr>
      <w:r>
        <w:rPr>
          <w:rFonts w:ascii="Consolas" w:hAnsi="Consolas"/>
          <w:color w:val="202020"/>
          <w:sz w:val="18"/>
        </w:rPr>
        <w:t>Recipe_Source:</w:t>
      </w:r>
    </w:p>
    <w:p>
      <w:pPr>
        <w:shd w:val="clear" w:color="auto" w:fill="F4F4F4"/>
        <w:spacing w:before="0" w:after="0" w:line="240" w:lineRule="auto"/>
        <w:ind w:left="216" w:right="216"/>
        <w:jc w:val="left"/>
      </w:pPr>
      <w:r>
        <w:rPr>
          <w:rFonts w:ascii="Consolas" w:hAnsi="Consolas"/>
          <w:color w:val="202020"/>
          <w:sz w:val="18"/>
        </w:rPr>
        <w:t xml:space="preserve">    Weld_Current</w:t>
      </w:r>
    </w:p>
    <w:p>
      <w:pPr>
        <w:shd w:val="clear" w:color="auto" w:fill="F4F4F4"/>
        <w:spacing w:before="0" w:after="0" w:line="240" w:lineRule="auto"/>
        <w:ind w:left="216" w:right="216"/>
        <w:jc w:val="left"/>
      </w:pPr>
      <w:r>
        <w:rPr>
          <w:rFonts w:ascii="Consolas" w:hAnsi="Consolas"/>
          <w:color w:val="202020"/>
          <w:sz w:val="18"/>
        </w:rPr>
        <w:t xml:space="preserve">    Weld_Time</w:t>
      </w:r>
    </w:p>
    <w:p>
      <w:pPr>
        <w:shd w:val="clear" w:color="auto" w:fill="F4F4F4"/>
        <w:spacing w:before="0" w:after="0" w:line="240" w:lineRule="auto"/>
        <w:ind w:left="216" w:right="216"/>
        <w:jc w:val="left"/>
      </w:pPr>
      <w:r>
        <w:rPr>
          <w:rFonts w:ascii="Consolas" w:hAnsi="Consolas"/>
          <w:color w:val="202020"/>
          <w:sz w:val="18"/>
        </w:rPr>
        <w:t xml:space="preserve">    Clamp_Delay</w:t>
      </w:r>
    </w:p>
    <w:p>
      <w:pPr>
        <w:shd w:val="clear" w:color="auto" w:fill="F4F4F4"/>
        <w:spacing w:before="0" w:after="0" w:line="240" w:lineRule="auto"/>
        <w:ind w:left="216" w:right="216"/>
        <w:jc w:val="left"/>
      </w:pPr>
      <w:r>
        <w:rPr>
          <w:rFonts w:ascii="Consolas" w:hAnsi="Consolas"/>
          <w:color w:val="202020"/>
          <w:sz w:val="18"/>
        </w:rPr>
        <w:t xml:space="preserve">    Robot_Program_ID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Active_Recipe:</w:t>
      </w:r>
    </w:p>
    <w:p>
      <w:pPr>
        <w:shd w:val="clear" w:color="auto" w:fill="F4F4F4"/>
        <w:spacing w:before="0" w:after="0" w:line="240" w:lineRule="auto"/>
        <w:ind w:left="216" w:right="216"/>
        <w:jc w:val="left"/>
      </w:pPr>
      <w:r>
        <w:rPr>
          <w:rFonts w:ascii="Consolas" w:hAnsi="Consolas"/>
          <w:color w:val="202020"/>
          <w:sz w:val="18"/>
        </w:rPr>
        <w:t xml:space="preserve">    Weld_Current</w:t>
      </w:r>
    </w:p>
    <w:p>
      <w:pPr>
        <w:shd w:val="clear" w:color="auto" w:fill="F4F4F4"/>
        <w:spacing w:before="0" w:after="0" w:line="240" w:lineRule="auto"/>
        <w:ind w:left="216" w:right="216"/>
        <w:jc w:val="left"/>
      </w:pPr>
      <w:r>
        <w:rPr>
          <w:rFonts w:ascii="Consolas" w:hAnsi="Consolas"/>
          <w:color w:val="202020"/>
          <w:sz w:val="18"/>
        </w:rPr>
        <w:t xml:space="preserve">    Weld_Time</w:t>
      </w:r>
    </w:p>
    <w:p>
      <w:pPr>
        <w:shd w:val="clear" w:color="auto" w:fill="F4F4F4"/>
        <w:spacing w:before="0" w:after="0" w:line="240" w:lineRule="auto"/>
        <w:ind w:left="216" w:right="216"/>
        <w:jc w:val="left"/>
      </w:pPr>
      <w:r>
        <w:rPr>
          <w:rFonts w:ascii="Consolas" w:hAnsi="Consolas"/>
          <w:color w:val="202020"/>
          <w:sz w:val="18"/>
        </w:rPr>
        <w:t xml:space="preserve">    Clamp_Delay</w:t>
      </w:r>
    </w:p>
    <w:p>
      <w:pPr>
        <w:shd w:val="clear" w:color="auto" w:fill="F4F4F4"/>
        <w:spacing w:before="0" w:after="0" w:line="240" w:lineRule="auto"/>
        <w:ind w:left="216" w:right="216"/>
        <w:jc w:val="left"/>
      </w:pPr>
      <w:r>
        <w:rPr>
          <w:rFonts w:ascii="Consolas" w:hAnsi="Consolas"/>
          <w:color w:val="202020"/>
          <w:sz w:val="18"/>
        </w:rPr>
        <w:t xml:space="preserve">    Robot_Program_ID</w:t>
      </w:r>
    </w:p>
    <w:p/>
    <w:p>
      <w:r>
        <w:t>When the operator selects a recipe, the PLC can validate the selected recipe and copy its parameters into an active buffer.</w:t>
      </w:r>
    </w:p>
    <w:p>
      <w:r>
        <w:t>A sensible sequence is:</w:t>
      </w:r>
    </w:p>
    <w:p>
      <w:pPr>
        <w:shd w:val="clear" w:color="auto" w:fill="F4F4F4"/>
        <w:spacing w:before="0" w:after="0" w:line="240" w:lineRule="auto"/>
        <w:ind w:left="216" w:right="216"/>
        <w:jc w:val="left"/>
      </w:pPr>
      <w:r>
        <w:rPr>
          <w:rFonts w:ascii="Consolas" w:hAnsi="Consolas"/>
          <w:color w:val="202020"/>
          <w:sz w:val="18"/>
        </w:rPr>
        <w:t>Recipe_Selected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Check_Recipe_ID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Validate_Parameters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Copy_To_Active_Buffer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Confirm_Recipe_Ready</w:t>
      </w:r>
    </w:p>
    <w:p/>
    <w:p>
      <w:r>
        <w:t>This avoids changing active machine parameters using an invalid or incomplete recipe.</w:t>
      </w:r>
    </w:p>
    <w:p>
      <w:pPr>
        <w:pStyle w:val="Heading3"/>
      </w:pPr>
      <w:r>
        <w:t>4.5 Other Block Operations</w:t>
      </w:r>
    </w:p>
    <w:p>
      <w:r>
        <w:t>Some platforms provide additional data-handling instructions.</w:t>
      </w:r>
    </w:p>
    <w:p>
      <w:pPr>
        <w:pStyle w:val="ListBullet"/>
      </w:pPr>
      <w:r>
        <w:t>BLKMOV: A block-move instruction name used in certain PLC environments. Its exact behavior is platform-specific.</w:t>
      </w:r>
    </w:p>
    <w:p>
      <w:pPr>
        <w:pStyle w:val="ListBullet"/>
      </w:pPr>
      <w:r>
        <w:t>FLL: On supported Rockwell Logix platforms, fills a specified number of destination elements with the same source value. It is not a normal copy of different source elements.</w:t>
      </w:r>
    </w:p>
    <w:p>
      <w:pPr>
        <w:pStyle w:val="ListBullet"/>
      </w:pPr>
      <w:r>
        <w:t>CPS: On supported Rockwell Logix platforms, performs a synchronous copy intended to help preserve data consistency when data may change asynchronously. Its availability and exact behavior depend on the controller and instruction reference.</w:t>
      </w:r>
    </w:p>
    <w:p>
      <w:r>
        <w:t>These instructions are not interchangeable. A block copy, a fill operation, and a synchronous copy solve different problems.</w:t>
      </w:r>
    </w:p>
    <w:p>
      <w:pPr>
        <w:pStyle w:val="Heading2"/>
      </w:pPr>
      <w:r>
        <w:t>5. Data Conversion</w:t>
      </w:r>
    </w:p>
    <w:p>
      <w:pPr>
        <w:pStyle w:val="Heading3"/>
      </w:pPr>
      <w:r>
        <w:t>5.1 What Conversion Means</w:t>
      </w:r>
    </w:p>
    <w:p>
      <w:r>
        <w:t>A conversion instruction changes how a value is represented or stored, such as converting an integer into a real number.</w:t>
      </w:r>
    </w:p>
    <w:p>
      <w:r>
        <w:t>Common PLC data types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General 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BOOL</w:t>
            </w:r>
          </w:p>
        </w:tc>
        <w:tc>
          <w:tcPr>
            <w:tcW w:type="dxa" w:w="3600"/>
          </w:tcPr>
          <w:p>
            <w:pPr>
              <w:spacing w:after="0" w:before="0" w:line="240" w:lineRule="auto"/>
              <w:jc w:val="left"/>
            </w:pPr>
            <w:r>
              <w:t>Boolean value</w:t>
            </w:r>
          </w:p>
        </w:tc>
        <w:tc>
          <w:tcPr>
            <w:tcW w:type="dxa" w:w="3600"/>
          </w:tcPr>
          <w:p>
            <w:pPr>
              <w:spacing w:after="0" w:before="0" w:line="240" w:lineRule="auto"/>
              <w:jc w:val="left"/>
            </w:pPr>
            <w:r>
              <w:rPr>
                <w:rFonts w:ascii="Consolas" w:hAnsi="Consolas"/>
                <w:color w:val="333333"/>
                <w:sz w:val="19"/>
                <w:shd w:val="clear" w:color="auto" w:fill="EFEFEF"/>
              </w:rPr>
              <w:t>TRUE</w:t>
            </w:r>
            <w:r>
              <w:t xml:space="preserve">, </w:t>
            </w:r>
            <w:r>
              <w:rPr>
                <w:rFonts w:ascii="Consolas" w:hAnsi="Consolas"/>
                <w:color w:val="333333"/>
                <w:sz w:val="19"/>
                <w:shd w:val="clear" w:color="auto" w:fill="EFEFEF"/>
              </w:rPr>
              <w:t>FALSE</w:t>
            </w:r>
          </w:p>
        </w:tc>
      </w:tr>
      <w:tr>
        <w:tc>
          <w:tcPr>
            <w:tcW w:type="dxa" w:w="3600"/>
          </w:tcPr>
          <w:p>
            <w:pPr>
              <w:spacing w:after="0" w:before="0" w:line="240" w:lineRule="auto"/>
              <w:jc w:val="left"/>
            </w:pPr>
            <w:r>
              <w:t>SINT</w:t>
            </w:r>
          </w:p>
        </w:tc>
        <w:tc>
          <w:tcPr>
            <w:tcW w:type="dxa" w:w="3600"/>
          </w:tcPr>
          <w:p>
            <w:pPr>
              <w:spacing w:after="0" w:before="0" w:line="240" w:lineRule="auto"/>
              <w:jc w:val="left"/>
            </w:pPr>
            <w:r>
              <w:t>Small signed integer</w:t>
            </w:r>
          </w:p>
        </w:tc>
        <w:tc>
          <w:tcPr>
            <w:tcW w:type="dxa" w:w="3600"/>
          </w:tcPr>
          <w:p>
            <w:pPr>
              <w:spacing w:after="0" w:before="0" w:line="240" w:lineRule="auto"/>
              <w:jc w:val="left"/>
            </w:pPr>
            <w:r>
              <w:rPr>
                <w:rFonts w:ascii="Consolas" w:hAnsi="Consolas"/>
                <w:color w:val="333333"/>
                <w:sz w:val="19"/>
                <w:shd w:val="clear" w:color="auto" w:fill="EFEFEF"/>
              </w:rPr>
              <w:t>-10</w:t>
            </w:r>
          </w:p>
        </w:tc>
      </w:tr>
      <w:tr>
        <w:tc>
          <w:tcPr>
            <w:tcW w:type="dxa" w:w="3600"/>
          </w:tcPr>
          <w:p>
            <w:pPr>
              <w:spacing w:after="0" w:before="0" w:line="240" w:lineRule="auto"/>
              <w:jc w:val="left"/>
            </w:pPr>
            <w:r>
              <w:t>INT</w:t>
            </w:r>
          </w:p>
        </w:tc>
        <w:tc>
          <w:tcPr>
            <w:tcW w:type="dxa" w:w="3600"/>
          </w:tcPr>
          <w:p>
            <w:pPr>
              <w:spacing w:after="0" w:before="0" w:line="240" w:lineRule="auto"/>
              <w:jc w:val="left"/>
            </w:pPr>
            <w:r>
              <w:t>Signed integer</w:t>
            </w:r>
          </w:p>
        </w:tc>
        <w:tc>
          <w:tcPr>
            <w:tcW w:type="dxa" w:w="3600"/>
          </w:tcPr>
          <w:p>
            <w:pPr>
              <w:spacing w:after="0" w:before="0" w:line="240" w:lineRule="auto"/>
              <w:jc w:val="left"/>
            </w:pPr>
            <w:r>
              <w:rPr>
                <w:rFonts w:ascii="Consolas" w:hAnsi="Consolas"/>
                <w:color w:val="333333"/>
                <w:sz w:val="19"/>
                <w:shd w:val="clear" w:color="auto" w:fill="EFEFEF"/>
              </w:rPr>
              <w:t>250</w:t>
            </w:r>
          </w:p>
        </w:tc>
      </w:tr>
      <w:tr>
        <w:tc>
          <w:tcPr>
            <w:tcW w:type="dxa" w:w="3600"/>
          </w:tcPr>
          <w:p>
            <w:pPr>
              <w:spacing w:after="0" w:before="0" w:line="240" w:lineRule="auto"/>
              <w:jc w:val="left"/>
            </w:pPr>
            <w:r>
              <w:t>DINT</w:t>
            </w:r>
          </w:p>
        </w:tc>
        <w:tc>
          <w:tcPr>
            <w:tcW w:type="dxa" w:w="3600"/>
          </w:tcPr>
          <w:p>
            <w:pPr>
              <w:spacing w:after="0" w:before="0" w:line="240" w:lineRule="auto"/>
              <w:jc w:val="left"/>
            </w:pPr>
            <w:r>
              <w:t>Wider signed integer</w:t>
            </w:r>
          </w:p>
        </w:tc>
        <w:tc>
          <w:tcPr>
            <w:tcW w:type="dxa" w:w="3600"/>
          </w:tcPr>
          <w:p>
            <w:pPr>
              <w:spacing w:after="0" w:before="0" w:line="240" w:lineRule="auto"/>
              <w:jc w:val="left"/>
            </w:pPr>
            <w:r>
              <w:rPr>
                <w:rFonts w:ascii="Consolas" w:hAnsi="Consolas"/>
                <w:color w:val="333333"/>
                <w:sz w:val="19"/>
                <w:shd w:val="clear" w:color="auto" w:fill="EFEFEF"/>
              </w:rPr>
              <w:t>100000</w:t>
            </w:r>
          </w:p>
        </w:tc>
      </w:tr>
      <w:tr>
        <w:tc>
          <w:tcPr>
            <w:tcW w:type="dxa" w:w="3600"/>
          </w:tcPr>
          <w:p>
            <w:pPr>
              <w:spacing w:after="0" w:before="0" w:line="240" w:lineRule="auto"/>
              <w:jc w:val="left"/>
            </w:pPr>
            <w:r>
              <w:t>UINT</w:t>
            </w:r>
          </w:p>
        </w:tc>
        <w:tc>
          <w:tcPr>
            <w:tcW w:type="dxa" w:w="3600"/>
          </w:tcPr>
          <w:p>
            <w:pPr>
              <w:spacing w:after="0" w:before="0" w:line="240" w:lineRule="auto"/>
              <w:jc w:val="left"/>
            </w:pPr>
            <w:r>
              <w:t>Unsigned integer</w:t>
            </w:r>
          </w:p>
        </w:tc>
        <w:tc>
          <w:tcPr>
            <w:tcW w:type="dxa" w:w="3600"/>
          </w:tcPr>
          <w:p>
            <w:pPr>
              <w:spacing w:after="0" w:before="0" w:line="240" w:lineRule="auto"/>
              <w:jc w:val="left"/>
            </w:pPr>
            <w:r>
              <w:rPr>
                <w:rFonts w:ascii="Consolas" w:hAnsi="Consolas"/>
                <w:color w:val="333333"/>
                <w:sz w:val="19"/>
                <w:shd w:val="clear" w:color="auto" w:fill="EFEFEF"/>
              </w:rPr>
              <w:t>250</w:t>
            </w:r>
          </w:p>
        </w:tc>
      </w:tr>
      <w:tr>
        <w:tc>
          <w:tcPr>
            <w:tcW w:type="dxa" w:w="3600"/>
          </w:tcPr>
          <w:p>
            <w:pPr>
              <w:spacing w:after="0" w:before="0" w:line="240" w:lineRule="auto"/>
              <w:jc w:val="left"/>
            </w:pPr>
            <w:r>
              <w:t>UDINT</w:t>
            </w:r>
          </w:p>
        </w:tc>
        <w:tc>
          <w:tcPr>
            <w:tcW w:type="dxa" w:w="3600"/>
          </w:tcPr>
          <w:p>
            <w:pPr>
              <w:spacing w:after="0" w:before="0" w:line="240" w:lineRule="auto"/>
              <w:jc w:val="left"/>
            </w:pPr>
            <w:r>
              <w:t>Wider unsigned integer</w:t>
            </w:r>
          </w:p>
        </w:tc>
        <w:tc>
          <w:tcPr>
            <w:tcW w:type="dxa" w:w="3600"/>
          </w:tcPr>
          <w:p>
            <w:pPr>
              <w:spacing w:after="0" w:before="0" w:line="240" w:lineRule="auto"/>
              <w:jc w:val="left"/>
            </w:pPr>
            <w:r>
              <w:rPr>
                <w:rFonts w:ascii="Consolas" w:hAnsi="Consolas"/>
                <w:color w:val="333333"/>
                <w:sz w:val="19"/>
                <w:shd w:val="clear" w:color="auto" w:fill="EFEFEF"/>
              </w:rPr>
              <w:t>100000</w:t>
            </w:r>
          </w:p>
        </w:tc>
      </w:tr>
      <w:tr>
        <w:tc>
          <w:tcPr>
            <w:tcW w:type="dxa" w:w="3600"/>
          </w:tcPr>
          <w:p>
            <w:pPr>
              <w:spacing w:after="0" w:before="0" w:line="240" w:lineRule="auto"/>
              <w:jc w:val="left"/>
            </w:pPr>
            <w:r>
              <w:t>REAL</w:t>
            </w:r>
          </w:p>
        </w:tc>
        <w:tc>
          <w:tcPr>
            <w:tcW w:type="dxa" w:w="3600"/>
          </w:tcPr>
          <w:p>
            <w:pPr>
              <w:spacing w:after="0" w:before="0" w:line="240" w:lineRule="auto"/>
              <w:jc w:val="left"/>
            </w:pPr>
            <w:r>
              <w:t>Floating-point number</w:t>
            </w:r>
          </w:p>
        </w:tc>
        <w:tc>
          <w:tcPr>
            <w:tcW w:type="dxa" w:w="3600"/>
          </w:tcPr>
          <w:p>
            <w:pPr>
              <w:spacing w:after="0" w:before="0" w:line="240" w:lineRule="auto"/>
              <w:jc w:val="left"/>
            </w:pPr>
            <w:r>
              <w:rPr>
                <w:rFonts w:ascii="Consolas" w:hAnsi="Consolas"/>
                <w:color w:val="333333"/>
                <w:sz w:val="19"/>
                <w:shd w:val="clear" w:color="auto" w:fill="EFEFEF"/>
              </w:rPr>
              <w:t>12.5</w:t>
            </w:r>
          </w:p>
        </w:tc>
      </w:tr>
      <w:tr>
        <w:tc>
          <w:tcPr>
            <w:tcW w:type="dxa" w:w="3600"/>
          </w:tcPr>
          <w:p>
            <w:pPr>
              <w:spacing w:after="0" w:before="0" w:line="240" w:lineRule="auto"/>
              <w:jc w:val="left"/>
            </w:pPr>
            <w:r>
              <w:t>LREAL</w:t>
            </w:r>
          </w:p>
        </w:tc>
        <w:tc>
          <w:tcPr>
            <w:tcW w:type="dxa" w:w="3600"/>
          </w:tcPr>
          <w:p>
            <w:pPr>
              <w:spacing w:after="0" w:before="0" w:line="240" w:lineRule="auto"/>
              <w:jc w:val="left"/>
            </w:pPr>
            <w:r>
              <w:t>Wider floating-point number on platforms that support it</w:t>
            </w:r>
          </w:p>
        </w:tc>
        <w:tc>
          <w:tcPr>
            <w:tcW w:type="dxa" w:w="3600"/>
          </w:tcPr>
          <w:p>
            <w:pPr>
              <w:spacing w:after="0" w:before="0" w:line="240" w:lineRule="auto"/>
              <w:jc w:val="left"/>
            </w:pPr>
            <w:r>
              <w:rPr>
                <w:rFonts w:ascii="Consolas" w:hAnsi="Consolas"/>
                <w:color w:val="333333"/>
                <w:sz w:val="19"/>
                <w:shd w:val="clear" w:color="auto" w:fill="EFEFEF"/>
              </w:rPr>
              <w:t>12.123456789</w:t>
            </w:r>
          </w:p>
        </w:tc>
      </w:tr>
    </w:tbl>
    <w:p/>
    <w:p>
      <w:r>
        <w:t>The supported types, bit widths, ranges, and instruction names depend on the PLC family.</w:t>
      </w:r>
    </w:p>
    <w:p>
      <w:r>
        <w:t>An integer normally stores whole-number values. A real type can represent fractional values, subject to floating-point precision limits.</w:t>
      </w:r>
    </w:p>
    <w:p>
      <w:pPr>
        <w:pStyle w:val="Heading3"/>
      </w:pPr>
      <w:r>
        <w:t>5.2 Common Conversion Operations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Conversion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INT to REAL</w:t>
            </w:r>
          </w:p>
        </w:tc>
        <w:tc>
          <w:tcPr>
            <w:tcW w:type="dxa" w:w="3600"/>
          </w:tcPr>
          <w:p>
            <w:pPr>
              <w:spacing w:after="0" w:before="0" w:line="240" w:lineRule="auto"/>
              <w:jc w:val="left"/>
            </w:pPr>
            <w:r>
              <w:t>Enable fractional calculations</w:t>
            </w:r>
          </w:p>
        </w:tc>
        <w:tc>
          <w:tcPr>
            <w:tcW w:type="dxa" w:w="3600"/>
          </w:tcPr>
          <w:p>
            <w:pPr>
              <w:spacing w:after="0" w:before="0" w:line="240" w:lineRule="auto"/>
              <w:jc w:val="left"/>
            </w:pPr>
            <w:r>
              <w:t>Large integers may not be represented exactly by the target floating-point type</w:t>
            </w:r>
          </w:p>
        </w:tc>
      </w:tr>
      <w:tr>
        <w:tc>
          <w:tcPr>
            <w:tcW w:type="dxa" w:w="3600"/>
          </w:tcPr>
          <w:p>
            <w:pPr>
              <w:spacing w:after="0" w:before="0" w:line="240" w:lineRule="auto"/>
              <w:jc w:val="left"/>
            </w:pPr>
            <w:r>
              <w:t>DINT to REAL</w:t>
            </w:r>
          </w:p>
        </w:tc>
        <w:tc>
          <w:tcPr>
            <w:tcW w:type="dxa" w:w="3600"/>
          </w:tcPr>
          <w:p>
            <w:pPr>
              <w:spacing w:after="0" w:before="0" w:line="240" w:lineRule="auto"/>
              <w:jc w:val="left"/>
            </w:pPr>
            <w:r>
              <w:t>Use a wider integer value in real calculations</w:t>
            </w:r>
          </w:p>
        </w:tc>
        <w:tc>
          <w:tcPr>
            <w:tcW w:type="dxa" w:w="3600"/>
          </w:tcPr>
          <w:p>
            <w:pPr>
              <w:spacing w:after="0" w:before="0" w:line="240" w:lineRule="auto"/>
              <w:jc w:val="left"/>
            </w:pPr>
            <w:r>
              <w:t>Floating-point precision is finite</w:t>
            </w:r>
          </w:p>
        </w:tc>
      </w:tr>
      <w:tr>
        <w:tc>
          <w:tcPr>
            <w:tcW w:type="dxa" w:w="3600"/>
          </w:tcPr>
          <w:p>
            <w:pPr>
              <w:spacing w:after="0" w:before="0" w:line="240" w:lineRule="auto"/>
              <w:jc w:val="left"/>
            </w:pPr>
            <w:r>
              <w:t>REAL to INT</w:t>
            </w:r>
          </w:p>
        </w:tc>
        <w:tc>
          <w:tcPr>
            <w:tcW w:type="dxa" w:w="3600"/>
          </w:tcPr>
          <w:p>
            <w:pPr>
              <w:spacing w:after="0" w:before="0" w:line="240" w:lineRule="auto"/>
              <w:jc w:val="left"/>
            </w:pPr>
            <w:r>
              <w:t>Convert a fractional value to an integer</w:t>
            </w:r>
          </w:p>
        </w:tc>
        <w:tc>
          <w:tcPr>
            <w:tcW w:type="dxa" w:w="3600"/>
          </w:tcPr>
          <w:p>
            <w:pPr>
              <w:spacing w:after="0" w:before="0" w:line="240" w:lineRule="auto"/>
              <w:jc w:val="left"/>
            </w:pPr>
            <w:r>
              <w:t>Rounding or truncation depends on the instruction</w:t>
            </w:r>
          </w:p>
        </w:tc>
      </w:tr>
      <w:tr>
        <w:tc>
          <w:tcPr>
            <w:tcW w:type="dxa" w:w="3600"/>
          </w:tcPr>
          <w:p>
            <w:pPr>
              <w:spacing w:after="0" w:before="0" w:line="240" w:lineRule="auto"/>
              <w:jc w:val="left"/>
            </w:pPr>
            <w:r>
              <w:t>REAL to DINT</w:t>
            </w:r>
          </w:p>
        </w:tc>
        <w:tc>
          <w:tcPr>
            <w:tcW w:type="dxa" w:w="3600"/>
          </w:tcPr>
          <w:p>
            <w:pPr>
              <w:spacing w:after="0" w:before="0" w:line="240" w:lineRule="auto"/>
              <w:jc w:val="left"/>
            </w:pPr>
            <w:r>
              <w:t>Convert a real value to a wider integer</w:t>
            </w:r>
          </w:p>
        </w:tc>
        <w:tc>
          <w:tcPr>
            <w:tcW w:type="dxa" w:w="3600"/>
          </w:tcPr>
          <w:p>
            <w:pPr>
              <w:spacing w:after="0" w:before="0" w:line="240" w:lineRule="auto"/>
              <w:jc w:val="left"/>
            </w:pPr>
            <w:r>
              <w:t>Check rounding and range behavior</w:t>
            </w:r>
          </w:p>
        </w:tc>
      </w:tr>
      <w:tr>
        <w:tc>
          <w:tcPr>
            <w:tcW w:type="dxa" w:w="3600"/>
          </w:tcPr>
          <w:p>
            <w:pPr>
              <w:spacing w:after="0" w:before="0" w:line="240" w:lineRule="auto"/>
              <w:jc w:val="left"/>
            </w:pPr>
            <w:r>
              <w:t>Signed to unsigned</w:t>
            </w:r>
          </w:p>
        </w:tc>
        <w:tc>
          <w:tcPr>
            <w:tcW w:type="dxa" w:w="3600"/>
          </w:tcPr>
          <w:p>
            <w:pPr>
              <w:spacing w:after="0" w:before="0" w:line="240" w:lineRule="auto"/>
              <w:jc w:val="left"/>
            </w:pPr>
            <w:r>
              <w:t>Change integer interpretation or representation</w:t>
            </w:r>
          </w:p>
        </w:tc>
        <w:tc>
          <w:tcPr>
            <w:tcW w:type="dxa" w:w="3600"/>
          </w:tcPr>
          <w:p>
            <w:pPr>
              <w:spacing w:after="0" w:before="0" w:line="240" w:lineRule="auto"/>
              <w:jc w:val="left"/>
            </w:pPr>
            <w:r>
              <w:t>Negative values require special attention</w:t>
            </w:r>
          </w:p>
        </w:tc>
      </w:tr>
      <w:tr>
        <w:tc>
          <w:tcPr>
            <w:tcW w:type="dxa" w:w="3600"/>
          </w:tcPr>
          <w:p>
            <w:pPr>
              <w:spacing w:after="0" w:before="0" w:line="240" w:lineRule="auto"/>
              <w:jc w:val="left"/>
            </w:pPr>
            <w:r>
              <w:t>Integer to Boolean</w:t>
            </w:r>
          </w:p>
        </w:tc>
        <w:tc>
          <w:tcPr>
            <w:tcW w:type="dxa" w:w="3600"/>
          </w:tcPr>
          <w:p>
            <w:pPr>
              <w:spacing w:after="0" w:before="0" w:line="240" w:lineRule="auto"/>
              <w:jc w:val="left"/>
            </w:pPr>
            <w:r>
              <w:t>Convert or interpret data as a logical state</w:t>
            </w:r>
          </w:p>
        </w:tc>
        <w:tc>
          <w:tcPr>
            <w:tcW w:type="dxa" w:w="3600"/>
          </w:tcPr>
          <w:p>
            <w:pPr>
              <w:spacing w:after="0" w:before="0" w:line="240" w:lineRule="auto"/>
              <w:jc w:val="left"/>
            </w:pPr>
            <w:r>
              <w:t>Exact behavior is platform-specific</w:t>
            </w:r>
          </w:p>
        </w:tc>
      </w:tr>
    </w:tbl>
    <w:p/>
    <w:p>
      <w:r>
        <w:t>Illustrative Structured Text syntax on platforms supporting these conversion functions:</w:t>
      </w:r>
    </w:p>
    <w:p>
      <w:pPr>
        <w:shd w:val="clear" w:color="auto" w:fill="F4F4F4"/>
        <w:spacing w:before="0" w:after="0" w:line="240" w:lineRule="auto"/>
        <w:ind w:left="216" w:right="216"/>
        <w:jc w:val="left"/>
      </w:pPr>
      <w:r>
        <w:rPr>
          <w:rFonts w:ascii="Consolas" w:hAnsi="Consolas"/>
          <w:color w:val="202020"/>
          <w:sz w:val="18"/>
        </w:rPr>
        <w:t>PressureReal := INT_TO_REAL(RawPressure);</w:t>
      </w:r>
    </w:p>
    <w:p/>
    <w:p>
      <w:r>
        <w:t>Another example:</w:t>
      </w:r>
    </w:p>
    <w:p>
      <w:pPr>
        <w:shd w:val="clear" w:color="auto" w:fill="F4F4F4"/>
        <w:spacing w:before="0" w:after="0" w:line="240" w:lineRule="auto"/>
        <w:ind w:left="216" w:right="216"/>
        <w:jc w:val="left"/>
      </w:pPr>
      <w:r>
        <w:rPr>
          <w:rFonts w:ascii="Consolas" w:hAnsi="Consolas"/>
          <w:color w:val="202020"/>
          <w:sz w:val="18"/>
        </w:rPr>
        <w:t>CountReal := DINT_TO_REAL(PartCount);</w:t>
      </w:r>
    </w:p>
    <w:p/>
    <w:p>
      <w:r>
        <w:t>These function names are examples, not universal PLC syntax. For example, Rockwell Logix often uses instruction-based conversions or type handling that differs from Siemens SCL or other IEC programming environments.</w:t>
      </w:r>
    </w:p>
    <w:p>
      <w:pPr>
        <w:pStyle w:val="Heading3"/>
      </w:pPr>
      <w:r>
        <w:t>5.3 Truncation and Rounding</w:t>
      </w:r>
    </w:p>
    <w:p>
      <w:r>
        <w:t>Suppose:</w:t>
      </w:r>
    </w:p>
    <w:p>
      <w:pPr>
        <w:shd w:val="clear" w:color="auto" w:fill="F4F4F4"/>
        <w:spacing w:before="0" w:after="0" w:line="240" w:lineRule="auto"/>
        <w:ind w:left="216" w:right="216"/>
        <w:jc w:val="left"/>
      </w:pPr>
      <w:r>
        <w:rPr>
          <w:rFonts w:ascii="Consolas" w:hAnsi="Consolas"/>
          <w:color w:val="202020"/>
          <w:sz w:val="18"/>
        </w:rPr>
        <w:t>ValueReal = 12.8</w:t>
      </w:r>
    </w:p>
    <w:p/>
    <w:p>
      <w:r>
        <w:t>Converting this value to an integer may produce a different result depending on the instruction.</w:t>
      </w:r>
    </w:p>
    <w:p>
      <w:pPr>
        <w:pStyle w:val="ListBullet"/>
      </w:pPr>
      <w:r>
        <w:t xml:space="preserve">Truncation discards the fractional part, producing </w:t>
      </w:r>
      <w:r>
        <w:rPr>
          <w:rFonts w:ascii="Consolas" w:hAnsi="Consolas"/>
          <w:color w:val="333333"/>
          <w:sz w:val="19"/>
          <w:shd w:val="clear" w:color="auto" w:fill="EFEFEF"/>
        </w:rPr>
        <w:t>12</w:t>
      </w:r>
      <w:r>
        <w:t xml:space="preserve"> for positive </w:t>
      </w:r>
      <w:r>
        <w:rPr>
          <w:rFonts w:ascii="Consolas" w:hAnsi="Consolas"/>
          <w:color w:val="333333"/>
          <w:sz w:val="19"/>
          <w:shd w:val="clear" w:color="auto" w:fill="EFEFEF"/>
        </w:rPr>
        <w:t>12.8</w:t>
      </w:r>
      <w:r>
        <w:t>.</w:t>
      </w:r>
    </w:p>
    <w:p>
      <w:pPr>
        <w:pStyle w:val="ListBullet"/>
      </w:pPr>
      <w:r>
        <w:t xml:space="preserve">Rounding selects an integer according to the instruction's rounding rules, commonly producing </w:t>
      </w:r>
      <w:r>
        <w:rPr>
          <w:rFonts w:ascii="Consolas" w:hAnsi="Consolas"/>
          <w:color w:val="333333"/>
          <w:sz w:val="19"/>
          <w:shd w:val="clear" w:color="auto" w:fill="EFEFEF"/>
        </w:rPr>
        <w:t>13</w:t>
      </w:r>
      <w:r>
        <w:t xml:space="preserve"> for </w:t>
      </w:r>
      <w:r>
        <w:rPr>
          <w:rFonts w:ascii="Consolas" w:hAnsi="Consolas"/>
          <w:color w:val="333333"/>
          <w:sz w:val="19"/>
          <w:shd w:val="clear" w:color="auto" w:fill="EFEFEF"/>
        </w:rPr>
        <w:t>12.8</w:t>
      </w:r>
      <w:r>
        <w:t>.</w:t>
      </w:r>
    </w:p>
    <w:p>
      <w:r>
        <w:t>Do not assume that every REAL-to-integer conversion rounds in the same way. Some instructions truncate, some round, and some provide separate operations.</w:t>
      </w:r>
    </w:p>
    <w:p>
      <w:r>
        <w:t>Test the exact instruction used by the target controller.</w:t>
      </w:r>
    </w:p>
    <w:p>
      <w:pPr>
        <w:pStyle w:val="Heading3"/>
      </w:pPr>
      <w:r>
        <w:t>5.4 Signed and Unsigned Conversion</w:t>
      </w:r>
    </w:p>
    <w:p>
      <w:r>
        <w:t>Signed integers can represent negative and positive values. Unsigned integers represent non-negative values within their supported range.</w:t>
      </w:r>
    </w:p>
    <w:p>
      <w:r>
        <w:t>For example:</w:t>
      </w:r>
    </w:p>
    <w:p>
      <w:pPr>
        <w:shd w:val="clear" w:color="auto" w:fill="F4F4F4"/>
        <w:spacing w:before="0" w:after="0" w:line="240" w:lineRule="auto"/>
        <w:ind w:left="216" w:right="216"/>
        <w:jc w:val="left"/>
      </w:pPr>
      <w:r>
        <w:rPr>
          <w:rFonts w:ascii="Consolas" w:hAnsi="Consolas"/>
          <w:color w:val="202020"/>
          <w:sz w:val="18"/>
        </w:rPr>
        <w:t>Signed value:   -10</w:t>
      </w:r>
    </w:p>
    <w:p>
      <w:pPr>
        <w:shd w:val="clear" w:color="auto" w:fill="F4F4F4"/>
        <w:spacing w:before="0" w:after="0" w:line="240" w:lineRule="auto"/>
        <w:ind w:left="216" w:right="216"/>
        <w:jc w:val="left"/>
      </w:pPr>
      <w:r>
        <w:rPr>
          <w:rFonts w:ascii="Consolas" w:hAnsi="Consolas"/>
          <w:color w:val="202020"/>
          <w:sz w:val="18"/>
        </w:rPr>
        <w:t>Unsigned type:  cannot represent -10 as a normal non-negative value</w:t>
      </w:r>
    </w:p>
    <w:p/>
    <w:p>
      <w:r>
        <w:t>A conversion may reject the value, report an error, or produce a platform-specific result. Never rely on an out-of-range conversion to behave safely.</w:t>
      </w:r>
    </w:p>
    <w:p>
      <w:r>
        <w:t>Also distinguish a numerical conversion from reinterpreting the same memory bits. These operations can produce very different results.</w:t>
      </w:r>
    </w:p>
    <w:p>
      <w:pPr>
        <w:pStyle w:val="Heading3"/>
      </w:pPr>
      <w:r>
        <w:t>5.5 Overflow and Precision</w:t>
      </w:r>
    </w:p>
    <w:p>
      <w:r>
        <w:t>Conversion can fail to preserve the original numerical value when the destination type has a smaller range or less precision.</w:t>
      </w:r>
    </w:p>
    <w:p>
      <w:r>
        <w:t>Examples:</w:t>
      </w:r>
    </w:p>
    <w:p>
      <w:pPr>
        <w:pStyle w:val="ListBullet"/>
      </w:pPr>
      <w:r>
        <w:t xml:space="preserve">Converting a large </w:t>
      </w:r>
      <w:r>
        <w:rPr>
          <w:rFonts w:ascii="Consolas" w:hAnsi="Consolas"/>
          <w:color w:val="333333"/>
          <w:sz w:val="19"/>
          <w:shd w:val="clear" w:color="auto" w:fill="EFEFEF"/>
        </w:rPr>
        <w:t>DINT</w:t>
      </w:r>
      <w:r>
        <w:t xml:space="preserve"> to a narrower integer can exceed the destination range.</w:t>
      </w:r>
    </w:p>
    <w:p>
      <w:pPr>
        <w:pStyle w:val="ListBullet"/>
      </w:pPr>
      <w:r>
        <w:t xml:space="preserve">Converting </w:t>
      </w:r>
      <w:r>
        <w:rPr>
          <w:rFonts w:ascii="Consolas" w:hAnsi="Consolas"/>
          <w:color w:val="333333"/>
          <w:sz w:val="19"/>
          <w:shd w:val="clear" w:color="auto" w:fill="EFEFEF"/>
        </w:rPr>
        <w:t>REAL</w:t>
      </w:r>
      <w:r>
        <w:t xml:space="preserve"> to an integer can discard fractional information.</w:t>
      </w:r>
    </w:p>
    <w:p>
      <w:pPr>
        <w:pStyle w:val="ListBullet"/>
      </w:pPr>
      <w:r>
        <w:t xml:space="preserve">Converting a large integer to </w:t>
      </w:r>
      <w:r>
        <w:rPr>
          <w:rFonts w:ascii="Consolas" w:hAnsi="Consolas"/>
          <w:color w:val="333333"/>
          <w:sz w:val="19"/>
          <w:shd w:val="clear" w:color="auto" w:fill="EFEFEF"/>
        </w:rPr>
        <w:t>REAL</w:t>
      </w:r>
      <w:r>
        <w:t xml:space="preserve"> can lose exact integer precision.</w:t>
      </w:r>
    </w:p>
    <w:p>
      <w:pPr>
        <w:pStyle w:val="ListBullet"/>
      </w:pPr>
      <w:r>
        <w:t>Converting a negative signed value to an unsigned type can produce unexpected results or an error.</w:t>
      </w:r>
    </w:p>
    <w:p>
      <w:r>
        <w:t>The exact outcome depends on the PLC, instruction, and data types.</w:t>
      </w:r>
    </w:p>
    <w:p>
      <w:r>
        <w:t>Best practice: validate the value against the destination's permitted range before converting it, especially for operator-entered values, recipe parameters, and data received over a network.</w:t>
      </w:r>
    </w:p>
    <w:p>
      <w:pPr>
        <w:pStyle w:val="Heading2"/>
      </w:pPr>
      <w:r>
        <w:t>6. Conversion Is Not Scaling</w:t>
      </w:r>
    </w:p>
    <w:p>
      <w:r>
        <w:t>This distinction is essential in analog processing.</w:t>
      </w:r>
    </w:p>
    <w:p>
      <w:r>
        <w:t>Conversion changes the data type or representation. Scaling changes the numerical range or meaning of a value.</w:t>
      </w:r>
    </w:p>
    <w:p>
      <w:r>
        <w:t xml:space="preserve">Suppose a pressure transmitter is connected to an analog input module. The PLC receives an illustrative raw value of </w:t>
      </w:r>
      <w:r>
        <w:rPr>
          <w:rFonts w:ascii="Consolas" w:hAnsi="Consolas"/>
          <w:color w:val="333333"/>
          <w:sz w:val="19"/>
          <w:shd w:val="clear" w:color="auto" w:fill="EFEFEF"/>
        </w:rPr>
        <w:t>13824</w:t>
      </w:r>
      <w:r>
        <w:t xml:space="preserve">, where the configured raw range is </w:t>
      </w:r>
      <w:r>
        <w:rPr>
          <w:rFonts w:ascii="Consolas" w:hAnsi="Consolas"/>
          <w:color w:val="333333"/>
          <w:sz w:val="19"/>
          <w:shd w:val="clear" w:color="auto" w:fill="EFEFEF"/>
        </w:rPr>
        <w:t>0</w:t>
      </w:r>
      <w:r>
        <w:t xml:space="preserve"> to </w:t>
      </w:r>
      <w:r>
        <w:rPr>
          <w:rFonts w:ascii="Consolas" w:hAnsi="Consolas"/>
          <w:color w:val="333333"/>
          <w:sz w:val="19"/>
          <w:shd w:val="clear" w:color="auto" w:fill="EFEFEF"/>
        </w:rPr>
        <w:t>27648</w:t>
      </w:r>
      <w:r>
        <w:t xml:space="preserve"> for a pressure range of </w:t>
      </w:r>
      <w:r>
        <w:rPr>
          <w:rFonts w:ascii="Consolas" w:hAnsi="Consolas"/>
          <w:color w:val="333333"/>
          <w:sz w:val="19"/>
          <w:shd w:val="clear" w:color="auto" w:fill="EFEFEF"/>
        </w:rPr>
        <w:t>0</w:t>
      </w:r>
      <w:r>
        <w:t xml:space="preserve"> to </w:t>
      </w:r>
      <w:r>
        <w:rPr>
          <w:rFonts w:ascii="Consolas" w:hAnsi="Consolas"/>
          <w:color w:val="333333"/>
          <w:sz w:val="19"/>
          <w:shd w:val="clear" w:color="auto" w:fill="EFEFEF"/>
        </w:rPr>
        <w:t>10 bar</w:t>
      </w:r>
      <w:r>
        <w:t>.</w:t>
      </w:r>
    </w:p>
    <w:p>
      <w:pPr>
        <w:pStyle w:val="Heading3"/>
      </w:pPr>
      <w:r>
        <w:t>Step 1: Convert the raw integer</w:t>
      </w:r>
    </w:p>
    <w:p>
      <w:pPr>
        <w:shd w:val="clear" w:color="auto" w:fill="F4F4F4"/>
        <w:spacing w:before="0" w:after="0" w:line="240" w:lineRule="auto"/>
        <w:ind w:left="216" w:right="216"/>
        <w:jc w:val="left"/>
      </w:pPr>
      <w:r>
        <w:rPr>
          <w:rFonts w:ascii="Consolas" w:hAnsi="Consolas"/>
          <w:color w:val="202020"/>
          <w:sz w:val="18"/>
        </w:rPr>
        <w:t>RawPressure : INT = 13824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RawPressureReal := INT_TO_REAL(RawPressure);</w:t>
      </w:r>
    </w:p>
    <w:p/>
    <w:p>
      <w:r>
        <w:t>The result is:</w:t>
      </w:r>
    </w:p>
    <w:p>
      <w:pPr>
        <w:shd w:val="clear" w:color="auto" w:fill="F4F4F4"/>
        <w:spacing w:before="0" w:after="0" w:line="240" w:lineRule="auto"/>
        <w:ind w:left="216" w:right="216"/>
        <w:jc w:val="left"/>
      </w:pPr>
      <w:r>
        <w:rPr>
          <w:rFonts w:ascii="Consolas" w:hAnsi="Consolas"/>
          <w:color w:val="202020"/>
          <w:sz w:val="18"/>
        </w:rPr>
        <w:t>RawPressureReal = 13824.0</w:t>
      </w:r>
    </w:p>
    <w:p/>
    <w:p>
      <w:r>
        <w:t xml:space="preserve">Only the data type has changed. The pressure is not yet </w:t>
      </w:r>
      <w:r>
        <w:rPr>
          <w:rFonts w:ascii="Consolas" w:hAnsi="Consolas"/>
          <w:color w:val="333333"/>
          <w:sz w:val="19"/>
          <w:shd w:val="clear" w:color="auto" w:fill="EFEFEF"/>
        </w:rPr>
        <w:t>5 bar</w:t>
      </w:r>
      <w:r>
        <w:t>.</w:t>
      </w:r>
    </w:p>
    <w:p>
      <w:pPr>
        <w:pStyle w:val="Heading3"/>
      </w:pPr>
      <w:r>
        <w:t>Step 2: Scale into engineering units</w:t>
      </w:r>
    </w:p>
    <w:p>
      <w:r>
        <w:t>The general linear scaling equation is:</w:t>
      </w:r>
    </w:p>
    <w:p>
      <w:pPr>
        <w:spacing w:before="120" w:after="160"/>
        <w:jc w:val="center"/>
      </w:pPr>
      <m:oMathPara>
        <m:oMath>
          <m:r>
            <m:t>EU=</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)+E</m:t>
          </m:r>
          <m:sSub>
            <m:e>
              <m:r>
                <m:t>U</m:t>
              </m:r>
            </m:e>
            <m:sub>
              <m:r>
                <m:t>min</m:t>
              </m:r>
            </m:sub>
          </m:sSub>
        </m:oMath>
      </m:oMathPara>
    </w:p>
    <w:p>
      <w:r>
        <w:t>For the illustrative ranges above:</w:t>
      </w:r>
    </w:p>
    <w:p>
      <w:pPr>
        <w:spacing w:before="120" w:after="160"/>
        <w:jc w:val="center"/>
      </w:pPr>
      <m:oMathPara>
        <m:oMath>
          <m:r>
            <m:t>PressureBar=</m:t>
          </m:r>
          <m:f>
            <m:fPr>
              <m:type m:val="bar"/>
            </m:fPr>
            <m:num>
              <m:r>
                <m:t>13824−0</m:t>
              </m:r>
            </m:num>
            <m:den>
              <m:r>
                <m:t>27648−0</m:t>
              </m:r>
            </m:den>
          </m:f>
          <m:r>
            <m:t>×10</m:t>
          </m:r>
        </m:oMath>
      </m:oMathPara>
    </w:p>
    <w:p>
      <w:pPr>
        <w:spacing w:before="120" w:after="160"/>
        <w:jc w:val="center"/>
      </w:pPr>
      <m:oMathPara>
        <m:oMath>
          <m:r>
            <m:t>PressureBar=5.0</m:t>
          </m:r>
        </m:oMath>
      </m:oMathPara>
    </w:p>
    <w:p>
      <w:r>
        <w:t>Illustrative Structured Text:</w:t>
      </w:r>
    </w:p>
    <w:p>
      <w:pPr>
        <w:shd w:val="clear" w:color="auto" w:fill="F4F4F4"/>
        <w:spacing w:before="0" w:after="0" w:line="240" w:lineRule="auto"/>
        <w:ind w:left="216" w:right="216"/>
        <w:jc w:val="left"/>
      </w:pPr>
      <w:r>
        <w:rPr>
          <w:rFonts w:ascii="Consolas" w:hAnsi="Consolas"/>
          <w:color w:val="202020"/>
          <w:sz w:val="18"/>
        </w:rPr>
        <w:t>RawPressureReal := INT_TO_REAL(RawPressure);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PressureBar :=</w:t>
      </w:r>
    </w:p>
    <w:p>
      <w:pPr>
        <w:shd w:val="clear" w:color="auto" w:fill="F4F4F4"/>
        <w:spacing w:before="0" w:after="0" w:line="240" w:lineRule="auto"/>
        <w:ind w:left="216" w:right="216"/>
        <w:jc w:val="left"/>
      </w:pPr>
      <w:r>
        <w:rPr>
          <w:rFonts w:ascii="Consolas" w:hAnsi="Consolas"/>
          <w:color w:val="202020"/>
          <w:sz w:val="18"/>
        </w:rPr>
        <w:t xml:space="preserve">    (RawPressureReal / 27648.0) * 10.0;</w:t>
      </w:r>
    </w:p>
    <w:p/>
    <w:p>
      <w:r>
        <w:t>The syntax of the conversion function may differ by platform, but the mathematical principle remains the same.</w:t>
      </w:r>
    </w:p>
    <w:p>
      <w:pPr>
        <w:pStyle w:val="Heading3"/>
      </w:pPr>
      <w:r>
        <w:t>Why convert before dividing?</w:t>
      </w:r>
    </w:p>
    <w:p>
      <w:r>
        <w:t>If the calculation uses integer operands, integer division may discard the fractional part.</w:t>
      </w:r>
    </w:p>
    <w:p>
      <w:r>
        <w:t>For example:</w:t>
      </w:r>
    </w:p>
    <w:p>
      <w:pPr>
        <w:shd w:val="clear" w:color="auto" w:fill="F4F4F4"/>
        <w:spacing w:before="0" w:after="0" w:line="240" w:lineRule="auto"/>
        <w:ind w:left="216" w:right="216"/>
        <w:jc w:val="left"/>
      </w:pPr>
      <w:r>
        <w:rPr>
          <w:rFonts w:ascii="Consolas" w:hAnsi="Consolas"/>
          <w:color w:val="202020"/>
          <w:sz w:val="18"/>
        </w:rPr>
        <w:t>13824 / 27648</w:t>
      </w:r>
    </w:p>
    <w:p/>
    <w:p>
      <w:r>
        <w:t xml:space="preserve">In an integer-arithmetic context, this may evaluate to </w:t>
      </w:r>
      <w:r>
        <w:rPr>
          <w:rFonts w:ascii="Consolas" w:hAnsi="Consolas"/>
          <w:color w:val="333333"/>
          <w:sz w:val="19"/>
          <w:shd w:val="clear" w:color="auto" w:fill="EFEFEF"/>
        </w:rPr>
        <w:t>0</w:t>
      </w:r>
      <w:r>
        <w:t xml:space="preserve">, depending on the language and operand types. Multiplying that result by </w:t>
      </w:r>
      <w:r>
        <w:rPr>
          <w:rFonts w:ascii="Consolas" w:hAnsi="Consolas"/>
          <w:color w:val="333333"/>
          <w:sz w:val="19"/>
          <w:shd w:val="clear" w:color="auto" w:fill="EFEFEF"/>
        </w:rPr>
        <w:t>10</w:t>
      </w:r>
      <w:r>
        <w:t xml:space="preserve"> would give an incorrect pressure value.</w:t>
      </w:r>
    </w:p>
    <w:p>
      <w:r>
        <w:t>By converting to a floating-point type and using floating-point constants, the calculation can preserve the fractional ratio.</w:t>
      </w:r>
    </w:p>
    <w:p>
      <w:pPr>
        <w:pStyle w:val="Heading3"/>
      </w:pPr>
      <w:r>
        <w:t>Engineering precautions</w:t>
      </w:r>
    </w:p>
    <w:p>
      <w:pPr>
        <w:pStyle w:val="ListBullet"/>
      </w:pPr>
      <w:r>
        <w:t>Confirm the analog module's actual raw range and configuration.</w:t>
      </w:r>
    </w:p>
    <w:p>
      <w:pPr>
        <w:pStyle w:val="ListBullet"/>
      </w:pPr>
      <w:r>
        <w:t>Check for under-range, over-range, wire-break, and module-fault conditions where supported.</w:t>
      </w:r>
    </w:p>
    <w:p>
      <w:pPr>
        <w:pStyle w:val="ListBullet"/>
      </w:pPr>
      <w:r>
        <w:t>Validate the raw value before using it.</w:t>
      </w:r>
    </w:p>
    <w:p>
      <w:pPr>
        <w:pStyle w:val="ListBullet"/>
      </w:pPr>
      <w:r>
        <w:t>Use suitable numerical precision.</w:t>
      </w:r>
    </w:p>
    <w:p>
      <w:pPr>
        <w:pStyle w:val="ListBullet"/>
      </w:pPr>
      <w:r>
        <w:t>Decide deliberately whether an out-of-range value should be rejected, alarmed, or clamped.</w:t>
      </w:r>
    </w:p>
    <w:p>
      <w:pPr>
        <w:pStyle w:val="ListBullet"/>
      </w:pPr>
      <w:r>
        <w:t>Do not automatically clamp diagnostic data if doing so would hide a sensor or wiring fault.</w:t>
      </w:r>
    </w:p>
    <w:p>
      <w:r>
        <w:t>The example range is illustrative. Actual module values vary by hardware, configuration, and signal type.</w:t>
      </w:r>
    </w:p>
    <w:p>
      <w:pPr>
        <w:pStyle w:val="Heading2"/>
      </w:pPr>
      <w:r>
        <w:t>7. Data Movement in Different PLC Programming Environments</w:t>
      </w:r>
    </w:p>
    <w:p>
      <w:pPr>
        <w:pStyle w:val="Heading3"/>
      </w:pPr>
      <w:r>
        <w:t>7.1 Ladder Logic</w:t>
      </w:r>
    </w:p>
    <w:p>
      <w:r>
        <w:t>In ladder logic, a movement or conversion instruction typically executes when its enabling logic is satisfied.</w:t>
      </w:r>
    </w:p>
    <w:p>
      <w:r>
        <w:t>Conceptually:</w:t>
      </w:r>
    </w:p>
    <w:p>
      <w:pPr>
        <w:shd w:val="clear" w:color="auto" w:fill="F4F4F4"/>
        <w:spacing w:before="0" w:after="0" w:line="240" w:lineRule="auto"/>
        <w:ind w:left="216" w:right="216"/>
        <w:jc w:val="left"/>
      </w:pPr>
      <w:r>
        <w:rPr>
          <w:rFonts w:ascii="Consolas" w:hAnsi="Consolas"/>
          <w:color w:val="202020"/>
          <w:sz w:val="18"/>
        </w:rPr>
        <w:t>|----[ Recipe_Valid ]----[ MOV HMI_Setpoint Active_Setpoint ]----|</w:t>
      </w:r>
    </w:p>
    <w:p/>
    <w:p>
      <w:r>
        <w:t>If the rung is true, the instruction executes according to the platform's semantics.</w:t>
      </w:r>
    </w:p>
    <w:p>
      <w:r>
        <w:t xml:space="preserve">A continuously true rung may execute repeatedly. If another part of the program writes a different value to </w:t>
      </w:r>
      <w:r>
        <w:rPr>
          <w:rFonts w:ascii="Consolas" w:hAnsi="Consolas"/>
          <w:color w:val="333333"/>
          <w:sz w:val="19"/>
          <w:shd w:val="clear" w:color="auto" w:fill="EFEFEF"/>
        </w:rPr>
        <w:t>Active_Setpoint</w:t>
      </w:r>
      <w:r>
        <w:t>, the final value may depend on execution order and which instruction writes last.</w:t>
      </w:r>
    </w:p>
    <w:p>
      <w:pPr>
        <w:pStyle w:val="Heading3"/>
      </w:pPr>
      <w:r>
        <w:t>7.2 Structured Text</w:t>
      </w:r>
    </w:p>
    <w:p>
      <w:r>
        <w:t>In IEC-style Structured Text, simple assignment is often sufficient:</w:t>
      </w:r>
    </w:p>
    <w:p>
      <w:pPr>
        <w:shd w:val="clear" w:color="auto" w:fill="F4F4F4"/>
        <w:spacing w:before="0" w:after="0" w:line="240" w:lineRule="auto"/>
        <w:ind w:left="216" w:right="216"/>
        <w:jc w:val="left"/>
      </w:pPr>
      <w:r>
        <w:rPr>
          <w:rFonts w:ascii="Consolas" w:hAnsi="Consolas"/>
          <w:color w:val="202020"/>
          <w:sz w:val="18"/>
        </w:rPr>
        <w:t>BatchCount := PartCount;</w:t>
      </w:r>
    </w:p>
    <w:p/>
    <w:p>
      <w:r>
        <w:t>An explicit conversion may look like:</w:t>
      </w:r>
    </w:p>
    <w:p>
      <w:pPr>
        <w:shd w:val="clear" w:color="auto" w:fill="F4F4F4"/>
        <w:spacing w:before="0" w:after="0" w:line="240" w:lineRule="auto"/>
        <w:ind w:left="216" w:right="216"/>
        <w:jc w:val="left"/>
      </w:pPr>
      <w:r>
        <w:rPr>
          <w:rFonts w:ascii="Consolas" w:hAnsi="Consolas"/>
          <w:color w:val="202020"/>
          <w:sz w:val="18"/>
        </w:rPr>
        <w:t>PressureReal := INT_TO_REAL(RawPressure);</w:t>
      </w:r>
    </w:p>
    <w:p/>
    <w:p>
      <w:r>
        <w:t>A scaling calculation can then use the converted value.</w:t>
      </w:r>
    </w:p>
    <w:p>
      <w:r>
        <w:t>Unlike a conditionally enabled ladder instruction, a Structured Text assignment runs whenever execution reaches that statement. If it is inside a continuously executing task, it may execute every scan or task cycle.</w:t>
      </w:r>
    </w:p>
    <w:p>
      <w:pPr>
        <w:pStyle w:val="Heading3"/>
      </w:pPr>
      <w:r>
        <w:t>7.3 Vendor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Platform or environment</w:t>
            </w:r>
          </w:p>
        </w:tc>
        <w:tc>
          <w:tcPr>
            <w:tcW w:type="dxa" w:w="3600"/>
            <w:shd w:val="clear" w:color="auto" w:fill="EEF2F7"/>
          </w:tcPr>
          <w:p>
            <w:pPr>
              <w:spacing w:after="0" w:before="0" w:line="240" w:lineRule="auto"/>
              <w:jc w:val="left"/>
            </w:pPr>
            <w:r>
              <w:rPr>
                <w:b/>
                <w:color w:val="1A2E4A"/>
              </w:rPr>
              <w:t>Typical concepts</w:t>
            </w:r>
          </w:p>
        </w:tc>
        <w:tc>
          <w:tcPr>
            <w:tcW w:type="dxa" w:w="3600"/>
            <w:shd w:val="clear" w:color="auto" w:fill="EEF2F7"/>
          </w:tcPr>
          <w:p>
            <w:pPr>
              <w:spacing w:after="0" w:before="0" w:line="240" w:lineRule="auto"/>
              <w:jc w:val="left"/>
            </w:pPr>
            <w:r>
              <w:rPr>
                <w:b/>
                <w:color w:val="1A2E4A"/>
              </w:rPr>
              <w:t>Important note</w:t>
            </w:r>
          </w:p>
        </w:tc>
      </w:tr>
      <w:tr>
        <w:tc>
          <w:tcPr>
            <w:tcW w:type="dxa" w:w="3600"/>
          </w:tcPr>
          <w:p>
            <w:pPr>
              <w:spacing w:after="0" w:before="0" w:line="240" w:lineRule="auto"/>
              <w:jc w:val="left"/>
            </w:pPr>
            <w:r>
              <w:t>Rockwell Logix</w:t>
            </w:r>
          </w:p>
        </w:tc>
        <w:tc>
          <w:tcPr>
            <w:tcW w:type="dxa" w:w="3600"/>
          </w:tcPr>
          <w:p>
            <w:pPr>
              <w:spacing w:after="0" w:before="0" w:line="240" w:lineRule="auto"/>
              <w:jc w:val="left"/>
            </w:pPr>
            <w:r>
              <w:rPr>
                <w:rFonts w:ascii="Consolas" w:hAnsi="Consolas"/>
                <w:color w:val="333333"/>
                <w:sz w:val="19"/>
                <w:shd w:val="clear" w:color="auto" w:fill="EFEFEF"/>
              </w:rPr>
              <w:t>MOV</w:t>
            </w:r>
            <w:r>
              <w:t xml:space="preserve">, </w:t>
            </w:r>
            <w:r>
              <w:rPr>
                <w:rFonts w:ascii="Consolas" w:hAnsi="Consolas"/>
                <w:color w:val="333333"/>
                <w:sz w:val="19"/>
                <w:shd w:val="clear" w:color="auto" w:fill="EFEFEF"/>
              </w:rPr>
              <w:t>COP</w:t>
            </w:r>
            <w:r>
              <w:t xml:space="preserve">, </w:t>
            </w:r>
            <w:r>
              <w:rPr>
                <w:rFonts w:ascii="Consolas" w:hAnsi="Consolas"/>
                <w:color w:val="333333"/>
                <w:sz w:val="19"/>
                <w:shd w:val="clear" w:color="auto" w:fill="EFEFEF"/>
              </w:rPr>
              <w:t>CPS</w:t>
            </w:r>
            <w:r>
              <w:t xml:space="preserve">, </w:t>
            </w:r>
            <w:r>
              <w:rPr>
                <w:rFonts w:ascii="Consolas" w:hAnsi="Consolas"/>
                <w:color w:val="333333"/>
                <w:sz w:val="19"/>
                <w:shd w:val="clear" w:color="auto" w:fill="EFEFEF"/>
              </w:rPr>
              <w:t>FLL</w:t>
            </w:r>
            <w:r>
              <w:t xml:space="preserve">, conversion instructions, </w:t>
            </w:r>
            <w:r>
              <w:rPr>
                <w:rFonts w:ascii="Consolas" w:hAnsi="Consolas"/>
                <w:color w:val="333333"/>
                <w:sz w:val="19"/>
                <w:shd w:val="clear" w:color="auto" w:fill="EFEFEF"/>
              </w:rPr>
              <w:t>CPT</w:t>
            </w:r>
          </w:p>
        </w:tc>
        <w:tc>
          <w:tcPr>
            <w:tcW w:type="dxa" w:w="3600"/>
          </w:tcPr>
          <w:p>
            <w:pPr>
              <w:spacing w:after="0" w:before="0" w:line="240" w:lineRule="auto"/>
              <w:jc w:val="left"/>
            </w:pPr>
            <w:r>
              <w:t>Verify instruction availability and exact operand/length rules for the controller</w:t>
            </w:r>
          </w:p>
        </w:tc>
      </w:tr>
      <w:tr>
        <w:tc>
          <w:tcPr>
            <w:tcW w:type="dxa" w:w="3600"/>
          </w:tcPr>
          <w:p>
            <w:pPr>
              <w:spacing w:after="0" w:before="0" w:line="240" w:lineRule="auto"/>
              <w:jc w:val="left"/>
            </w:pPr>
            <w:r>
              <w:t>Siemens S7 / TIA Portal</w:t>
            </w:r>
          </w:p>
        </w:tc>
        <w:tc>
          <w:tcPr>
            <w:tcW w:type="dxa" w:w="3600"/>
          </w:tcPr>
          <w:p>
            <w:pPr>
              <w:spacing w:after="0" w:before="0" w:line="240" w:lineRule="auto"/>
              <w:jc w:val="left"/>
            </w:pPr>
            <w:r>
              <w:rPr>
                <w:rFonts w:ascii="Consolas" w:hAnsi="Consolas"/>
                <w:color w:val="333333"/>
                <w:sz w:val="19"/>
                <w:shd w:val="clear" w:color="auto" w:fill="EFEFEF"/>
              </w:rPr>
              <w:t>MOVE</w:t>
            </w:r>
            <w:r>
              <w:t>, SCL assignment, conversion functions, block/array operations</w:t>
            </w:r>
          </w:p>
        </w:tc>
        <w:tc>
          <w:tcPr>
            <w:tcW w:type="dxa" w:w="3600"/>
          </w:tcPr>
          <w:p>
            <w:pPr>
              <w:spacing w:after="0" w:before="0" w:line="240" w:lineRule="auto"/>
              <w:jc w:val="left"/>
            </w:pPr>
            <w:r>
              <w:t>Exact syntax and supported instructions depend on CPU and programming environment</w:t>
            </w:r>
          </w:p>
        </w:tc>
      </w:tr>
      <w:tr>
        <w:tc>
          <w:tcPr>
            <w:tcW w:type="dxa" w:w="3600"/>
          </w:tcPr>
          <w:p>
            <w:pPr>
              <w:spacing w:after="0" w:before="0" w:line="240" w:lineRule="auto"/>
              <w:jc w:val="left"/>
            </w:pPr>
            <w:r>
              <w:t>Mitsubishi PLCs</w:t>
            </w:r>
          </w:p>
        </w:tc>
        <w:tc>
          <w:tcPr>
            <w:tcW w:type="dxa" w:w="3600"/>
          </w:tcPr>
          <w:p>
            <w:pPr>
              <w:spacing w:after="0" w:before="0" w:line="240" w:lineRule="auto"/>
              <w:jc w:val="left"/>
            </w:pPr>
            <w:r>
              <w:t>Data transfer and conversion instructions, device/register operations</w:t>
            </w:r>
          </w:p>
        </w:tc>
        <w:tc>
          <w:tcPr>
            <w:tcW w:type="dxa" w:w="3600"/>
          </w:tcPr>
          <w:p>
            <w:pPr>
              <w:spacing w:after="0" w:before="0" w:line="240" w:lineRule="auto"/>
              <w:jc w:val="left"/>
            </w:pPr>
            <w:r>
              <w:t>Mnemonics and operand rules vary by CPU family and software</w:t>
            </w:r>
          </w:p>
        </w:tc>
      </w:tr>
      <w:tr>
        <w:tc>
          <w:tcPr>
            <w:tcW w:type="dxa" w:w="3600"/>
          </w:tcPr>
          <w:p>
            <w:pPr>
              <w:spacing w:after="0" w:before="0" w:line="240" w:lineRule="auto"/>
              <w:jc w:val="left"/>
            </w:pPr>
            <w:r>
              <w:t>IEC Structured Text</w:t>
            </w:r>
          </w:p>
        </w:tc>
        <w:tc>
          <w:tcPr>
            <w:tcW w:type="dxa" w:w="3600"/>
          </w:tcPr>
          <w:p>
            <w:pPr>
              <w:spacing w:after="0" w:before="0" w:line="240" w:lineRule="auto"/>
              <w:jc w:val="left"/>
            </w:pPr>
            <w:r>
              <w:t xml:space="preserve">Assignment using </w:t>
            </w:r>
            <w:r>
              <w:rPr>
                <w:rFonts w:ascii="Consolas" w:hAnsi="Consolas"/>
                <w:color w:val="333333"/>
                <w:sz w:val="19"/>
                <w:shd w:val="clear" w:color="auto" w:fill="EFEFEF"/>
              </w:rPr>
              <w:t>:=</w:t>
            </w:r>
            <w:r>
              <w:t>, typed conversion functions</w:t>
            </w:r>
          </w:p>
        </w:tc>
        <w:tc>
          <w:tcPr>
            <w:tcW w:type="dxa" w:w="3600"/>
          </w:tcPr>
          <w:p>
            <w:pPr>
              <w:spacing w:after="0" w:before="0" w:line="240" w:lineRule="auto"/>
              <w:jc w:val="left"/>
            </w:pPr>
            <w:r>
              <w:t>Function names and implicit conversion rules vary by implementation</w:t>
            </w:r>
          </w:p>
        </w:tc>
      </w:tr>
    </w:tbl>
    <w:p/>
    <w:p>
      <w:r>
        <w:t>Do not assume that identical-looking instruction names have identical behavior across vendors.</w:t>
      </w:r>
    </w:p>
    <w:p>
      <w:pPr>
        <w:pStyle w:val="Heading2"/>
      </w:pPr>
      <w:r>
        <w:t>8. Data Consistency and Synchronous Copying</w:t>
      </w:r>
    </w:p>
    <w:p>
      <w:r>
        <w:t>A copy operation can transfer data while another task, controller, or communication process is updating the source.</w:t>
      </w:r>
    </w:p>
    <w:p>
      <w:r>
        <w:t>Imagine a structure containing:</w:t>
      </w:r>
    </w:p>
    <w:p>
      <w:pPr>
        <w:shd w:val="clear" w:color="auto" w:fill="F4F4F4"/>
        <w:spacing w:before="0" w:after="0" w:line="240" w:lineRule="auto"/>
        <w:ind w:left="216" w:right="216"/>
        <w:jc w:val="left"/>
      </w:pPr>
      <w:r>
        <w:rPr>
          <w:rFonts w:ascii="Consolas" w:hAnsi="Consolas"/>
          <w:color w:val="202020"/>
          <w:sz w:val="18"/>
        </w:rPr>
        <w:t>Machine_Status:</w:t>
      </w:r>
    </w:p>
    <w:p>
      <w:pPr>
        <w:shd w:val="clear" w:color="auto" w:fill="F4F4F4"/>
        <w:spacing w:before="0" w:after="0" w:line="240" w:lineRule="auto"/>
        <w:ind w:left="216" w:right="216"/>
        <w:jc w:val="left"/>
      </w:pPr>
      <w:r>
        <w:rPr>
          <w:rFonts w:ascii="Consolas" w:hAnsi="Consolas"/>
          <w:color w:val="202020"/>
          <w:sz w:val="18"/>
        </w:rPr>
        <w:t xml:space="preserve">    Cycle_Number</w:t>
      </w:r>
    </w:p>
    <w:p>
      <w:pPr>
        <w:shd w:val="clear" w:color="auto" w:fill="F4F4F4"/>
        <w:spacing w:before="0" w:after="0" w:line="240" w:lineRule="auto"/>
        <w:ind w:left="216" w:right="216"/>
        <w:jc w:val="left"/>
      </w:pPr>
      <w:r>
        <w:rPr>
          <w:rFonts w:ascii="Consolas" w:hAnsi="Consolas"/>
          <w:color w:val="202020"/>
          <w:sz w:val="18"/>
        </w:rPr>
        <w:t xml:space="preserve">    Robot_Ready</w:t>
      </w:r>
    </w:p>
    <w:p>
      <w:pPr>
        <w:shd w:val="clear" w:color="auto" w:fill="F4F4F4"/>
        <w:spacing w:before="0" w:after="0" w:line="240" w:lineRule="auto"/>
        <w:ind w:left="216" w:right="216"/>
        <w:jc w:val="left"/>
      </w:pPr>
      <w:r>
        <w:rPr>
          <w:rFonts w:ascii="Consolas" w:hAnsi="Consolas"/>
          <w:color w:val="202020"/>
          <w:sz w:val="18"/>
        </w:rPr>
        <w:t xml:space="preserve">    Fault_Code</w:t>
      </w:r>
    </w:p>
    <w:p>
      <w:pPr>
        <w:shd w:val="clear" w:color="auto" w:fill="F4F4F4"/>
        <w:spacing w:before="0" w:after="0" w:line="240" w:lineRule="auto"/>
        <w:ind w:left="216" w:right="216"/>
        <w:jc w:val="left"/>
      </w:pPr>
      <w:r>
        <w:rPr>
          <w:rFonts w:ascii="Consolas" w:hAnsi="Consolas"/>
          <w:color w:val="202020"/>
          <w:sz w:val="18"/>
        </w:rPr>
        <w:t xml:space="preserve">    Part_ID</w:t>
      </w:r>
    </w:p>
    <w:p/>
    <w:p>
      <w:r>
        <w:t>If these fields are updated at different times, a copy might capture a mixture of old and new values, depending on the platform, data layout, and execution context.</w:t>
      </w:r>
    </w:p>
    <w:p>
      <w:r>
        <w:t>This matters when copying:</w:t>
      </w:r>
    </w:p>
    <w:p>
      <w:pPr>
        <w:pStyle w:val="ListBullet"/>
      </w:pPr>
      <w:r>
        <w:t>Structures containing related status fields.</w:t>
      </w:r>
    </w:p>
    <w:p>
      <w:pPr>
        <w:pStyle w:val="ListBullet"/>
      </w:pPr>
      <w:r>
        <w:t>Data updated by another task or communication connection.</w:t>
      </w:r>
    </w:p>
    <w:p>
      <w:pPr>
        <w:pStyle w:val="ListBullet"/>
      </w:pPr>
      <w:r>
        <w:t>Controller-produced data used by an HMI or another PLC.</w:t>
      </w:r>
    </w:p>
    <w:p>
      <w:pPr>
        <w:pStyle w:val="ListBullet"/>
      </w:pPr>
      <w:r>
        <w:t>Recipe parameters that must be applied as a consistent set.</w:t>
      </w:r>
    </w:p>
    <w:p>
      <w:pPr>
        <w:pStyle w:val="Heading3"/>
      </w:pPr>
      <w:r>
        <w:t>COP and CPS on Rockwell Logix</w:t>
      </w:r>
    </w:p>
    <w:p>
      <w:r>
        <w:t xml:space="preserve">On supported Rockwell Logix controllers, </w:t>
      </w:r>
      <w:r>
        <w:rPr>
          <w:rFonts w:ascii="Consolas" w:hAnsi="Consolas"/>
          <w:color w:val="333333"/>
          <w:sz w:val="19"/>
          <w:shd w:val="clear" w:color="auto" w:fill="EFEFEF"/>
        </w:rPr>
        <w:t>COP</w:t>
      </w:r>
      <w:r>
        <w:t xml:space="preserve"> and </w:t>
      </w:r>
      <w:r>
        <w:rPr>
          <w:rFonts w:ascii="Consolas" w:hAnsi="Consolas"/>
          <w:color w:val="333333"/>
          <w:sz w:val="19"/>
          <w:shd w:val="clear" w:color="auto" w:fill="EFEFEF"/>
        </w:rPr>
        <w:t>CPS</w:t>
      </w:r>
      <w:r>
        <w:t xml:space="preserve"> differ in how the copy operation handles consistency in the presence of asynchronous updates. </w:t>
      </w:r>
      <w:r>
        <w:rPr>
          <w:rFonts w:ascii="Consolas" w:hAnsi="Consolas"/>
          <w:color w:val="333333"/>
          <w:sz w:val="19"/>
          <w:shd w:val="clear" w:color="auto" w:fill="EFEFEF"/>
        </w:rPr>
        <w:t>CPS</w:t>
      </w:r>
      <w:r>
        <w:t xml:space="preserve"> is designed to provide a synchronous copy for supported cases, reducing the risk of obtaining inconsistent data during the copy.</w:t>
      </w:r>
    </w:p>
    <w:p>
      <w:r>
        <w:t>However, it is not a universal instruction or a blanket guarantee that every multi-step application is transactionally consistent. Check the specific controller manual and data-update mechanism.</w:t>
      </w:r>
    </w:p>
    <w:p>
      <w:r>
        <w:t>For other platforms, use the corresponding documented mechanism, such as a suitable synchronization method, sequence handshake, validated buffer, or platform-specific consistent-data operation.</w:t>
      </w:r>
    </w:p>
    <w:p>
      <w:pPr>
        <w:pStyle w:val="Heading2"/>
      </w:pPr>
      <w:r>
        <w:t>9. Retentive Data and Restart Behavior</w:t>
      </w:r>
    </w:p>
    <w:p>
      <w:r>
        <w:t>Moving or copying a value does not itself determine whether that value survives a power cycle or controller restart.</w:t>
      </w:r>
    </w:p>
    <w:p>
      <w:r>
        <w:t>Retention depends on factors such as:</w:t>
      </w:r>
    </w:p>
    <w:p>
      <w:pPr>
        <w:pStyle w:val="ListBullet"/>
      </w:pPr>
      <w:r>
        <w:t>PLC memory and tag configuration.</w:t>
      </w:r>
    </w:p>
    <w:p>
      <w:pPr>
        <w:pStyle w:val="ListBullet"/>
      </w:pPr>
      <w:r>
        <w:t>Retentive versus non-retentive variables.</w:t>
      </w:r>
    </w:p>
    <w:p>
      <w:pPr>
        <w:pStyle w:val="ListBullet"/>
      </w:pPr>
      <w:r>
        <w:t>Startup initialization logic.</w:t>
      </w:r>
    </w:p>
    <w:p>
      <w:pPr>
        <w:pStyle w:val="ListBullet"/>
      </w:pPr>
      <w:r>
        <w:t>Controller mode and restart behavior.</w:t>
      </w:r>
    </w:p>
    <w:p>
      <w:pPr>
        <w:pStyle w:val="ListBullet"/>
      </w:pPr>
      <w:r>
        <w:t>Download, reset, or project-change procedures.</w:t>
      </w:r>
    </w:p>
    <w:p>
      <w:pPr>
        <w:pStyle w:val="ListBullet"/>
      </w:pPr>
      <w:r>
        <w:t>Platform-specific memory rules.</w:t>
      </w:r>
    </w:p>
    <w:p>
      <w:r>
        <w:t>Example:</w:t>
      </w:r>
    </w:p>
    <w:p>
      <w:pPr>
        <w:shd w:val="clear" w:color="auto" w:fill="F4F4F4"/>
        <w:spacing w:before="0" w:after="0" w:line="240" w:lineRule="auto"/>
        <w:ind w:left="216" w:right="216"/>
        <w:jc w:val="left"/>
      </w:pPr>
      <w:r>
        <w:rPr>
          <w:rFonts w:ascii="Consolas" w:hAnsi="Consolas"/>
          <w:color w:val="202020"/>
          <w:sz w:val="18"/>
        </w:rPr>
        <w:t>Batch_Target := 500;</w:t>
      </w:r>
    </w:p>
    <w:p/>
    <w:p>
      <w:r>
        <w:t>Even if this value is transferred successfully, the value after a restart depends on the destination's retention settings and startup logic.</w:t>
      </w:r>
    </w:p>
    <w:p>
      <w:r>
        <w:t>For critical production parameters, define the intended behavior explicitly:</w:t>
      </w:r>
    </w:p>
    <w:p>
      <w:pPr>
        <w:pStyle w:val="ListBullet"/>
      </w:pPr>
      <w:r>
        <w:t>Should the active recipe be retained?</w:t>
      </w:r>
    </w:p>
    <w:p>
      <w:pPr>
        <w:pStyle w:val="ListBullet"/>
      </w:pPr>
      <w:r>
        <w:t>Should a batch counter resume or reset?</w:t>
      </w:r>
    </w:p>
    <w:p>
      <w:pPr>
        <w:pStyle w:val="ListBullet"/>
      </w:pPr>
      <w:r>
        <w:t>Should setpoints be restored from a validated saved recipe?</w:t>
      </w:r>
    </w:p>
    <w:p>
      <w:pPr>
        <w:pStyle w:val="ListBullet"/>
      </w:pPr>
      <w:r>
        <w:t>Should machine outputs remain inhibited until initialization and validation are complete?</w:t>
      </w:r>
    </w:p>
    <w:p>
      <w:r>
        <w:t>Do not assume that a value remains valid merely because it was valid before the restart.</w:t>
      </w:r>
    </w:p>
    <w:p>
      <w:pPr>
        <w:pStyle w:val="Heading2"/>
      </w:pPr>
      <w:r>
        <w:t>10. Common Industrial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Typical operation</w:t>
            </w:r>
          </w:p>
        </w:tc>
        <w:tc>
          <w:tcPr>
            <w:tcW w:type="dxa" w:w="3600"/>
            <w:shd w:val="clear" w:color="auto" w:fill="EEF2F7"/>
          </w:tcPr>
          <w:p>
            <w:pPr>
              <w:spacing w:after="0" w:before="0" w:line="240" w:lineRule="auto"/>
              <w:jc w:val="left"/>
            </w:pPr>
            <w:r>
              <w:rPr>
                <w:b/>
                <w:color w:val="1A2E4A"/>
              </w:rPr>
              <w:t>Practical consideration</w:t>
            </w:r>
          </w:p>
        </w:tc>
      </w:tr>
      <w:tr>
        <w:tc>
          <w:tcPr>
            <w:tcW w:type="dxa" w:w="3600"/>
          </w:tcPr>
          <w:p>
            <w:pPr>
              <w:spacing w:after="0" w:before="0" w:line="240" w:lineRule="auto"/>
              <w:jc w:val="left"/>
            </w:pPr>
            <w:r>
              <w:t>Batch counting</w:t>
            </w:r>
          </w:p>
        </w:tc>
        <w:tc>
          <w:tcPr>
            <w:tcW w:type="dxa" w:w="3600"/>
          </w:tcPr>
          <w:p>
            <w:pPr>
              <w:spacing w:after="0" w:before="0" w:line="240" w:lineRule="auto"/>
              <w:jc w:val="left"/>
            </w:pPr>
            <w:r>
              <w:t>Move completed count into a batch record</w:t>
            </w:r>
          </w:p>
        </w:tc>
        <w:tc>
          <w:tcPr>
            <w:tcW w:type="dxa" w:w="3600"/>
          </w:tcPr>
          <w:p>
            <w:pPr>
              <w:spacing w:after="0" w:before="0" w:line="240" w:lineRule="auto"/>
              <w:jc w:val="left"/>
            </w:pPr>
            <w:r>
              <w:t>Capture at the correct event</w:t>
            </w:r>
          </w:p>
        </w:tc>
      </w:tr>
      <w:tr>
        <w:tc>
          <w:tcPr>
            <w:tcW w:type="dxa" w:w="3600"/>
          </w:tcPr>
          <w:p>
            <w:pPr>
              <w:spacing w:after="0" w:before="0" w:line="240" w:lineRule="auto"/>
              <w:jc w:val="left"/>
            </w:pPr>
            <w:r>
              <w:t>Recipe selection</w:t>
            </w:r>
          </w:p>
        </w:tc>
        <w:tc>
          <w:tcPr>
            <w:tcW w:type="dxa" w:w="3600"/>
          </w:tcPr>
          <w:p>
            <w:pPr>
              <w:spacing w:after="0" w:before="0" w:line="240" w:lineRule="auto"/>
              <w:jc w:val="left"/>
            </w:pPr>
            <w:r>
              <w:t>Copy recipe into active buffer</w:t>
            </w:r>
          </w:p>
        </w:tc>
        <w:tc>
          <w:tcPr>
            <w:tcW w:type="dxa" w:w="3600"/>
          </w:tcPr>
          <w:p>
            <w:pPr>
              <w:spacing w:after="0" w:before="0" w:line="240" w:lineRule="auto"/>
              <w:jc w:val="left"/>
            </w:pPr>
            <w:r>
              <w:t>Validate recipe and parameter limits</w:t>
            </w:r>
          </w:p>
        </w:tc>
      </w:tr>
      <w:tr>
        <w:tc>
          <w:tcPr>
            <w:tcW w:type="dxa" w:w="3600"/>
          </w:tcPr>
          <w:p>
            <w:pPr>
              <w:spacing w:after="0" w:before="0" w:line="240" w:lineRule="auto"/>
              <w:jc w:val="left"/>
            </w:pPr>
            <w:r>
              <w:t>Analog processing</w:t>
            </w:r>
          </w:p>
        </w:tc>
        <w:tc>
          <w:tcPr>
            <w:tcW w:type="dxa" w:w="3600"/>
          </w:tcPr>
          <w:p>
            <w:pPr>
              <w:spacing w:after="0" w:before="0" w:line="240" w:lineRule="auto"/>
              <w:jc w:val="left"/>
            </w:pPr>
            <w:r>
              <w:t>Convert and scale raw input</w:t>
            </w:r>
          </w:p>
        </w:tc>
        <w:tc>
          <w:tcPr>
            <w:tcW w:type="dxa" w:w="3600"/>
          </w:tcPr>
          <w:p>
            <w:pPr>
              <w:spacing w:after="0" w:before="0" w:line="240" w:lineRule="auto"/>
              <w:jc w:val="left"/>
            </w:pPr>
            <w:r>
              <w:t>Verify units and module configuration</w:t>
            </w:r>
          </w:p>
        </w:tc>
      </w:tr>
      <w:tr>
        <w:tc>
          <w:tcPr>
            <w:tcW w:type="dxa" w:w="3600"/>
          </w:tcPr>
          <w:p>
            <w:pPr>
              <w:spacing w:after="0" w:before="0" w:line="240" w:lineRule="auto"/>
              <w:jc w:val="left"/>
            </w:pPr>
            <w:r>
              <w:t>HMI setpoints</w:t>
            </w:r>
          </w:p>
        </w:tc>
        <w:tc>
          <w:tcPr>
            <w:tcW w:type="dxa" w:w="3600"/>
          </w:tcPr>
          <w:p>
            <w:pPr>
              <w:spacing w:after="0" w:before="0" w:line="240" w:lineRule="auto"/>
              <w:jc w:val="left"/>
            </w:pPr>
            <w:r>
              <w:t>Move validated operator values</w:t>
            </w:r>
          </w:p>
        </w:tc>
        <w:tc>
          <w:tcPr>
            <w:tcW w:type="dxa" w:w="3600"/>
          </w:tcPr>
          <w:p>
            <w:pPr>
              <w:spacing w:after="0" w:before="0" w:line="240" w:lineRule="auto"/>
              <w:jc w:val="left"/>
            </w:pPr>
            <w:r>
              <w:t>Check limits before applying</w:t>
            </w:r>
          </w:p>
        </w:tc>
      </w:tr>
      <w:tr>
        <w:tc>
          <w:tcPr>
            <w:tcW w:type="dxa" w:w="3600"/>
          </w:tcPr>
          <w:p>
            <w:pPr>
              <w:spacing w:after="0" w:before="0" w:line="240" w:lineRule="auto"/>
              <w:jc w:val="left"/>
            </w:pPr>
            <w:r>
              <w:t>Machine diagnostics</w:t>
            </w:r>
          </w:p>
        </w:tc>
        <w:tc>
          <w:tcPr>
            <w:tcW w:type="dxa" w:w="3600"/>
          </w:tcPr>
          <w:p>
            <w:pPr>
              <w:spacing w:after="0" w:before="0" w:line="240" w:lineRule="auto"/>
              <w:jc w:val="left"/>
            </w:pPr>
            <w:r>
              <w:t>Copy a status snapshot</w:t>
            </w:r>
          </w:p>
        </w:tc>
        <w:tc>
          <w:tcPr>
            <w:tcW w:type="dxa" w:w="3600"/>
          </w:tcPr>
          <w:p>
            <w:pPr>
              <w:spacing w:after="0" w:before="0" w:line="240" w:lineRule="auto"/>
              <w:jc w:val="left"/>
            </w:pPr>
            <w:r>
              <w:t>Ensure related values are consistent</w:t>
            </w:r>
          </w:p>
        </w:tc>
      </w:tr>
      <w:tr>
        <w:tc>
          <w:tcPr>
            <w:tcW w:type="dxa" w:w="3600"/>
          </w:tcPr>
          <w:p>
            <w:pPr>
              <w:spacing w:after="0" w:before="0" w:line="240" w:lineRule="auto"/>
              <w:jc w:val="left"/>
            </w:pPr>
            <w:r>
              <w:t>Robot interface</w:t>
            </w:r>
          </w:p>
        </w:tc>
        <w:tc>
          <w:tcPr>
            <w:tcW w:type="dxa" w:w="3600"/>
          </w:tcPr>
          <w:p>
            <w:pPr>
              <w:spacing w:after="0" w:before="0" w:line="240" w:lineRule="auto"/>
              <w:jc w:val="left"/>
            </w:pPr>
            <w:r>
              <w:t>Transfer commands and status data</w:t>
            </w:r>
          </w:p>
        </w:tc>
        <w:tc>
          <w:tcPr>
            <w:tcW w:type="dxa" w:w="3600"/>
          </w:tcPr>
          <w:p>
            <w:pPr>
              <w:spacing w:after="0" w:before="0" w:line="240" w:lineRule="auto"/>
              <w:jc w:val="left"/>
            </w:pPr>
            <w:r>
              <w:t>Follow the interface mapping and handshake</w:t>
            </w:r>
          </w:p>
        </w:tc>
      </w:tr>
      <w:tr>
        <w:tc>
          <w:tcPr>
            <w:tcW w:type="dxa" w:w="3600"/>
          </w:tcPr>
          <w:p>
            <w:pPr>
              <w:spacing w:after="0" w:before="0" w:line="240" w:lineRule="auto"/>
              <w:jc w:val="left"/>
            </w:pPr>
            <w:r>
              <w:t>CNC or test equipment</w:t>
            </w:r>
          </w:p>
        </w:tc>
        <w:tc>
          <w:tcPr>
            <w:tcW w:type="dxa" w:w="3600"/>
          </w:tcPr>
          <w:p>
            <w:pPr>
              <w:spacing w:after="0" w:before="0" w:line="240" w:lineRule="auto"/>
              <w:jc w:val="left"/>
            </w:pPr>
            <w:r>
              <w:t>Convert and transfer measured values</w:t>
            </w:r>
          </w:p>
        </w:tc>
        <w:tc>
          <w:tcPr>
            <w:tcW w:type="dxa" w:w="3600"/>
          </w:tcPr>
          <w:p>
            <w:pPr>
              <w:spacing w:after="0" w:before="0" w:line="240" w:lineRule="auto"/>
              <w:jc w:val="left"/>
            </w:pPr>
            <w:r>
              <w:t>Confirm units, precision, and signedness</w:t>
            </w:r>
          </w:p>
        </w:tc>
      </w:tr>
      <w:tr>
        <w:tc>
          <w:tcPr>
            <w:tcW w:type="dxa" w:w="3600"/>
          </w:tcPr>
          <w:p>
            <w:pPr>
              <w:spacing w:after="0" w:before="0" w:line="240" w:lineRule="auto"/>
              <w:jc w:val="left"/>
            </w:pPr>
            <w:r>
              <w:t>Data logging</w:t>
            </w:r>
          </w:p>
        </w:tc>
        <w:tc>
          <w:tcPr>
            <w:tcW w:type="dxa" w:w="3600"/>
          </w:tcPr>
          <w:p>
            <w:pPr>
              <w:spacing w:after="0" w:before="0" w:line="240" w:lineRule="auto"/>
              <w:jc w:val="left"/>
            </w:pPr>
            <w:r>
              <w:t>Copy values into a snapshot or reporting structure</w:t>
            </w:r>
          </w:p>
        </w:tc>
        <w:tc>
          <w:tcPr>
            <w:tcW w:type="dxa" w:w="3600"/>
          </w:tcPr>
          <w:p>
            <w:pPr>
              <w:spacing w:after="0" w:before="0" w:line="240" w:lineRule="auto"/>
              <w:jc w:val="left"/>
            </w:pPr>
            <w:r>
              <w:t>Ensure the snapshot represents the intended instant</w:t>
            </w:r>
          </w:p>
        </w:tc>
      </w:tr>
    </w:tbl>
    <w:p/>
    <w:p>
      <w:pPr>
        <w:pStyle w:val="Heading2"/>
      </w:pPr>
      <w:r>
        <w:t>11.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What to check</w:t>
            </w:r>
          </w:p>
        </w:tc>
      </w:tr>
      <w:tr>
        <w:tc>
          <w:tcPr>
            <w:tcW w:type="dxa" w:w="3600"/>
          </w:tcPr>
          <w:p>
            <w:pPr>
              <w:spacing w:after="0" w:before="0" w:line="240" w:lineRule="auto"/>
              <w:jc w:val="left"/>
            </w:pPr>
            <w:r>
              <w:t>Destination does not change</w:t>
            </w:r>
          </w:p>
        </w:tc>
        <w:tc>
          <w:tcPr>
            <w:tcW w:type="dxa" w:w="3600"/>
          </w:tcPr>
          <w:p>
            <w:pPr>
              <w:spacing w:after="0" w:before="0" w:line="240" w:lineRule="auto"/>
              <w:jc w:val="left"/>
            </w:pPr>
            <w:r>
              <w:t>Instruction is not enabled or executed</w:t>
            </w:r>
          </w:p>
        </w:tc>
        <w:tc>
          <w:tcPr>
            <w:tcW w:type="dxa" w:w="3600"/>
          </w:tcPr>
          <w:p>
            <w:pPr>
              <w:spacing w:after="0" w:before="0" w:line="240" w:lineRule="auto"/>
              <w:jc w:val="left"/>
            </w:pPr>
            <w:r>
              <w:t>Rung condition, task execution, mode, and instruction status</w:t>
            </w:r>
          </w:p>
        </w:tc>
      </w:tr>
      <w:tr>
        <w:tc>
          <w:tcPr>
            <w:tcW w:type="dxa" w:w="3600"/>
          </w:tcPr>
          <w:p>
            <w:pPr>
              <w:spacing w:after="0" w:before="0" w:line="240" w:lineRule="auto"/>
              <w:jc w:val="left"/>
            </w:pPr>
            <w:r>
              <w:t>Destination changes repeatedly</w:t>
            </w:r>
          </w:p>
        </w:tc>
        <w:tc>
          <w:tcPr>
            <w:tcW w:type="dxa" w:w="3600"/>
          </w:tcPr>
          <w:p>
            <w:pPr>
              <w:spacing w:after="0" w:before="0" w:line="240" w:lineRule="auto"/>
              <w:jc w:val="left"/>
            </w:pPr>
            <w:r>
              <w:t>Instruction executes every scan or task cycle</w:t>
            </w:r>
          </w:p>
        </w:tc>
        <w:tc>
          <w:tcPr>
            <w:tcW w:type="dxa" w:w="3600"/>
          </w:tcPr>
          <w:p>
            <w:pPr>
              <w:spacing w:after="0" w:before="0" w:line="240" w:lineRule="auto"/>
              <w:jc w:val="left"/>
            </w:pPr>
            <w:r>
              <w:t>Execution conditions and event-trigger logic</w:t>
            </w:r>
          </w:p>
        </w:tc>
      </w:tr>
      <w:tr>
        <w:tc>
          <w:tcPr>
            <w:tcW w:type="dxa" w:w="3600"/>
          </w:tcPr>
          <w:p>
            <w:pPr>
              <w:spacing w:after="0" w:before="0" w:line="240" w:lineRule="auto"/>
              <w:jc w:val="left"/>
            </w:pPr>
            <w:r>
              <w:t>Correct source, incorrect destination</w:t>
            </w:r>
          </w:p>
        </w:tc>
        <w:tc>
          <w:tcPr>
            <w:tcW w:type="dxa" w:w="3600"/>
          </w:tcPr>
          <w:p>
            <w:pPr>
              <w:spacing w:after="0" w:before="0" w:line="240" w:lineRule="auto"/>
              <w:jc w:val="left"/>
            </w:pPr>
            <w:r>
              <w:t>Wrong type, conversion, or copy length</w:t>
            </w:r>
          </w:p>
        </w:tc>
        <w:tc>
          <w:tcPr>
            <w:tcW w:type="dxa" w:w="3600"/>
          </w:tcPr>
          <w:p>
            <w:pPr>
              <w:spacing w:after="0" w:before="0" w:line="240" w:lineRule="auto"/>
              <w:jc w:val="left"/>
            </w:pPr>
            <w:r>
              <w:t>Source and destination declarations</w:t>
            </w:r>
          </w:p>
        </w:tc>
      </w:tr>
      <w:tr>
        <w:tc>
          <w:tcPr>
            <w:tcW w:type="dxa" w:w="3600"/>
          </w:tcPr>
          <w:p>
            <w:pPr>
              <w:spacing w:after="0" w:before="0" w:line="240" w:lineRule="auto"/>
              <w:jc w:val="left"/>
            </w:pPr>
            <w:r>
              <w:t>Fractional value disappears</w:t>
            </w:r>
          </w:p>
        </w:tc>
        <w:tc>
          <w:tcPr>
            <w:tcW w:type="dxa" w:w="3600"/>
          </w:tcPr>
          <w:p>
            <w:pPr>
              <w:spacing w:after="0" w:before="0" w:line="240" w:lineRule="auto"/>
              <w:jc w:val="left"/>
            </w:pPr>
            <w:r>
              <w:t>Integer arithmetic or conversion truncation</w:t>
            </w:r>
          </w:p>
        </w:tc>
        <w:tc>
          <w:tcPr>
            <w:tcW w:type="dxa" w:w="3600"/>
          </w:tcPr>
          <w:p>
            <w:pPr>
              <w:spacing w:after="0" w:before="0" w:line="240" w:lineRule="auto"/>
              <w:jc w:val="left"/>
            </w:pPr>
            <w:r>
              <w:t>Operand types and conversion instruction</w:t>
            </w:r>
          </w:p>
        </w:tc>
      </w:tr>
      <w:tr>
        <w:tc>
          <w:tcPr>
            <w:tcW w:type="dxa" w:w="3600"/>
          </w:tcPr>
          <w:p>
            <w:pPr>
              <w:spacing w:after="0" w:before="0" w:line="240" w:lineRule="auto"/>
              <w:jc w:val="left"/>
            </w:pPr>
            <w:r>
              <w:t>Negative value becomes unexpected</w:t>
            </w:r>
          </w:p>
        </w:tc>
        <w:tc>
          <w:tcPr>
            <w:tcW w:type="dxa" w:w="3600"/>
          </w:tcPr>
          <w:p>
            <w:pPr>
              <w:spacing w:after="0" w:before="0" w:line="240" w:lineRule="auto"/>
              <w:jc w:val="left"/>
            </w:pPr>
            <w:r>
              <w:t>Signed/unsigned mismatch</w:t>
            </w:r>
          </w:p>
        </w:tc>
        <w:tc>
          <w:tcPr>
            <w:tcW w:type="dxa" w:w="3600"/>
          </w:tcPr>
          <w:p>
            <w:pPr>
              <w:spacing w:after="0" w:before="0" w:line="240" w:lineRule="auto"/>
              <w:jc w:val="left"/>
            </w:pPr>
            <w:r>
              <w:t>Data type and conversion rules</w:t>
            </w:r>
          </w:p>
        </w:tc>
      </w:tr>
      <w:tr>
        <w:tc>
          <w:tcPr>
            <w:tcW w:type="dxa" w:w="3600"/>
          </w:tcPr>
          <w:p>
            <w:pPr>
              <w:spacing w:after="0" w:before="0" w:line="240" w:lineRule="auto"/>
              <w:jc w:val="left"/>
            </w:pPr>
            <w:r>
              <w:t>Values exceed the permitted range</w:t>
            </w:r>
          </w:p>
        </w:tc>
        <w:tc>
          <w:tcPr>
            <w:tcW w:type="dxa" w:w="3600"/>
          </w:tcPr>
          <w:p>
            <w:pPr>
              <w:spacing w:after="0" w:before="0" w:line="240" w:lineRule="auto"/>
              <w:jc w:val="left"/>
            </w:pPr>
            <w:r>
              <w:t>Overflow or out-of-range conversion</w:t>
            </w:r>
          </w:p>
        </w:tc>
        <w:tc>
          <w:tcPr>
            <w:tcW w:type="dxa" w:w="3600"/>
          </w:tcPr>
          <w:p>
            <w:pPr>
              <w:spacing w:after="0" w:before="0" w:line="240" w:lineRule="auto"/>
              <w:jc w:val="left"/>
            </w:pPr>
            <w:r>
              <w:t>Source limits and destination capacity</w:t>
            </w:r>
          </w:p>
        </w:tc>
      </w:tr>
      <w:tr>
        <w:tc>
          <w:tcPr>
            <w:tcW w:type="dxa" w:w="3600"/>
          </w:tcPr>
          <w:p>
            <w:pPr>
              <w:spacing w:after="0" w:before="0" w:line="240" w:lineRule="auto"/>
              <w:jc w:val="left"/>
            </w:pPr>
            <w:r>
              <w:t>Recipe fields are mixed or inconsistent</w:t>
            </w:r>
          </w:p>
        </w:tc>
        <w:tc>
          <w:tcPr>
            <w:tcW w:type="dxa" w:w="3600"/>
          </w:tcPr>
          <w:p>
            <w:pPr>
              <w:spacing w:after="0" w:before="0" w:line="240" w:lineRule="auto"/>
              <w:jc w:val="left"/>
            </w:pPr>
            <w:r>
              <w:t>Source changes during the copy</w:t>
            </w:r>
          </w:p>
        </w:tc>
        <w:tc>
          <w:tcPr>
            <w:tcW w:type="dxa" w:w="3600"/>
          </w:tcPr>
          <w:p>
            <w:pPr>
              <w:spacing w:after="0" w:before="0" w:line="240" w:lineRule="auto"/>
              <w:jc w:val="left"/>
            </w:pPr>
            <w:r>
              <w:t>Update timing, buffer strategy, and synchronization</w:t>
            </w:r>
          </w:p>
        </w:tc>
      </w:tr>
      <w:tr>
        <w:tc>
          <w:tcPr>
            <w:tcW w:type="dxa" w:w="3600"/>
          </w:tcPr>
          <w:p>
            <w:pPr>
              <w:spacing w:after="0" w:before="0" w:line="240" w:lineRule="auto"/>
              <w:jc w:val="left"/>
            </w:pPr>
            <w:r>
              <w:t>Array values appear shifted or incomplete</w:t>
            </w:r>
          </w:p>
        </w:tc>
        <w:tc>
          <w:tcPr>
            <w:tcW w:type="dxa" w:w="3600"/>
          </w:tcPr>
          <w:p>
            <w:pPr>
              <w:spacing w:after="0" w:before="0" w:line="240" w:lineRule="auto"/>
              <w:jc w:val="left"/>
            </w:pPr>
            <w:r>
              <w:t>Wrong length, indexing, or layout</w:t>
            </w:r>
          </w:p>
        </w:tc>
        <w:tc>
          <w:tcPr>
            <w:tcW w:type="dxa" w:w="3600"/>
          </w:tcPr>
          <w:p>
            <w:pPr>
              <w:spacing w:after="0" w:before="0" w:line="240" w:lineRule="auto"/>
              <w:jc w:val="left"/>
            </w:pPr>
            <w:r>
              <w:t>Element count, array bounds, and structure layout</w:t>
            </w:r>
          </w:p>
        </w:tc>
      </w:tr>
      <w:tr>
        <w:tc>
          <w:tcPr>
            <w:tcW w:type="dxa" w:w="3600"/>
          </w:tcPr>
          <w:p>
            <w:pPr>
              <w:spacing w:after="0" w:before="0" w:line="240" w:lineRule="auto"/>
              <w:jc w:val="left"/>
            </w:pPr>
            <w:r>
              <w:t>Destination unexpectedly returns to an old value</w:t>
            </w:r>
          </w:p>
        </w:tc>
        <w:tc>
          <w:tcPr>
            <w:tcW w:type="dxa" w:w="3600"/>
          </w:tcPr>
          <w:p>
            <w:pPr>
              <w:spacing w:after="0" w:before="0" w:line="240" w:lineRule="auto"/>
              <w:jc w:val="left"/>
            </w:pPr>
            <w:r>
              <w:t>Another instruction writes to the same tag</w:t>
            </w:r>
          </w:p>
        </w:tc>
        <w:tc>
          <w:tcPr>
            <w:tcW w:type="dxa" w:w="3600"/>
          </w:tcPr>
          <w:p>
            <w:pPr>
              <w:spacing w:after="0" w:before="0" w:line="240" w:lineRule="auto"/>
              <w:jc w:val="left"/>
            </w:pPr>
            <w:r>
              <w:t>Cross-reference all writers and inspect execution order</w:t>
            </w:r>
          </w:p>
        </w:tc>
      </w:tr>
      <w:tr>
        <w:tc>
          <w:tcPr>
            <w:tcW w:type="dxa" w:w="3600"/>
          </w:tcPr>
          <w:p>
            <w:pPr>
              <w:spacing w:after="0" w:before="0" w:line="240" w:lineRule="auto"/>
              <w:jc w:val="left"/>
            </w:pPr>
            <w:r>
              <w:t>Engineering value is incorrect</w:t>
            </w:r>
          </w:p>
        </w:tc>
        <w:tc>
          <w:tcPr>
            <w:tcW w:type="dxa" w:w="3600"/>
          </w:tcPr>
          <w:p>
            <w:pPr>
              <w:spacing w:after="0" w:before="0" w:line="240" w:lineRule="auto"/>
              <w:jc w:val="left"/>
            </w:pPr>
            <w:r>
              <w:t>Wrong scaling range, units, or raw input configuration</w:t>
            </w:r>
          </w:p>
        </w:tc>
        <w:tc>
          <w:tcPr>
            <w:tcW w:type="dxa" w:w="3600"/>
          </w:tcPr>
          <w:p>
            <w:pPr>
              <w:spacing w:after="0" w:before="0" w:line="240" w:lineRule="auto"/>
              <w:jc w:val="left"/>
            </w:pPr>
            <w:r>
              <w:t>Raw range, engineering range, and formula</w:t>
            </w:r>
          </w:p>
        </w:tc>
      </w:tr>
      <w:tr>
        <w:tc>
          <w:tcPr>
            <w:tcW w:type="dxa" w:w="3600"/>
          </w:tcPr>
          <w:p>
            <w:pPr>
              <w:spacing w:after="0" w:before="0" w:line="240" w:lineRule="auto"/>
              <w:jc w:val="left"/>
            </w:pPr>
            <w:r>
              <w:t>Value changes after restart</w:t>
            </w:r>
          </w:p>
        </w:tc>
        <w:tc>
          <w:tcPr>
            <w:tcW w:type="dxa" w:w="3600"/>
          </w:tcPr>
          <w:p>
            <w:pPr>
              <w:spacing w:after="0" w:before="0" w:line="240" w:lineRule="auto"/>
              <w:jc w:val="left"/>
            </w:pPr>
            <w:r>
              <w:t>Retention or initialization behavior</w:t>
            </w:r>
          </w:p>
        </w:tc>
        <w:tc>
          <w:tcPr>
            <w:tcW w:type="dxa" w:w="3600"/>
          </w:tcPr>
          <w:p>
            <w:pPr>
              <w:spacing w:after="0" w:before="0" w:line="240" w:lineRule="auto"/>
              <w:jc w:val="left"/>
            </w:pPr>
            <w:r>
              <w:t>Memory configuration and startup logic</w:t>
            </w:r>
          </w:p>
        </w:tc>
      </w:tr>
    </w:tbl>
    <w:p/>
    <w:p>
      <w:pPr>
        <w:pStyle w:val="Heading3"/>
      </w:pPr>
      <w:r>
        <w:t>Practical troubleshooting sequence</w:t>
      </w:r>
    </w:p>
    <w:p>
      <w:pPr>
        <w:tabs>
          <w:tab w:pos="403" w:val="left"/>
        </w:tabs>
        <w:spacing w:after="40" w:line="276" w:lineRule="auto"/>
        <w:ind w:left="403" w:hanging="403"/>
        <w:jc w:val="left"/>
      </w:pPr>
      <w:r>
        <w:rPr>
          <w:color w:val="1A2E4A"/>
        </w:rPr>
        <w:t>1.</w:t>
        <w:tab/>
      </w:r>
      <w:r>
        <w:t>Monitor the source tag online.</w:t>
      </w:r>
    </w:p>
    <w:p>
      <w:pPr>
        <w:tabs>
          <w:tab w:pos="403" w:val="left"/>
        </w:tabs>
        <w:spacing w:after="40" w:line="276" w:lineRule="auto"/>
        <w:ind w:left="403" w:hanging="403"/>
        <w:jc w:val="left"/>
      </w:pPr>
      <w:r>
        <w:rPr>
          <w:color w:val="1A2E4A"/>
        </w:rPr>
        <w:t>2.</w:t>
        <w:tab/>
      </w:r>
      <w:r>
        <w:t>Confirm that the instruction's execution condition is satisfied.</w:t>
      </w:r>
    </w:p>
    <w:p>
      <w:pPr>
        <w:tabs>
          <w:tab w:pos="403" w:val="left"/>
        </w:tabs>
        <w:spacing w:after="40" w:line="276" w:lineRule="auto"/>
        <w:ind w:left="403" w:hanging="403"/>
        <w:jc w:val="left"/>
      </w:pPr>
      <w:r>
        <w:rPr>
          <w:color w:val="1A2E4A"/>
        </w:rPr>
        <w:t>3.</w:t>
        <w:tab/>
      </w:r>
      <w:r>
        <w:t>Monitor the destination immediately before and after execution.</w:t>
      </w:r>
    </w:p>
    <w:p>
      <w:pPr>
        <w:tabs>
          <w:tab w:pos="403" w:val="left"/>
        </w:tabs>
        <w:spacing w:after="40" w:line="276" w:lineRule="auto"/>
        <w:ind w:left="403" w:hanging="403"/>
        <w:jc w:val="left"/>
      </w:pPr>
      <w:r>
        <w:rPr>
          <w:color w:val="1A2E4A"/>
        </w:rPr>
        <w:t>4.</w:t>
        <w:tab/>
      </w:r>
      <w:r>
        <w:t>Verify the source and destination data types.</w:t>
      </w:r>
    </w:p>
    <w:p>
      <w:pPr>
        <w:tabs>
          <w:tab w:pos="403" w:val="left"/>
        </w:tabs>
        <w:spacing w:after="40" w:line="276" w:lineRule="auto"/>
        <w:ind w:left="403" w:hanging="403"/>
        <w:jc w:val="left"/>
      </w:pPr>
      <w:r>
        <w:rPr>
          <w:color w:val="1A2E4A"/>
        </w:rPr>
        <w:t>5.</w:t>
        <w:tab/>
      </w:r>
      <w:r>
        <w:t>Check conversion rules, numerical limits, and scaling units.</w:t>
      </w:r>
    </w:p>
    <w:p>
      <w:pPr>
        <w:tabs>
          <w:tab w:pos="403" w:val="left"/>
        </w:tabs>
        <w:spacing w:after="40" w:line="276" w:lineRule="auto"/>
        <w:ind w:left="403" w:hanging="403"/>
        <w:jc w:val="left"/>
      </w:pPr>
      <w:r>
        <w:rPr>
          <w:color w:val="1A2E4A"/>
        </w:rPr>
        <w:t>6.</w:t>
        <w:tab/>
      </w:r>
      <w:r>
        <w:t>For block operations, verify length, element types, array bounds, and structure layout.</w:t>
      </w:r>
    </w:p>
    <w:p>
      <w:pPr>
        <w:tabs>
          <w:tab w:pos="403" w:val="left"/>
        </w:tabs>
        <w:spacing w:after="40" w:line="276" w:lineRule="auto"/>
        <w:ind w:left="403" w:hanging="403"/>
        <w:jc w:val="left"/>
      </w:pPr>
      <w:r>
        <w:rPr>
          <w:color w:val="1A2E4A"/>
        </w:rPr>
        <w:t>7.</w:t>
        <w:tab/>
      </w:r>
      <w:r>
        <w:t>Search for other instructions or routines writing to the same destination.</w:t>
      </w:r>
    </w:p>
    <w:p>
      <w:pPr>
        <w:tabs>
          <w:tab w:pos="403" w:val="left"/>
        </w:tabs>
        <w:spacing w:after="40" w:line="276" w:lineRule="auto"/>
        <w:ind w:left="403" w:hanging="403"/>
        <w:jc w:val="left"/>
      </w:pPr>
      <w:r>
        <w:rPr>
          <w:color w:val="1A2E4A"/>
        </w:rPr>
        <w:t>8.</w:t>
        <w:tab/>
      </w:r>
      <w:r>
        <w:t>Test restart and retention behavior separately from normal execution.</w:t>
      </w:r>
    </w:p>
    <w:p>
      <w:r>
        <w:t>This sequence isolates the cause without changing five unrelated things at once, a popular industrial troubleshooting tradition that solves little and creates new mysteries.</w:t>
      </w:r>
    </w:p>
    <w:p>
      <w:pPr>
        <w:pStyle w:val="Heading2"/>
      </w:pPr>
      <w:r>
        <w:t>12. Best Practices</w:t>
      </w:r>
    </w:p>
    <w:p>
      <w:pPr>
        <w:pStyle w:val="ListBullet"/>
      </w:pPr>
      <w:r>
        <w:t>Use descriptive tag names that indicate purpose, data type where helpful, and engineering units where relevant.</w:t>
      </w:r>
    </w:p>
    <w:p>
      <w:pPr>
        <w:pStyle w:val="ListBullet"/>
      </w:pPr>
      <w:r>
        <w:t>Use explicit type conversion before calculations when implicit conversions could produce incorrect results.</w:t>
      </w:r>
    </w:p>
    <w:p>
      <w:pPr>
        <w:pStyle w:val="ListBullet"/>
      </w:pPr>
      <w:r>
        <w:t>Validate values before transferring them into active control parameters.</w:t>
      </w:r>
    </w:p>
    <w:p>
      <w:pPr>
        <w:pStyle w:val="ListBullet"/>
      </w:pPr>
      <w:r>
        <w:t>Check destination limits before converting to a narrower or unsigned data type.</w:t>
      </w:r>
    </w:p>
    <w:p>
      <w:pPr>
        <w:pStyle w:val="ListBullet"/>
      </w:pPr>
      <w:r>
        <w:t>Confirm the meaning of the copy-length parameter in the relevant PLC manual.</w:t>
      </w:r>
    </w:p>
    <w:p>
      <w:pPr>
        <w:pStyle w:val="ListBullet"/>
      </w:pPr>
      <w:r>
        <w:t>Avoid copying large arrays or structures unnecessarily every scan.</w:t>
      </w:r>
    </w:p>
    <w:p>
      <w:pPr>
        <w:pStyle w:val="ListBullet"/>
      </w:pPr>
      <w:r>
        <w:t>Keep ownership of destination tags clear. Prefer one deliberate writer for each control value wherever practical.</w:t>
      </w:r>
    </w:p>
    <w:p>
      <w:pPr>
        <w:pStyle w:val="ListBullet"/>
      </w:pPr>
      <w:r>
        <w:t>Use a temporary buffer and a controlled commit sequence when applying multi-parameter recipes.</w:t>
      </w:r>
    </w:p>
    <w:p>
      <w:pPr>
        <w:pStyle w:val="ListBullet"/>
      </w:pPr>
      <w:r>
        <w:t>Add validity checks, range checks, and suitable fault handling to data received from HMIs, robots, CNCs, and other controllers.</w:t>
      </w:r>
    </w:p>
    <w:p>
      <w:pPr>
        <w:pStyle w:val="ListBullet"/>
      </w:pPr>
      <w:r>
        <w:t>Verify retention and startup behavior rather than assuming memory will preserve a value.</w:t>
      </w:r>
    </w:p>
    <w:p>
      <w:pPr>
        <w:pStyle w:val="ListBullet"/>
      </w:pPr>
      <w:r>
        <w:t>Use safety-rated logic and communication where required. Ordinary data movement is not a substitute for a safety-rated function.</w:t>
      </w:r>
    </w:p>
    <w:p>
      <w:pPr>
        <w:pStyle w:val="ListBullet"/>
      </w:pPr>
      <w:r>
        <w:t>Test conversions at normal, boundary, negative, and out-of-range values before commissioning.</w:t>
      </w:r>
    </w:p>
    <w:p>
      <w:pPr>
        <w:pStyle w:val="Heading2"/>
      </w:pPr>
      <w:r>
        <w:t>13. Interview Questions and Answers</w:t>
      </w:r>
    </w:p>
    <w:p>
      <w:pPr>
        <w:pStyle w:val="Heading3"/>
      </w:pPr>
      <w:r>
        <w:t>Q1. What is the difference between MOV and COP?</w:t>
      </w:r>
    </w:p>
    <w:p>
      <w:r>
        <w:rPr>
          <w:rFonts w:ascii="Consolas" w:hAnsi="Consolas"/>
          <w:color w:val="333333"/>
          <w:sz w:val="19"/>
          <w:shd w:val="clear" w:color="auto" w:fill="EFEFEF"/>
        </w:rPr>
        <w:t>MOV</w:t>
      </w:r>
      <w:r>
        <w:t xml:space="preserve"> typically transfers one value from a source to a destination. On Rockwell Logix, </w:t>
      </w:r>
      <w:r>
        <w:rPr>
          <w:rFonts w:ascii="Consolas" w:hAnsi="Consolas"/>
          <w:color w:val="333333"/>
          <w:sz w:val="19"/>
          <w:shd w:val="clear" w:color="auto" w:fill="EFEFEF"/>
        </w:rPr>
        <w:t>COP</w:t>
      </w:r>
      <w:r>
        <w:t xml:space="preserve"> copies a specified amount of data and is commonly used for arrays and structures. Exact behavior depends on the PLC platform.</w:t>
      </w:r>
    </w:p>
    <w:p>
      <w:pPr>
        <w:pStyle w:val="Heading3"/>
      </w:pPr>
      <w:r>
        <w:t>Q2. Does MOV change the source value?</w:t>
      </w:r>
    </w:p>
    <w:p>
      <w:r>
        <w:t>No. A normal move operation reads the source and writes the destination. The source remains unchanged unless another instruction modifies it.</w:t>
      </w:r>
    </w:p>
    <w:p>
      <w:pPr>
        <w:pStyle w:val="Heading3"/>
      </w:pPr>
      <w:r>
        <w:t>Q3. What happens when MOV executes repeatedly?</w:t>
      </w:r>
    </w:p>
    <w:p>
      <w:r>
        <w:t>The destination is overwritten each time the instruction executes. If the source changes, the destination can follow the source.</w:t>
      </w:r>
    </w:p>
    <w:p>
      <w:pPr>
        <w:pStyle w:val="Heading3"/>
      </w:pPr>
      <w:r>
        <w:t>Q4. What is data conversion?</w:t>
      </w:r>
    </w:p>
    <w:p>
      <w:r>
        <w:t>Data conversion changes the data type or representation of a value, such as converting an integer to a floating-point number.</w:t>
      </w:r>
    </w:p>
    <w:p>
      <w:pPr>
        <w:pStyle w:val="Heading3"/>
      </w:pPr>
      <w:r>
        <w:t>Q5. What is the difference between conversion and scaling?</w:t>
      </w:r>
    </w:p>
    <w:p>
      <w:r>
        <w:t>Conversion changes the data type or representation. Scaling mathematically maps a value from one range to another, often from raw sensor counts to engineering units.</w:t>
      </w:r>
    </w:p>
    <w:p>
      <w:pPr>
        <w:pStyle w:val="Heading3"/>
      </w:pPr>
      <w:r>
        <w:t>Q6. Why convert an integer to REAL before scaling?</w:t>
      </w:r>
    </w:p>
    <w:p>
      <w:r>
        <w:t>To allow fractional arithmetic and avoid unintended integer division or loss of fractional information.</w:t>
      </w:r>
    </w:p>
    <w:p>
      <w:pPr>
        <w:pStyle w:val="Heading3"/>
      </w:pPr>
      <w:r>
        <w:t>Q7. What can happen when REAL is converted to INT?</w:t>
      </w:r>
    </w:p>
    <w:p>
      <w:r>
        <w:t>The fractional component may be truncated or rounded according to the specific instruction. Out-of-range values can also produce platform-specific results or errors.</w:t>
      </w:r>
    </w:p>
    <w:p>
      <w:pPr>
        <w:pStyle w:val="Heading3"/>
      </w:pPr>
      <w:r>
        <w:t>Q8. Why might a copied structure contain inconsistent data?</w:t>
      </w:r>
    </w:p>
    <w:p>
      <w:r>
        <w:t>The source may be updated asynchronously while the copy occurs. A suitable synchronous copy, validated buffer, or synchronization strategy may be required.</w:t>
      </w:r>
    </w:p>
    <w:p>
      <w:pPr>
        <w:pStyle w:val="Heading3"/>
      </w:pPr>
      <w:r>
        <w:t>Q9. Why is copy length important?</w:t>
      </w:r>
    </w:p>
    <w:p>
      <w:r>
        <w:t>The length determines how much data is copied. An incorrect value can result in incomplete or unintended data transfer and may cause errors depending on the platform.</w:t>
      </w:r>
    </w:p>
    <w:p>
      <w:pPr>
        <w:pStyle w:val="Heading3"/>
      </w:pPr>
      <w:r>
        <w:t>Q10. Does MOV guarantee that a value survives a power cycle?</w:t>
      </w:r>
    </w:p>
    <w:p>
      <w:r>
        <w:t>No. Retention depends on the memory or tag configuration and startup behavior, not merely on the move instruction.</w:t>
      </w:r>
    </w:p>
    <w:p>
      <w:pPr>
        <w:pStyle w:val="Heading3"/>
      </w:pPr>
      <w:r>
        <w:t>Q11. What is the difference between copying and filling?</w:t>
      </w:r>
    </w:p>
    <w:p>
      <w:r>
        <w:t>Copying transfers the source data pattern into the destination. A fill operation writes the same value repeatedly into multiple destination elements.</w:t>
      </w:r>
    </w:p>
    <w:p>
      <w:pPr>
        <w:pStyle w:val="Heading3"/>
      </w:pPr>
      <w:r>
        <w:t>Q12. How would you troubleshoot a destination tag that keeps changing unexpectedly?</w:t>
      </w:r>
    </w:p>
    <w:p>
      <w:r>
        <w:t>Monitor the tag online, identify all instructions and routines that write to it, check their execution conditions and order, and determine whether another writer or startup routine is overwriting the value.</w:t>
      </w:r>
    </w:p>
    <w:p>
      <w:pPr>
        <w:pStyle w:val="Heading2"/>
      </w:pPr>
      <w:r>
        <w:t>14. Practical Exercises</w:t>
      </w:r>
    </w:p>
    <w:p>
      <w:r>
        <w:t>Perform these exercises in a PLC simulator or a safe offline test project before applying the logic to a live machine.</w:t>
      </w:r>
    </w:p>
    <w:p>
      <w:pPr>
        <w:pStyle w:val="Heading3"/>
      </w:pPr>
      <w:r>
        <w:t>Exercise 1: Move a batch target</w:t>
      </w:r>
    </w:p>
    <w:p>
      <w:r>
        <w:t>Create these tags:</w:t>
      </w:r>
    </w:p>
    <w:p>
      <w:pPr>
        <w:shd w:val="clear" w:color="auto" w:fill="F4F4F4"/>
        <w:spacing w:before="0" w:after="0" w:line="240" w:lineRule="auto"/>
        <w:ind w:left="216" w:right="216"/>
        <w:jc w:val="left"/>
      </w:pPr>
      <w:r>
        <w:rPr>
          <w:rFonts w:ascii="Consolas" w:hAnsi="Consolas"/>
          <w:color w:val="202020"/>
          <w:sz w:val="18"/>
        </w:rPr>
        <w:t>HMI_Batch_Target : INT</w:t>
      </w:r>
    </w:p>
    <w:p>
      <w:pPr>
        <w:shd w:val="clear" w:color="auto" w:fill="F4F4F4"/>
        <w:spacing w:before="0" w:after="0" w:line="240" w:lineRule="auto"/>
        <w:ind w:left="216" w:right="216"/>
        <w:jc w:val="left"/>
      </w:pPr>
      <w:r>
        <w:rPr>
          <w:rFonts w:ascii="Consolas" w:hAnsi="Consolas"/>
          <w:color w:val="202020"/>
          <w:sz w:val="18"/>
        </w:rPr>
        <w:t>Active_Batch_Target : INT</w:t>
      </w:r>
    </w:p>
    <w:p/>
    <w:p>
      <w:r>
        <w:t>Test the following:</w:t>
      </w:r>
    </w:p>
    <w:p>
      <w:pPr>
        <w:pStyle w:val="ListBullet"/>
      </w:pPr>
      <w:r>
        <w:t xml:space="preserve">Set </w:t>
      </w:r>
      <w:r>
        <w:rPr>
          <w:rFonts w:ascii="Consolas" w:hAnsi="Consolas"/>
          <w:color w:val="333333"/>
          <w:sz w:val="19"/>
          <w:shd w:val="clear" w:color="auto" w:fill="EFEFEF"/>
        </w:rPr>
        <w:t>HMI_Batch_Target</w:t>
      </w:r>
      <w:r>
        <w:t xml:space="preserve"> to </w:t>
      </w:r>
      <w:r>
        <w:rPr>
          <w:rFonts w:ascii="Consolas" w:hAnsi="Consolas"/>
          <w:color w:val="333333"/>
          <w:sz w:val="19"/>
          <w:shd w:val="clear" w:color="auto" w:fill="EFEFEF"/>
        </w:rPr>
        <w:t>500</w:t>
      </w:r>
      <w:r>
        <w:t>.</w:t>
      </w:r>
    </w:p>
    <w:p>
      <w:pPr>
        <w:pStyle w:val="ListBullet"/>
      </w:pPr>
      <w:r>
        <w:t xml:space="preserve">Execute a move into </w:t>
      </w:r>
      <w:r>
        <w:rPr>
          <w:rFonts w:ascii="Consolas" w:hAnsi="Consolas"/>
          <w:color w:val="333333"/>
          <w:sz w:val="19"/>
          <w:shd w:val="clear" w:color="auto" w:fill="EFEFEF"/>
        </w:rPr>
        <w:t>Active_Batch_Target</w:t>
      </w:r>
      <w:r>
        <w:t>.</w:t>
      </w:r>
    </w:p>
    <w:p>
      <w:pPr>
        <w:pStyle w:val="ListBullet"/>
      </w:pPr>
      <w:r>
        <w:t xml:space="preserve">Change the HMI value to </w:t>
      </w:r>
      <w:r>
        <w:rPr>
          <w:rFonts w:ascii="Consolas" w:hAnsi="Consolas"/>
          <w:color w:val="333333"/>
          <w:sz w:val="19"/>
          <w:shd w:val="clear" w:color="auto" w:fill="EFEFEF"/>
        </w:rPr>
        <w:t>600</w:t>
      </w:r>
      <w:r>
        <w:t>.</w:t>
      </w:r>
    </w:p>
    <w:p>
      <w:pPr>
        <w:pStyle w:val="ListBullet"/>
      </w:pPr>
      <w:r>
        <w:t>Observe whether the destination updates again.</w:t>
      </w:r>
    </w:p>
    <w:p>
      <w:pPr>
        <w:pStyle w:val="ListBullet"/>
      </w:pPr>
      <w:r>
        <w:t>Add a validation condition that permits only an acceptable target range.</w:t>
      </w:r>
    </w:p>
    <w:p>
      <w:pPr>
        <w:pStyle w:val="Heading3"/>
      </w:pPr>
      <w:r>
        <w:t>Exercise 2: Copy recipe data</w:t>
      </w:r>
    </w:p>
    <w:p>
      <w:r>
        <w:t>Create a source array and a destination array with several simulated recipe values.</w:t>
      </w:r>
    </w:p>
    <w:p>
      <w:pPr>
        <w:pStyle w:val="ListBullet"/>
      </w:pPr>
      <w:r>
        <w:t>Copy the source into the destination.</w:t>
      </w:r>
    </w:p>
    <w:p>
      <w:pPr>
        <w:pStyle w:val="ListBullet"/>
      </w:pPr>
      <w:r>
        <w:t>Change one source element and verify that the copied destination does not change until the copy executes again.</w:t>
      </w:r>
    </w:p>
    <w:p>
      <w:pPr>
        <w:pStyle w:val="ListBullet"/>
      </w:pPr>
      <w:r>
        <w:t>Test an incorrect copy length in a safe simulator.</w:t>
      </w:r>
    </w:p>
    <w:p>
      <w:pPr>
        <w:pStyle w:val="ListBullet"/>
      </w:pPr>
      <w:r>
        <w:t>Verify the actual length semantics for the chosen PLC platform.</w:t>
      </w:r>
    </w:p>
    <w:p>
      <w:pPr>
        <w:pStyle w:val="Heading3"/>
      </w:pPr>
      <w:r>
        <w:t>Exercise 3: Convert and scale pressure</w:t>
      </w:r>
    </w:p>
    <w:p>
      <w:r>
        <w:t>Create:</w:t>
      </w:r>
    </w:p>
    <w:p>
      <w:pPr>
        <w:shd w:val="clear" w:color="auto" w:fill="F4F4F4"/>
        <w:spacing w:before="0" w:after="0" w:line="240" w:lineRule="auto"/>
        <w:ind w:left="216" w:right="216"/>
        <w:jc w:val="left"/>
      </w:pPr>
      <w:r>
        <w:rPr>
          <w:rFonts w:ascii="Consolas" w:hAnsi="Consolas"/>
          <w:color w:val="202020"/>
          <w:sz w:val="18"/>
        </w:rPr>
        <w:t>RawPressure : INT</w:t>
      </w:r>
    </w:p>
    <w:p>
      <w:pPr>
        <w:shd w:val="clear" w:color="auto" w:fill="F4F4F4"/>
        <w:spacing w:before="0" w:after="0" w:line="240" w:lineRule="auto"/>
        <w:ind w:left="216" w:right="216"/>
        <w:jc w:val="left"/>
      </w:pPr>
      <w:r>
        <w:rPr>
          <w:rFonts w:ascii="Consolas" w:hAnsi="Consolas"/>
          <w:color w:val="202020"/>
          <w:sz w:val="18"/>
        </w:rPr>
        <w:t>RawPressureReal : REAL</w:t>
      </w:r>
    </w:p>
    <w:p>
      <w:pPr>
        <w:shd w:val="clear" w:color="auto" w:fill="F4F4F4"/>
        <w:spacing w:before="0" w:after="0" w:line="240" w:lineRule="auto"/>
        <w:ind w:left="216" w:right="216"/>
        <w:jc w:val="left"/>
      </w:pPr>
      <w:r>
        <w:rPr>
          <w:rFonts w:ascii="Consolas" w:hAnsi="Consolas"/>
          <w:color w:val="202020"/>
          <w:sz w:val="18"/>
        </w:rPr>
        <w:t>PressureBar : REAL</w:t>
      </w:r>
    </w:p>
    <w:p/>
    <w:p>
      <w:r>
        <w:t xml:space="preserve">Use simulated raw values corresponding to the illustrative </w:t>
      </w:r>
      <w:r>
        <w:rPr>
          <w:rFonts w:ascii="Consolas" w:hAnsi="Consolas"/>
          <w:color w:val="333333"/>
          <w:sz w:val="19"/>
          <w:shd w:val="clear" w:color="auto" w:fill="EFEFEF"/>
        </w:rPr>
        <w:t>0</w:t>
      </w:r>
      <w:r>
        <w:t xml:space="preserve"> to </w:t>
      </w:r>
      <w:r>
        <w:rPr>
          <w:rFonts w:ascii="Consolas" w:hAnsi="Consolas"/>
          <w:color w:val="333333"/>
          <w:sz w:val="19"/>
          <w:shd w:val="clear" w:color="auto" w:fill="EFEFEF"/>
        </w:rPr>
        <w:t>27648</w:t>
      </w:r>
      <w:r>
        <w:t xml:space="preserve"> range.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Raw input</w:t>
            </w:r>
          </w:p>
        </w:tc>
        <w:tc>
          <w:tcPr>
            <w:tcW w:type="dxa" w:w="5400"/>
            <w:shd w:val="clear" w:color="auto" w:fill="EEF2F7"/>
          </w:tcPr>
          <w:p>
            <w:pPr>
              <w:spacing w:after="0" w:before="0" w:line="240" w:lineRule="auto"/>
              <w:jc w:val="left"/>
            </w:pPr>
            <w:r>
              <w:rPr>
                <w:b/>
                <w:color w:val="1A2E4A"/>
              </w:rPr>
              <w:t>Expected pressure</w:t>
            </w:r>
          </w:p>
        </w:tc>
      </w:tr>
      <w:tr>
        <w:tc>
          <w:tcPr>
            <w:tcW w:type="dxa" w:w="5400"/>
          </w:tcPr>
          <w:p>
            <w:pPr>
              <w:spacing w:after="0" w:before="0" w:line="240" w:lineRule="auto"/>
              <w:jc w:val="left"/>
            </w:pPr>
            <w:r>
              <w:t>0</w:t>
            </w:r>
          </w:p>
        </w:tc>
        <w:tc>
          <w:tcPr>
            <w:tcW w:type="dxa" w:w="5400"/>
          </w:tcPr>
          <w:p>
            <w:pPr>
              <w:spacing w:after="0" w:before="0" w:line="240" w:lineRule="auto"/>
              <w:jc w:val="left"/>
            </w:pPr>
            <w:r>
              <w:t>0 bar</w:t>
            </w:r>
          </w:p>
        </w:tc>
      </w:tr>
      <w:tr>
        <w:tc>
          <w:tcPr>
            <w:tcW w:type="dxa" w:w="5400"/>
          </w:tcPr>
          <w:p>
            <w:pPr>
              <w:spacing w:after="0" w:before="0" w:line="240" w:lineRule="auto"/>
              <w:jc w:val="left"/>
            </w:pPr>
            <w:r>
              <w:t>6912</w:t>
            </w:r>
          </w:p>
        </w:tc>
        <w:tc>
          <w:tcPr>
            <w:tcW w:type="dxa" w:w="5400"/>
          </w:tcPr>
          <w:p>
            <w:pPr>
              <w:spacing w:after="0" w:before="0" w:line="240" w:lineRule="auto"/>
              <w:jc w:val="left"/>
            </w:pPr>
            <w:r>
              <w:t>2.5 bar</w:t>
            </w:r>
          </w:p>
        </w:tc>
      </w:tr>
      <w:tr>
        <w:tc>
          <w:tcPr>
            <w:tcW w:type="dxa" w:w="5400"/>
          </w:tcPr>
          <w:p>
            <w:pPr>
              <w:spacing w:after="0" w:before="0" w:line="240" w:lineRule="auto"/>
              <w:jc w:val="left"/>
            </w:pPr>
            <w:r>
              <w:t>13824</w:t>
            </w:r>
          </w:p>
        </w:tc>
        <w:tc>
          <w:tcPr>
            <w:tcW w:type="dxa" w:w="5400"/>
          </w:tcPr>
          <w:p>
            <w:pPr>
              <w:spacing w:after="0" w:before="0" w:line="240" w:lineRule="auto"/>
              <w:jc w:val="left"/>
            </w:pPr>
            <w:r>
              <w:t>5 bar</w:t>
            </w:r>
          </w:p>
        </w:tc>
      </w:tr>
      <w:tr>
        <w:tc>
          <w:tcPr>
            <w:tcW w:type="dxa" w:w="5400"/>
          </w:tcPr>
          <w:p>
            <w:pPr>
              <w:spacing w:after="0" w:before="0" w:line="240" w:lineRule="auto"/>
              <w:jc w:val="left"/>
            </w:pPr>
            <w:r>
              <w:t>20736</w:t>
            </w:r>
          </w:p>
        </w:tc>
        <w:tc>
          <w:tcPr>
            <w:tcW w:type="dxa" w:w="5400"/>
          </w:tcPr>
          <w:p>
            <w:pPr>
              <w:spacing w:after="0" w:before="0" w:line="240" w:lineRule="auto"/>
              <w:jc w:val="left"/>
            </w:pPr>
            <w:r>
              <w:t>7.5 bar</w:t>
            </w:r>
          </w:p>
        </w:tc>
      </w:tr>
      <w:tr>
        <w:tc>
          <w:tcPr>
            <w:tcW w:type="dxa" w:w="5400"/>
          </w:tcPr>
          <w:p>
            <w:pPr>
              <w:spacing w:after="0" w:before="0" w:line="240" w:lineRule="auto"/>
              <w:jc w:val="left"/>
            </w:pPr>
            <w:r>
              <w:t>27648</w:t>
            </w:r>
          </w:p>
        </w:tc>
        <w:tc>
          <w:tcPr>
            <w:tcW w:type="dxa" w:w="5400"/>
          </w:tcPr>
          <w:p>
            <w:pPr>
              <w:spacing w:after="0" w:before="0" w:line="240" w:lineRule="auto"/>
              <w:jc w:val="left"/>
            </w:pPr>
            <w:r>
              <w:t>10 bar</w:t>
            </w:r>
          </w:p>
        </w:tc>
      </w:tr>
    </w:tbl>
    <w:p/>
    <w:p>
      <w:r>
        <w:t xml:space="preserve">Test values below </w:t>
      </w:r>
      <w:r>
        <w:rPr>
          <w:rFonts w:ascii="Consolas" w:hAnsi="Consolas"/>
          <w:color w:val="333333"/>
          <w:sz w:val="19"/>
          <w:shd w:val="clear" w:color="auto" w:fill="EFEFEF"/>
        </w:rPr>
        <w:t>0</w:t>
      </w:r>
      <w:r>
        <w:t xml:space="preserve"> and above </w:t>
      </w:r>
      <w:r>
        <w:rPr>
          <w:rFonts w:ascii="Consolas" w:hAnsi="Consolas"/>
          <w:color w:val="333333"/>
          <w:sz w:val="19"/>
          <w:shd w:val="clear" w:color="auto" w:fill="EFEFEF"/>
        </w:rPr>
        <w:t>27648</w:t>
      </w:r>
      <w:r>
        <w:t xml:space="preserve"> as well. Decide how the program should distinguish an invalid sensor value from a valid value that is merely outside the nominal range.</w:t>
      </w:r>
    </w:p>
    <w:p>
      <w:pPr>
        <w:pStyle w:val="Heading3"/>
      </w:pPr>
      <w:r>
        <w:t>Exercise 4: Test execution and retention</w:t>
      </w:r>
    </w:p>
    <w:p>
      <w:pPr>
        <w:pStyle w:val="ListBullet"/>
      </w:pPr>
      <w:r>
        <w:t>Execute a move under a continuously true condition.</w:t>
      </w:r>
    </w:p>
    <w:p>
      <w:pPr>
        <w:pStyle w:val="ListBullet"/>
      </w:pPr>
      <w:r>
        <w:t>Change the source value and observe the destination.</w:t>
      </w:r>
    </w:p>
    <w:p>
      <w:pPr>
        <w:pStyle w:val="ListBullet"/>
      </w:pPr>
      <w:r>
        <w:t>Introduce a second writer in the test project and identify which write determines the final value.</w:t>
      </w:r>
    </w:p>
    <w:p>
      <w:pPr>
        <w:pStyle w:val="ListBullet"/>
      </w:pPr>
      <w:r>
        <w:t>Test restart behavior and inspect the configured retention and initialization logic.</w:t>
      </w:r>
    </w:p>
    <w:p>
      <w:pPr>
        <w:pStyle w:val="Heading2"/>
      </w:pPr>
      <w:r>
        <w:t>15. Final Mental Model</w:t>
      </w:r>
    </w:p>
    <w:p>
      <w:r>
        <w:t>Remember these distinctions:</w:t>
      </w:r>
    </w:p>
    <w:p>
      <w:pPr>
        <w:pStyle w:val="ListBullet"/>
      </w:pPr>
      <w:r>
        <w:t>MOV: Transfer a value into a destination.</w:t>
      </w:r>
    </w:p>
    <w:p>
      <w:pPr>
        <w:pStyle w:val="ListBullet"/>
      </w:pPr>
      <w:r>
        <w:t>COPY: Duplicate a block or collection of data.</w:t>
      </w:r>
    </w:p>
    <w:p>
      <w:pPr>
        <w:pStyle w:val="ListBullet"/>
      </w:pPr>
      <w:r>
        <w:t>CONVERT: Change a value's data type or representation.</w:t>
      </w:r>
    </w:p>
    <w:p>
      <w:pPr>
        <w:pStyle w:val="ListBullet"/>
      </w:pPr>
      <w:r>
        <w:t>SCALE: Change the numerical range or engineering meaning.</w:t>
      </w:r>
    </w:p>
    <w:p>
      <w:pPr>
        <w:pStyle w:val="ListBullet"/>
      </w:pPr>
      <w:r>
        <w:t>VALIDATE: Decide whether a value is acceptable for its intended use.</w:t>
      </w:r>
    </w:p>
    <w:p>
      <w:pPr>
        <w:pStyle w:val="ListBullet"/>
      </w:pPr>
      <w:r>
        <w:t>SYNCHRONIZE: Ensure related data is captured or applied consistently.</w:t>
      </w:r>
    </w:p>
    <w:p>
      <w:r>
        <w:t>A robust PLC program does not simply move data. It moves the correct data, with compatible types, within valid ranges, at the correct time, into a clearly owned destination.</w:t>
      </w:r>
    </w:p>
    <w:p>
      <w:r>
        <w:t>Next topic in your study sequence:</w:t>
      </w:r>
    </w:p>
    <w:p>
      <w:r>
        <w:rPr>
          <w:rFonts w:ascii="Consolas" w:hAnsi="Consolas"/>
          <w:color w:val="333333"/>
          <w:sz w:val="19"/>
          <w:shd w:val="clear" w:color="auto" w:fill="EFEFEF"/>
        </w:rPr>
        <w:t>02_PLAN_WISE_2026\02_INDUSTRY3_0\02_Auto_Tech\01_PLC\06_Program_Structure\01_Tasks_Blocks</w:t>
      </w:r>
    </w:p>
    <w:p>
      <w:r>
        <w:t>01_Tasks_Blocks: Tasks &amp; blocks: Main cycle, OB/FC/FB or routines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Data Move: Move, Copy, Convert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