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02_PLAN_WISE_2026\02_INDUSTRY3_0\02_Auto_Tech\09_Other_Automation\05_RFID\01_Tags</w:t>
      </w:r>
    </w:p>
    <w:p>
      <w:pPr>
        <w:pStyle w:val="Heading1"/>
        <w:pBdr>
          <w:bottom w:val="single" w:sz="6" w:space="6" w:color="1A2E4A"/>
        </w:pBdr>
        <w:spacing w:after="200"/>
      </w:pPr>
      <w:r>
        <w:t>RFID Tags: Passive vs Active, Memory</w:t>
      </w:r>
    </w:p>
    <w:p>
      <w:pPr>
        <w:pStyle w:val="Heading2"/>
      </w:pPr>
      <w:r>
        <w:t>1. What Is RFID?</w:t>
      </w:r>
    </w:p>
    <w:p>
      <w:r>
        <w:t>RFID (Radio Frequency Identification) is a technology that uses radio waves to identify and, depending on the system, read or write information stored in an electronic tag.</w:t>
      </w:r>
    </w:p>
    <w:p>
      <w:r>
        <w:t>An RFID system typically contains:</w:t>
      </w:r>
    </w:p>
    <w:p>
      <w:pPr>
        <w:pStyle w:val="ListBullet"/>
      </w:pPr>
      <w:r>
        <w:t>RFID tag: Attached to a part, tool, fixture, container, vehicle, or product.</w:t>
      </w:r>
    </w:p>
    <w:p>
      <w:pPr>
        <w:pStyle w:val="ListBullet"/>
      </w:pPr>
      <w:r>
        <w:t>RFID reader: Communicates with tags and processes their responses.</w:t>
      </w:r>
    </w:p>
    <w:p>
      <w:pPr>
        <w:pStyle w:val="ListBullet"/>
      </w:pPr>
      <w:r>
        <w:t>Antenna: Transfers radio-frequency energy and signals between the reader and tag.</w:t>
      </w:r>
    </w:p>
    <w:p>
      <w:pPr>
        <w:pStyle w:val="ListBullet"/>
      </w:pPr>
      <w:r>
        <w:t>Controller or host: Processes tag data and connects the identification system to the PLC, database, or manufacturing application.</w:t>
      </w:r>
    </w:p>
    <w:p>
      <w:r>
        <w:t>RFID is used in industrial manufacturing for workpiece identification, tool tracking, fixture identification, material handling, production routing, and traceability.</w:t>
      </w:r>
    </w:p>
    <w:p>
      <w:r>
        <w:t>Unlike a barcode, which requires an optical view of a printed symbol, RFID communicates electronically with a tag. Some RFID systems can read multiple tags within the same interrogation area, subject to the technology, configuration, and operating conditions.</w:t>
      </w:r>
    </w:p>
    <w:p>
      <w:r>
        <w:t>However, RFID does not guarantee unlimited range, reliable reading through every material, or automatic identification of the correct physical object. Tag selection and system design matter.</w:t>
      </w:r>
    </w:p>
    <w:p>
      <w:pPr>
        <w:pStyle w:val="Heading2"/>
      </w:pPr>
      <w:r>
        <w:t>2. Basic RFID Architecture</w:t>
      </w:r>
    </w:p>
    <w:p>
      <w:pPr>
        <w:shd w:val="clear" w:color="auto" w:fill="F4F4F4"/>
        <w:spacing w:before="0" w:after="0" w:line="240" w:lineRule="auto"/>
        <w:ind w:left="216" w:right="216"/>
        <w:jc w:val="left"/>
      </w:pPr>
      <w:r>
        <w:rPr>
          <w:rFonts w:ascii="Consolas" w:hAnsi="Consolas"/>
          <w:color w:val="202020"/>
          <w:sz w:val="18"/>
        </w:rPr>
        <w:t>PLC / Industrial PC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RFID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Antenna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Radio-Frequency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RFID Tag Attached to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Tag Responds with Stored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Decodes Tag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 PLC / Host Processes the Identifier</w:t>
      </w:r>
    </w:p>
    <w:p/>
    <w:p>
      <w:r>
        <w:t>In many industrial systems, the tag stores a unique identifier or application data, while the PLC or host uses that identifier to retrieve the part's production information from a database.</w:t>
      </w:r>
    </w:p>
    <w:p>
      <w:r>
        <w:t>The RFID tag is not necessarily a miniature database containing the complete production history. Often, it stores only an identifier, and the database holds the detailed records.</w:t>
      </w:r>
    </w:p>
    <w:p>
      <w:pPr>
        <w:pStyle w:val="Heading2"/>
      </w:pPr>
      <w:r>
        <w:t>3. Main RFID Frequency Families</w:t>
      </w:r>
    </w:p>
    <w:p>
      <w:r>
        <w:t>RFID systems operate in different frequency ranges. Frequency affects coupling, antenna design, read range, data transfer behavior, and sensitivity to nearby materials.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Frequency family</w:t>
            </w:r>
          </w:p>
        </w:tc>
        <w:tc>
          <w:tcPr>
            <w:tcW w:type="dxa" w:w="2700"/>
            <w:shd w:val="clear" w:color="auto" w:fill="EEF2F7"/>
          </w:tcPr>
          <w:p>
            <w:pPr>
              <w:spacing w:after="0" w:before="0" w:line="240" w:lineRule="auto"/>
              <w:jc w:val="left"/>
            </w:pPr>
            <w:r>
              <w:rPr>
                <w:b/>
                <w:color w:val="1A2E4A"/>
              </w:rPr>
              <w:t>Common frequency</w:t>
            </w:r>
          </w:p>
        </w:tc>
        <w:tc>
          <w:tcPr>
            <w:tcW w:type="dxa" w:w="2700"/>
            <w:shd w:val="clear" w:color="auto" w:fill="EEF2F7"/>
          </w:tcPr>
          <w:p>
            <w:pPr>
              <w:spacing w:after="0" w:before="0" w:line="240" w:lineRule="auto"/>
              <w:jc w:val="left"/>
            </w:pPr>
            <w:r>
              <w:rPr>
                <w:b/>
                <w:color w:val="1A2E4A"/>
              </w:rPr>
              <w:t>Typical characteristics</w:t>
            </w:r>
          </w:p>
        </w:tc>
        <w:tc>
          <w:tcPr>
            <w:tcW w:type="dxa" w:w="2700"/>
            <w:shd w:val="clear" w:color="auto" w:fill="EEF2F7"/>
          </w:tcPr>
          <w:p>
            <w:pPr>
              <w:spacing w:after="0" w:before="0" w:line="240" w:lineRule="auto"/>
              <w:jc w:val="left"/>
            </w:pPr>
            <w:r>
              <w:rPr>
                <w:b/>
                <w:color w:val="1A2E4A"/>
              </w:rPr>
              <w:t>Common applications</w:t>
            </w:r>
          </w:p>
        </w:tc>
      </w:tr>
      <w:tr>
        <w:tc>
          <w:tcPr>
            <w:tcW w:type="dxa" w:w="2700"/>
          </w:tcPr>
          <w:p>
            <w:pPr>
              <w:spacing w:after="0" w:before="0" w:line="240" w:lineRule="auto"/>
              <w:jc w:val="left"/>
            </w:pPr>
            <w:r>
              <w:t>LF</w:t>
            </w:r>
          </w:p>
        </w:tc>
        <w:tc>
          <w:tcPr>
            <w:tcW w:type="dxa" w:w="2700"/>
          </w:tcPr>
          <w:p>
            <w:pPr>
              <w:spacing w:after="0" w:before="0" w:line="240" w:lineRule="auto"/>
              <w:jc w:val="left"/>
            </w:pPr>
            <w:r>
              <w:t>125 kHz or 134.2 kHz</w:t>
            </w:r>
          </w:p>
        </w:tc>
        <w:tc>
          <w:tcPr>
            <w:tcW w:type="dxa" w:w="2700"/>
          </w:tcPr>
          <w:p>
            <w:pPr>
              <w:spacing w:after="0" w:before="0" w:line="240" w:lineRule="auto"/>
              <w:jc w:val="left"/>
            </w:pPr>
            <w:r>
              <w:t>Near-field inductive coupling, short range</w:t>
            </w:r>
          </w:p>
        </w:tc>
        <w:tc>
          <w:tcPr>
            <w:tcW w:type="dxa" w:w="2700"/>
          </w:tcPr>
          <w:p>
            <w:pPr>
              <w:spacing w:after="0" w:before="0" w:line="240" w:lineRule="auto"/>
              <w:jc w:val="left"/>
            </w:pPr>
            <w:r>
              <w:t>Animal identification, specialized industrial identification</w:t>
            </w:r>
          </w:p>
        </w:tc>
      </w:tr>
      <w:tr>
        <w:tc>
          <w:tcPr>
            <w:tcW w:type="dxa" w:w="2700"/>
          </w:tcPr>
          <w:p>
            <w:pPr>
              <w:spacing w:after="0" w:before="0" w:line="240" w:lineRule="auto"/>
              <w:jc w:val="left"/>
            </w:pPr>
            <w:r>
              <w:t>HF</w:t>
            </w:r>
          </w:p>
        </w:tc>
        <w:tc>
          <w:tcPr>
            <w:tcW w:type="dxa" w:w="2700"/>
          </w:tcPr>
          <w:p>
            <w:pPr>
              <w:spacing w:after="0" w:before="0" w:line="240" w:lineRule="auto"/>
              <w:jc w:val="left"/>
            </w:pPr>
            <w:r>
              <w:t>13.56 MHz</w:t>
            </w:r>
          </w:p>
        </w:tc>
        <w:tc>
          <w:tcPr>
            <w:tcW w:type="dxa" w:w="2700"/>
          </w:tcPr>
          <w:p>
            <w:pPr>
              <w:spacing w:after="0" w:before="0" w:line="240" w:lineRule="auto"/>
              <w:jc w:val="left"/>
            </w:pPr>
            <w:r>
              <w:t>Near-field inductive coupling, short-range communication</w:t>
            </w:r>
          </w:p>
        </w:tc>
        <w:tc>
          <w:tcPr>
            <w:tcW w:type="dxa" w:w="2700"/>
          </w:tcPr>
          <w:p>
            <w:pPr>
              <w:spacing w:after="0" w:before="0" w:line="240" w:lineRule="auto"/>
              <w:jc w:val="left"/>
            </w:pPr>
            <w:r>
              <w:t>Access systems, item identification, selected industrial applications</w:t>
            </w:r>
          </w:p>
        </w:tc>
      </w:tr>
      <w:tr>
        <w:tc>
          <w:tcPr>
            <w:tcW w:type="dxa" w:w="2700"/>
          </w:tcPr>
          <w:p>
            <w:pPr>
              <w:spacing w:after="0" w:before="0" w:line="240" w:lineRule="auto"/>
              <w:jc w:val="left"/>
            </w:pPr>
            <w:r>
              <w:t>UHF</w:t>
            </w:r>
          </w:p>
        </w:tc>
        <w:tc>
          <w:tcPr>
            <w:tcW w:type="dxa" w:w="2700"/>
          </w:tcPr>
          <w:p>
            <w:pPr>
              <w:spacing w:after="0" w:before="0" w:line="240" w:lineRule="auto"/>
              <w:jc w:val="left"/>
            </w:pPr>
            <w:r>
              <w:t>Commonly around 860 to 960 MHz, depending on region and system</w:t>
            </w:r>
          </w:p>
        </w:tc>
        <w:tc>
          <w:tcPr>
            <w:tcW w:type="dxa" w:w="2700"/>
          </w:tcPr>
          <w:p>
            <w:pPr>
              <w:spacing w:after="0" w:before="0" w:line="240" w:lineRule="auto"/>
              <w:jc w:val="left"/>
            </w:pPr>
            <w:r>
              <w:t>Often supports longer-range backscatter communication and multi-tag inventory</w:t>
            </w:r>
          </w:p>
        </w:tc>
        <w:tc>
          <w:tcPr>
            <w:tcW w:type="dxa" w:w="2700"/>
          </w:tcPr>
          <w:p>
            <w:pPr>
              <w:spacing w:after="0" w:before="0" w:line="240" w:lineRule="auto"/>
              <w:jc w:val="left"/>
            </w:pPr>
            <w:r>
              <w:t>Logistics, pallet tracking, production identification</w:t>
            </w:r>
          </w:p>
        </w:tc>
      </w:tr>
      <w:tr>
        <w:tc>
          <w:tcPr>
            <w:tcW w:type="dxa" w:w="2700"/>
          </w:tcPr>
          <w:p>
            <w:pPr>
              <w:spacing w:after="0" w:before="0" w:line="240" w:lineRule="auto"/>
              <w:jc w:val="left"/>
            </w:pPr>
            <w:r>
              <w:t>Microwave RFID</w:t>
            </w:r>
          </w:p>
        </w:tc>
        <w:tc>
          <w:tcPr>
            <w:tcW w:type="dxa" w:w="2700"/>
          </w:tcPr>
          <w:p>
            <w:pPr>
              <w:spacing w:after="0" w:before="0" w:line="240" w:lineRule="auto"/>
              <w:jc w:val="left"/>
            </w:pPr>
            <w:r>
              <w:t>Common systems around 2.45 GHz</w:t>
            </w:r>
          </w:p>
        </w:tc>
        <w:tc>
          <w:tcPr>
            <w:tcW w:type="dxa" w:w="2700"/>
          </w:tcPr>
          <w:p>
            <w:pPr>
              <w:spacing w:after="0" w:before="0" w:line="240" w:lineRule="auto"/>
              <w:jc w:val="left"/>
            </w:pPr>
            <w:r>
              <w:t>Higher-frequency radio systems with application-specific propagation characteristics</w:t>
            </w:r>
          </w:p>
        </w:tc>
        <w:tc>
          <w:tcPr>
            <w:tcW w:type="dxa" w:w="2700"/>
          </w:tcPr>
          <w:p>
            <w:pPr>
              <w:spacing w:after="0" w:before="0" w:line="240" w:lineRule="auto"/>
              <w:jc w:val="left"/>
            </w:pPr>
            <w:r>
              <w:t>Specialized identification and tracking</w:t>
            </w:r>
          </w:p>
        </w:tc>
      </w:tr>
    </w:tbl>
    <w:p/>
    <w:p>
      <w:r>
        <w:t>The exact permitted frequencies, channel plans, and transmit-power limits depend on regional regulations and the equipment.</w:t>
      </w:r>
    </w:p>
    <w:p>
      <w:r>
        <w:t>LF, HF, and UHF are not interchangeable tag categories. A tag must be compatible with the reader's frequency and protocol.</w:t>
      </w:r>
    </w:p>
    <w:p>
      <w:pPr>
        <w:pStyle w:val="Heading2"/>
      </w:pPr>
      <w:r>
        <w:t>4. RFID Tag: Internal Architecture</w:t>
      </w:r>
    </w:p>
    <w:p>
      <w:r>
        <w:t>An RFID tag commonly contains an antenna and an integrated circuit (IC). The IC performs the tag's communication and data-management functions.</w:t>
      </w:r>
    </w:p>
    <w:p>
      <w:pPr>
        <w:shd w:val="clear" w:color="auto" w:fill="F4F4F4"/>
        <w:spacing w:before="0" w:after="0" w:line="240" w:lineRule="auto"/>
        <w:ind w:left="216" w:right="216"/>
        <w:jc w:val="left"/>
      </w:pPr>
      <w:r>
        <w:rPr>
          <w:rFonts w:ascii="Consolas" w:hAnsi="Consolas"/>
          <w:color w:val="202020"/>
          <w:sz w:val="18"/>
        </w:rPr>
        <w:t>RFID Tag</w:t>
      </w:r>
    </w:p>
    <w:p>
      <w:pPr>
        <w:shd w:val="clear" w:color="auto" w:fill="F4F4F4"/>
        <w:spacing w:before="0" w:after="0" w:line="240" w:lineRule="auto"/>
        <w:ind w:left="216" w:right="216"/>
        <w:jc w:val="left"/>
      </w:pPr>
      <w:r>
        <w:rPr>
          <w:rFonts w:ascii="Consolas" w:hAnsi="Consolas"/>
          <w:color w:val="202020"/>
          <w:sz w:val="18"/>
        </w:rPr>
        <w:t xml:space="preserve">   ├── Antenna</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Receives RF Energy / Exchanges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Integrated Circuit (IC)</w:t>
      </w:r>
    </w:p>
    <w:p>
      <w:pPr>
        <w:shd w:val="clear" w:color="auto" w:fill="F4F4F4"/>
        <w:spacing w:before="0" w:after="0" w:line="240" w:lineRule="auto"/>
        <w:ind w:left="216" w:right="216"/>
        <w:jc w:val="left"/>
      </w:pPr>
      <w:r>
        <w:rPr>
          <w:rFonts w:ascii="Consolas" w:hAnsi="Consolas"/>
          <w:color w:val="202020"/>
          <w:sz w:val="18"/>
        </w:rPr>
        <w:t xml:space="preserve">          ├── RF Interface</w:t>
      </w:r>
    </w:p>
    <w:p>
      <w:pPr>
        <w:shd w:val="clear" w:color="auto" w:fill="F4F4F4"/>
        <w:spacing w:before="0" w:after="0" w:line="240" w:lineRule="auto"/>
        <w:ind w:left="216" w:right="216"/>
        <w:jc w:val="left"/>
      </w:pPr>
      <w:r>
        <w:rPr>
          <w:rFonts w:ascii="Consolas" w:hAnsi="Consolas"/>
          <w:color w:val="202020"/>
          <w:sz w:val="18"/>
        </w:rPr>
        <w:t xml:space="preserve">          ├── Control Logic</w:t>
      </w:r>
    </w:p>
    <w:p>
      <w:pPr>
        <w:shd w:val="clear" w:color="auto" w:fill="F4F4F4"/>
        <w:spacing w:before="0" w:after="0" w:line="240" w:lineRule="auto"/>
        <w:ind w:left="216" w:right="216"/>
        <w:jc w:val="left"/>
      </w:pPr>
      <w:r>
        <w:rPr>
          <w:rFonts w:ascii="Consolas" w:hAnsi="Consolas"/>
          <w:color w:val="202020"/>
          <w:sz w:val="18"/>
        </w:rPr>
        <w:t xml:space="preserve">          ├── Memory</w:t>
      </w:r>
    </w:p>
    <w:p>
      <w:pPr>
        <w:shd w:val="clear" w:color="auto" w:fill="F4F4F4"/>
        <w:spacing w:before="0" w:after="0" w:line="240" w:lineRule="auto"/>
        <w:ind w:left="216" w:right="216"/>
        <w:jc w:val="left"/>
      </w:pPr>
      <w:r>
        <w:rPr>
          <w:rFonts w:ascii="Consolas" w:hAnsi="Consolas"/>
          <w:color w:val="202020"/>
          <w:sz w:val="18"/>
        </w:rPr>
        <w:t xml:space="preserve">          └── Identification / Protocol Functions</w:t>
      </w:r>
    </w:p>
    <w:p/>
    <w:p>
      <w:r>
        <w:t>Depending on the tag type, the IC may receive operating energy from the reader's field or use an onboard battery.</w:t>
      </w:r>
    </w:p>
    <w:p>
      <w:r>
        <w:t>The antenna is an essential part of the tag. A damaged antenna, unsuitable mounting position, detuning from nearby metal, or incorrect tag orientation can make an otherwise functional IC difficult or impossible to read.</w:t>
      </w:r>
    </w:p>
    <w:p>
      <w:pPr>
        <w:pStyle w:val="Heading2"/>
      </w:pPr>
      <w:r>
        <w:t>5. Passive RFID Tags</w:t>
      </w:r>
    </w:p>
    <w:p>
      <w:r>
        <w:t>A passive RFID tag does not contain an onboard battery for its normal RFID operation. It obtains the energy needed to operate from the reader's electromagnetic field or uses energy transferred through the applicable coupling mechanism.</w:t>
      </w:r>
    </w:p>
    <w:p>
      <w:r>
        <w:t>In common passive UHF systems, the reader transmits an RF signal. The tag harvests some of that energy and communicates by modulating the reflected signal, a process known as backscatter.</w:t>
      </w:r>
    </w:p>
    <w:p>
      <w:r>
        <w:t>In LF and HF systems, inductive coupling is commonly used, with details depending on the specific system.</w:t>
      </w:r>
    </w:p>
    <w:p>
      <w:pPr>
        <w:pStyle w:val="Heading3"/>
      </w:pPr>
      <w:r>
        <w:t>5.1 Operating Principle</w:t>
      </w:r>
    </w:p>
    <w:p>
      <w:pPr>
        <w:tabs>
          <w:tab w:pos="403" w:val="left"/>
        </w:tabs>
        <w:spacing w:after="40" w:line="276" w:lineRule="auto"/>
        <w:ind w:left="403" w:hanging="403"/>
        <w:jc w:val="left"/>
      </w:pPr>
      <w:r>
        <w:rPr>
          <w:color w:val="1A2E4A"/>
        </w:rPr>
        <w:t>1.</w:t>
        <w:tab/>
      </w:r>
      <w:r>
        <w:t>The reader energizes its antenna or transmits an interrogation signal.</w:t>
      </w:r>
    </w:p>
    <w:p>
      <w:pPr>
        <w:tabs>
          <w:tab w:pos="403" w:val="left"/>
        </w:tabs>
        <w:spacing w:after="40" w:line="276" w:lineRule="auto"/>
        <w:ind w:left="403" w:hanging="403"/>
        <w:jc w:val="left"/>
      </w:pPr>
      <w:r>
        <w:rPr>
          <w:color w:val="1A2E4A"/>
        </w:rPr>
        <w:t>2.</w:t>
        <w:tab/>
      </w:r>
      <w:r>
        <w:t>The tag receives sufficient energy or excitation to operate.</w:t>
      </w:r>
    </w:p>
    <w:p>
      <w:pPr>
        <w:tabs>
          <w:tab w:pos="403" w:val="left"/>
        </w:tabs>
        <w:spacing w:after="40" w:line="276" w:lineRule="auto"/>
        <w:ind w:left="403" w:hanging="403"/>
        <w:jc w:val="left"/>
      </w:pPr>
      <w:r>
        <w:rPr>
          <w:color w:val="1A2E4A"/>
        </w:rPr>
        <w:t>3.</w:t>
        <w:tab/>
      </w:r>
      <w:r>
        <w:t>The tag processes the reader's command.</w:t>
      </w:r>
    </w:p>
    <w:p>
      <w:pPr>
        <w:tabs>
          <w:tab w:pos="403" w:val="left"/>
        </w:tabs>
        <w:spacing w:after="40" w:line="276" w:lineRule="auto"/>
        <w:ind w:left="403" w:hanging="403"/>
        <w:jc w:val="left"/>
      </w:pPr>
      <w:r>
        <w:rPr>
          <w:color w:val="1A2E4A"/>
        </w:rPr>
        <w:t>4.</w:t>
        <w:tab/>
      </w:r>
      <w:r>
        <w:t>The tag returns its identifier or requested data using its supported communication mechanism.</w:t>
      </w:r>
    </w:p>
    <w:p>
      <w:pPr>
        <w:tabs>
          <w:tab w:pos="403" w:val="left"/>
        </w:tabs>
        <w:spacing w:after="40" w:line="276" w:lineRule="auto"/>
        <w:ind w:left="403" w:hanging="403"/>
        <w:jc w:val="left"/>
      </w:pPr>
      <w:r>
        <w:rPr>
          <w:color w:val="1A2E4A"/>
        </w:rPr>
        <w:t>5.</w:t>
        <w:tab/>
      </w:r>
      <w:r>
        <w:t>The reader decodes the response and provides the result to the host.</w:t>
      </w:r>
    </w:p>
    <w:p>
      <w:r>
        <w:t>The reader-to-tag and tag-to-reader communication paths are different. The reader must deliver sufficient energy and signal quality to activate and communicate with the tag, while the tag's response must be strong and clear enough for the reader to receive.</w:t>
      </w:r>
    </w:p>
    <w:p>
      <w:pPr>
        <w:pStyle w:val="Heading3"/>
      </w:pPr>
      <w:r>
        <w:t>5.2 Advantages of Passive Tags</w:t>
      </w:r>
    </w:p>
    <w:p>
      <w:pPr>
        <w:pStyle w:val="ListBullet"/>
      </w:pPr>
      <w:r>
        <w:t>No onboard battery is required for normal operation.</w:t>
      </w:r>
    </w:p>
    <w:p>
      <w:pPr>
        <w:pStyle w:val="ListBullet"/>
      </w:pPr>
      <w:r>
        <w:t>Tags can be small and lightweight.</w:t>
      </w:r>
    </w:p>
    <w:p>
      <w:pPr>
        <w:pStyle w:val="ListBullet"/>
      </w:pPr>
      <w:r>
        <w:t>Low-maintenance tag designs are possible.</w:t>
      </w:r>
    </w:p>
    <w:p>
      <w:pPr>
        <w:pStyle w:val="ListBullet"/>
      </w:pPr>
      <w:r>
        <w:t>Unit cost can be relatively low at large volumes.</w:t>
      </w:r>
    </w:p>
    <w:p>
      <w:pPr>
        <w:pStyle w:val="ListBullet"/>
      </w:pPr>
      <w:r>
        <w:t>Tags can be integrated into labels, cards, tools, containers, and industrial components.</w:t>
      </w:r>
    </w:p>
    <w:p>
      <w:pPr>
        <w:pStyle w:val="ListBullet"/>
      </w:pPr>
      <w:r>
        <w:t>Some passive systems support multiple-tag inventory operations.</w:t>
      </w:r>
    </w:p>
    <w:p>
      <w:pPr>
        <w:pStyle w:val="Heading3"/>
      </w:pPr>
      <w:r>
        <w:t>5.3 Limitations of Passive Tags</w:t>
      </w:r>
    </w:p>
    <w:p>
      <w:pPr>
        <w:pStyle w:val="ListBullet"/>
      </w:pPr>
      <w:r>
        <w:t>Read performance depends on the reader's field and the tag's response capability.</w:t>
      </w:r>
    </w:p>
    <w:p>
      <w:pPr>
        <w:pStyle w:val="ListBullet"/>
      </w:pPr>
      <w:r>
        <w:t>Read range is sensitive to tag design, antenna alignment, reader power, and environmental conditions.</w:t>
      </w:r>
    </w:p>
    <w:p>
      <w:pPr>
        <w:pStyle w:val="ListBullet"/>
      </w:pPr>
      <w:r>
        <w:t>Metal and liquid can significantly affect some tag designs.</w:t>
      </w:r>
    </w:p>
    <w:p>
      <w:pPr>
        <w:pStyle w:val="ListBullet"/>
      </w:pPr>
      <w:r>
        <w:t>Tags generally cannot perform continuous autonomous reporting without an external energy source.</w:t>
      </w:r>
    </w:p>
    <w:p>
      <w:pPr>
        <w:pStyle w:val="ListBullet"/>
      </w:pPr>
      <w:r>
        <w:t>A tag may be unreadable if its antenna is damaged or badly detuned.</w:t>
      </w:r>
    </w:p>
    <w:p>
      <w:pPr>
        <w:pStyle w:val="Heading3"/>
      </w:pPr>
      <w:r>
        <w:t>5.4 Typical Applications</w:t>
      </w:r>
    </w:p>
    <w:p>
      <w:pPr>
        <w:pStyle w:val="ListBullet"/>
      </w:pPr>
      <w:r>
        <w:t>Workpiece identification at an assembly station.</w:t>
      </w:r>
    </w:p>
    <w:p>
      <w:pPr>
        <w:pStyle w:val="ListBullet"/>
      </w:pPr>
      <w:r>
        <w:t>Returnable container tracking.</w:t>
      </w:r>
    </w:p>
    <w:p>
      <w:pPr>
        <w:pStyle w:val="ListBullet"/>
      </w:pPr>
      <w:r>
        <w:t>Pallet and tote identification.</w:t>
      </w:r>
    </w:p>
    <w:p>
      <w:pPr>
        <w:pStyle w:val="ListBullet"/>
      </w:pPr>
      <w:r>
        <w:t>Tool and fixture identification.</w:t>
      </w:r>
    </w:p>
    <w:p>
      <w:pPr>
        <w:pStyle w:val="ListBullet"/>
      </w:pPr>
      <w:r>
        <w:t>Product traceability.</w:t>
      </w:r>
    </w:p>
    <w:p>
      <w:pPr>
        <w:pStyle w:val="ListBullet"/>
      </w:pPr>
      <w:r>
        <w:t>Warehouse inventory.</w:t>
      </w:r>
    </w:p>
    <w:p>
      <w:pPr>
        <w:pStyle w:val="Heading2"/>
      </w:pPr>
      <w:r>
        <w:t>6. Active RFID Tags</w:t>
      </w:r>
    </w:p>
    <w:p>
      <w:r>
        <w:t>An active RFID tag contains an onboard battery that powers its electronics and, depending on the design, its RF transmission.</w:t>
      </w:r>
    </w:p>
    <w:p>
      <w:r>
        <w:t>Some active tags transmit periodically or when an event occurs. Others respond to reader interrogation while using the battery to power their electronics. The exact operating model depends on the system.</w:t>
      </w:r>
    </w:p>
    <w:p>
      <w:pPr>
        <w:pStyle w:val="Heading3"/>
      </w:pPr>
      <w:r>
        <w:t>6.1 Operating Principle</w:t>
      </w:r>
    </w:p>
    <w:p>
      <w:pPr>
        <w:tabs>
          <w:tab w:pos="403" w:val="left"/>
        </w:tabs>
        <w:spacing w:after="40" w:line="276" w:lineRule="auto"/>
        <w:ind w:left="403" w:hanging="403"/>
        <w:jc w:val="left"/>
      </w:pPr>
      <w:r>
        <w:rPr>
          <w:color w:val="1A2E4A"/>
        </w:rPr>
        <w:t>1.</w:t>
        <w:tab/>
      </w:r>
      <w:r>
        <w:t>The tag's battery powers its electronic circuitry.</w:t>
      </w:r>
    </w:p>
    <w:p>
      <w:pPr>
        <w:tabs>
          <w:tab w:pos="403" w:val="left"/>
        </w:tabs>
        <w:spacing w:after="40" w:line="276" w:lineRule="auto"/>
        <w:ind w:left="403" w:hanging="403"/>
        <w:jc w:val="left"/>
      </w:pPr>
      <w:r>
        <w:rPr>
          <w:color w:val="1A2E4A"/>
        </w:rPr>
        <w:t>2.</w:t>
        <w:tab/>
      </w:r>
      <w:r>
        <w:t>The tag transmits or responds according to its configured protocol.</w:t>
      </w:r>
    </w:p>
    <w:p>
      <w:pPr>
        <w:tabs>
          <w:tab w:pos="403" w:val="left"/>
        </w:tabs>
        <w:spacing w:after="40" w:line="276" w:lineRule="auto"/>
        <w:ind w:left="403" w:hanging="403"/>
        <w:jc w:val="left"/>
      </w:pPr>
      <w:r>
        <w:rPr>
          <w:color w:val="1A2E4A"/>
        </w:rPr>
        <w:t>3.</w:t>
        <w:tab/>
      </w:r>
      <w:r>
        <w:t>A compatible reader or receiver detects the signal.</w:t>
      </w:r>
    </w:p>
    <w:p>
      <w:pPr>
        <w:tabs>
          <w:tab w:pos="403" w:val="left"/>
        </w:tabs>
        <w:spacing w:after="40" w:line="276" w:lineRule="auto"/>
        <w:ind w:left="403" w:hanging="403"/>
        <w:jc w:val="left"/>
      </w:pPr>
      <w:r>
        <w:rPr>
          <w:color w:val="1A2E4A"/>
        </w:rPr>
        <w:t>4.</w:t>
        <w:tab/>
      </w:r>
      <w:r>
        <w:t>The system decodes the identifier or available data.</w:t>
      </w:r>
    </w:p>
    <w:p>
      <w:pPr>
        <w:tabs>
          <w:tab w:pos="403" w:val="left"/>
        </w:tabs>
        <w:spacing w:after="40" w:line="276" w:lineRule="auto"/>
        <w:ind w:left="403" w:hanging="403"/>
        <w:jc w:val="left"/>
      </w:pPr>
      <w:r>
        <w:rPr>
          <w:color w:val="1A2E4A"/>
        </w:rPr>
        <w:t>5.</w:t>
        <w:tab/>
      </w:r>
      <w:r>
        <w:t>The host associates the received data with the relevant asset or process.</w:t>
      </w:r>
    </w:p>
    <w:p>
      <w:r>
        <w:t>Active RFID should not be confused with every battery-assisted RFID technology. Battery-assisted passive (BAP) tags use a battery to support tag electronics but may still communicate using a backscatter mechanism rather than an active transmitter.</w:t>
      </w:r>
    </w:p>
    <w:p>
      <w:pPr>
        <w:pStyle w:val="Heading3"/>
      </w:pPr>
      <w:r>
        <w:t>6.2 Advantages of Active Tags</w:t>
      </w:r>
    </w:p>
    <w:p>
      <w:pPr>
        <w:pStyle w:val="ListBullet"/>
      </w:pPr>
      <w:r>
        <w:t>Can support longer communication ranges in suitable systems.</w:t>
      </w:r>
    </w:p>
    <w:p>
      <w:pPr>
        <w:pStyle w:val="ListBullet"/>
      </w:pPr>
      <w:r>
        <w:t>Can power more capable electronics.</w:t>
      </w:r>
    </w:p>
    <w:p>
      <w:pPr>
        <w:pStyle w:val="ListBullet"/>
      </w:pPr>
      <w:r>
        <w:t>May support sensors, event reporting, or periodic transmissions.</w:t>
      </w:r>
    </w:p>
    <w:p>
      <w:pPr>
        <w:pStyle w:val="ListBullet"/>
      </w:pPr>
      <w:r>
        <w:t>Can be useful for tracking mobile assets over large areas.</w:t>
      </w:r>
    </w:p>
    <w:p>
      <w:pPr>
        <w:pStyle w:val="ListBullet"/>
      </w:pPr>
      <w:r>
        <w:t>May communicate without relying entirely on harvested reader energy.</w:t>
      </w:r>
    </w:p>
    <w:p>
      <w:pPr>
        <w:pStyle w:val="Heading3"/>
      </w:pPr>
      <w:r>
        <w:t>6.3 Limitations of Active Tags</w:t>
      </w:r>
    </w:p>
    <w:p>
      <w:pPr>
        <w:pStyle w:val="ListBullet"/>
      </w:pPr>
      <w:r>
        <w:t>Batteries require monitoring and eventual replacement or recharging.</w:t>
      </w:r>
    </w:p>
    <w:p>
      <w:pPr>
        <w:pStyle w:val="ListBullet"/>
      </w:pPr>
      <w:r>
        <w:t>Tags are generally larger than comparable passive tags.</w:t>
      </w:r>
    </w:p>
    <w:p>
      <w:pPr>
        <w:pStyle w:val="ListBullet"/>
      </w:pPr>
      <w:r>
        <w:t>Unit cost is often higher.</w:t>
      </w:r>
    </w:p>
    <w:p>
      <w:pPr>
        <w:pStyle w:val="ListBullet"/>
      </w:pPr>
      <w:r>
        <w:t>Battery condition and environmental temperature may affect operation.</w:t>
      </w:r>
    </w:p>
    <w:p>
      <w:pPr>
        <w:pStyle w:val="ListBullet"/>
      </w:pPr>
      <w:r>
        <w:t>Transmitting devices require appropriate radio-frequency and regulatory compliance.</w:t>
      </w:r>
    </w:p>
    <w:p>
      <w:pPr>
        <w:pStyle w:val="ListBullet"/>
      </w:pPr>
      <w:r>
        <w:t>Battery failure can cause loss of identification or telemetry.</w:t>
      </w:r>
    </w:p>
    <w:p>
      <w:pPr>
        <w:pStyle w:val="Heading3"/>
      </w:pPr>
      <w:r>
        <w:t>6.4 Typical Applications</w:t>
      </w:r>
    </w:p>
    <w:p>
      <w:pPr>
        <w:pStyle w:val="ListBullet"/>
      </w:pPr>
      <w:r>
        <w:t>Large asset tracking.</w:t>
      </w:r>
    </w:p>
    <w:p>
      <w:pPr>
        <w:pStyle w:val="ListBullet"/>
      </w:pPr>
      <w:r>
        <w:t>Yard and vehicle tracking.</w:t>
      </w:r>
    </w:p>
    <w:p>
      <w:pPr>
        <w:pStyle w:val="ListBullet"/>
      </w:pPr>
      <w:r>
        <w:t>Specialized industrial equipment monitoring.</w:t>
      </w:r>
    </w:p>
    <w:p>
      <w:pPr>
        <w:pStyle w:val="ListBullet"/>
      </w:pPr>
      <w:r>
        <w:t>Applications requiring battery-powered sensing or periodic reporting.</w:t>
      </w:r>
    </w:p>
    <w:p>
      <w:pPr>
        <w:pStyle w:val="ListBullet"/>
      </w:pPr>
      <w:r>
        <w:t>Long-range identification systems designed around active tags.</w:t>
      </w:r>
    </w:p>
    <w:p>
      <w:r>
        <w:t>Active RFID is not automatically the best choice whenever longer range is needed. The total cost, battery maintenance, reader infrastructure, radio environment, and required response behavior must all be considered.</w:t>
      </w:r>
    </w:p>
    <w:p>
      <w:pPr>
        <w:pStyle w:val="Heading2"/>
      </w:pPr>
      <w:r>
        <w:t>7. Passive vs Active vs Battery-Assisted Passive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Passive RFID</w:t>
            </w:r>
          </w:p>
        </w:tc>
        <w:tc>
          <w:tcPr>
            <w:tcW w:type="dxa" w:w="2700"/>
            <w:shd w:val="clear" w:color="auto" w:fill="EEF2F7"/>
          </w:tcPr>
          <w:p>
            <w:pPr>
              <w:spacing w:after="0" w:before="0" w:line="240" w:lineRule="auto"/>
              <w:jc w:val="left"/>
            </w:pPr>
            <w:r>
              <w:rPr>
                <w:b/>
                <w:color w:val="1A2E4A"/>
              </w:rPr>
              <w:t>Active RFID</w:t>
            </w:r>
          </w:p>
        </w:tc>
        <w:tc>
          <w:tcPr>
            <w:tcW w:type="dxa" w:w="2700"/>
            <w:shd w:val="clear" w:color="auto" w:fill="EEF2F7"/>
          </w:tcPr>
          <w:p>
            <w:pPr>
              <w:spacing w:after="0" w:before="0" w:line="240" w:lineRule="auto"/>
              <w:jc w:val="left"/>
            </w:pPr>
            <w:r>
              <w:rPr>
                <w:b/>
                <w:color w:val="1A2E4A"/>
              </w:rPr>
              <w:t>Battery-assisted passive</w:t>
            </w:r>
          </w:p>
        </w:tc>
      </w:tr>
      <w:tr>
        <w:tc>
          <w:tcPr>
            <w:tcW w:type="dxa" w:w="2700"/>
          </w:tcPr>
          <w:p>
            <w:pPr>
              <w:spacing w:after="0" w:before="0" w:line="240" w:lineRule="auto"/>
              <w:jc w:val="left"/>
            </w:pPr>
            <w:r>
              <w:t>Onboard battery</w:t>
            </w:r>
          </w:p>
        </w:tc>
        <w:tc>
          <w:tcPr>
            <w:tcW w:type="dxa" w:w="2700"/>
          </w:tcPr>
          <w:p>
            <w:pPr>
              <w:spacing w:after="0" w:before="0" w:line="240" w:lineRule="auto"/>
              <w:jc w:val="left"/>
            </w:pPr>
            <w:r>
              <w:t>No</w:t>
            </w:r>
          </w:p>
        </w:tc>
        <w:tc>
          <w:tcPr>
            <w:tcW w:type="dxa" w:w="2700"/>
          </w:tcPr>
          <w:p>
            <w:pPr>
              <w:spacing w:after="0" w:before="0" w:line="240" w:lineRule="auto"/>
              <w:jc w:val="left"/>
            </w:pPr>
            <w:r>
              <w:t>Yes</w:t>
            </w:r>
          </w:p>
        </w:tc>
        <w:tc>
          <w:tcPr>
            <w:tcW w:type="dxa" w:w="2700"/>
          </w:tcPr>
          <w:p>
            <w:pPr>
              <w:spacing w:after="0" w:before="0" w:line="240" w:lineRule="auto"/>
              <w:jc w:val="left"/>
            </w:pPr>
            <w:r>
              <w:t>Yes</w:t>
            </w:r>
          </w:p>
        </w:tc>
      </w:tr>
      <w:tr>
        <w:tc>
          <w:tcPr>
            <w:tcW w:type="dxa" w:w="2700"/>
          </w:tcPr>
          <w:p>
            <w:pPr>
              <w:spacing w:after="0" w:before="0" w:line="240" w:lineRule="auto"/>
              <w:jc w:val="left"/>
            </w:pPr>
            <w:r>
              <w:t>Energy for tag electronics</w:t>
            </w:r>
          </w:p>
        </w:tc>
        <w:tc>
          <w:tcPr>
            <w:tcW w:type="dxa" w:w="2700"/>
          </w:tcPr>
          <w:p>
            <w:pPr>
              <w:spacing w:after="0" w:before="0" w:line="240" w:lineRule="auto"/>
              <w:jc w:val="left"/>
            </w:pPr>
            <w:r>
              <w:t>Harvested from reader field or transferred by coupling</w:t>
            </w:r>
          </w:p>
        </w:tc>
        <w:tc>
          <w:tcPr>
            <w:tcW w:type="dxa" w:w="2700"/>
          </w:tcPr>
          <w:p>
            <w:pPr>
              <w:spacing w:after="0" w:before="0" w:line="240" w:lineRule="auto"/>
              <w:jc w:val="left"/>
            </w:pPr>
            <w:r>
              <w:t>Supplied by battery</w:t>
            </w:r>
          </w:p>
        </w:tc>
        <w:tc>
          <w:tcPr>
            <w:tcW w:type="dxa" w:w="2700"/>
          </w:tcPr>
          <w:p>
            <w:pPr>
              <w:spacing w:after="0" w:before="0" w:line="240" w:lineRule="auto"/>
              <w:jc w:val="left"/>
            </w:pPr>
            <w:r>
              <w:t>Battery supports electronics</w:t>
            </w:r>
          </w:p>
        </w:tc>
      </w:tr>
      <w:tr>
        <w:tc>
          <w:tcPr>
            <w:tcW w:type="dxa" w:w="2700"/>
          </w:tcPr>
          <w:p>
            <w:pPr>
              <w:spacing w:after="0" w:before="0" w:line="240" w:lineRule="auto"/>
              <w:jc w:val="left"/>
            </w:pPr>
            <w:r>
              <w:t>Communication behavior</w:t>
            </w:r>
          </w:p>
        </w:tc>
        <w:tc>
          <w:tcPr>
            <w:tcW w:type="dxa" w:w="2700"/>
          </w:tcPr>
          <w:p>
            <w:pPr>
              <w:spacing w:after="0" w:before="0" w:line="240" w:lineRule="auto"/>
              <w:jc w:val="left"/>
            </w:pPr>
            <w:r>
              <w:t>Commonly backscatter or inductive response</w:t>
            </w:r>
          </w:p>
        </w:tc>
        <w:tc>
          <w:tcPr>
            <w:tcW w:type="dxa" w:w="2700"/>
          </w:tcPr>
          <w:p>
            <w:pPr>
              <w:spacing w:after="0" w:before="0" w:line="240" w:lineRule="auto"/>
              <w:jc w:val="left"/>
            </w:pPr>
            <w:r>
              <w:t>May use an active transmitter or system-specific response method</w:t>
            </w:r>
          </w:p>
        </w:tc>
        <w:tc>
          <w:tcPr>
            <w:tcW w:type="dxa" w:w="2700"/>
          </w:tcPr>
          <w:p>
            <w:pPr>
              <w:spacing w:after="0" w:before="0" w:line="240" w:lineRule="auto"/>
              <w:jc w:val="left"/>
            </w:pPr>
            <w:r>
              <w:t>Commonly backscatter or the applicable passive-style response</w:t>
            </w:r>
          </w:p>
        </w:tc>
      </w:tr>
      <w:tr>
        <w:tc>
          <w:tcPr>
            <w:tcW w:type="dxa" w:w="2700"/>
          </w:tcPr>
          <w:p>
            <w:pPr>
              <w:spacing w:after="0" w:before="0" w:line="240" w:lineRule="auto"/>
              <w:jc w:val="left"/>
            </w:pPr>
            <w:r>
              <w:t>Typical range</w:t>
            </w:r>
          </w:p>
        </w:tc>
        <w:tc>
          <w:tcPr>
            <w:tcW w:type="dxa" w:w="2700"/>
          </w:tcPr>
          <w:p>
            <w:pPr>
              <w:spacing w:after="0" w:before="0" w:line="240" w:lineRule="auto"/>
              <w:jc w:val="left"/>
            </w:pPr>
            <w:r>
              <w:t>Short to longer range depending on frequency and system</w:t>
            </w:r>
          </w:p>
        </w:tc>
        <w:tc>
          <w:tcPr>
            <w:tcW w:type="dxa" w:w="2700"/>
          </w:tcPr>
          <w:p>
            <w:pPr>
              <w:spacing w:after="0" w:before="0" w:line="240" w:lineRule="auto"/>
              <w:jc w:val="left"/>
            </w:pPr>
            <w:r>
              <w:t>Often designed for longer range</w:t>
            </w:r>
          </w:p>
        </w:tc>
        <w:tc>
          <w:tcPr>
            <w:tcW w:type="dxa" w:w="2700"/>
          </w:tcPr>
          <w:p>
            <w:pPr>
              <w:spacing w:after="0" w:before="0" w:line="240" w:lineRule="auto"/>
              <w:jc w:val="left"/>
            </w:pPr>
            <w:r>
              <w:t>Depends on frequency, design, and reader</w:t>
            </w:r>
          </w:p>
        </w:tc>
      </w:tr>
      <w:tr>
        <w:tc>
          <w:tcPr>
            <w:tcW w:type="dxa" w:w="2700"/>
          </w:tcPr>
          <w:p>
            <w:pPr>
              <w:spacing w:after="0" w:before="0" w:line="240" w:lineRule="auto"/>
              <w:jc w:val="left"/>
            </w:pPr>
            <w:r>
              <w:t>Tag size</w:t>
            </w:r>
          </w:p>
        </w:tc>
        <w:tc>
          <w:tcPr>
            <w:tcW w:type="dxa" w:w="2700"/>
          </w:tcPr>
          <w:p>
            <w:pPr>
              <w:spacing w:after="0" w:before="0" w:line="240" w:lineRule="auto"/>
              <w:jc w:val="left"/>
            </w:pPr>
            <w:r>
              <w:t>Often small</w:t>
            </w:r>
          </w:p>
        </w:tc>
        <w:tc>
          <w:tcPr>
            <w:tcW w:type="dxa" w:w="2700"/>
          </w:tcPr>
          <w:p>
            <w:pPr>
              <w:spacing w:after="0" w:before="0" w:line="240" w:lineRule="auto"/>
              <w:jc w:val="left"/>
            </w:pPr>
            <w:r>
              <w:t>Often larger</w:t>
            </w:r>
          </w:p>
        </w:tc>
        <w:tc>
          <w:tcPr>
            <w:tcW w:type="dxa" w:w="2700"/>
          </w:tcPr>
          <w:p>
            <w:pPr>
              <w:spacing w:after="0" w:before="0" w:line="240" w:lineRule="auto"/>
              <w:jc w:val="left"/>
            </w:pPr>
            <w:r>
              <w:t>Usually larger than comparable battery-free tags</w:t>
            </w:r>
          </w:p>
        </w:tc>
      </w:tr>
      <w:tr>
        <w:tc>
          <w:tcPr>
            <w:tcW w:type="dxa" w:w="2700"/>
          </w:tcPr>
          <w:p>
            <w:pPr>
              <w:spacing w:after="0" w:before="0" w:line="240" w:lineRule="auto"/>
              <w:jc w:val="left"/>
            </w:pPr>
            <w:r>
              <w:t>Maintenance</w:t>
            </w:r>
          </w:p>
        </w:tc>
        <w:tc>
          <w:tcPr>
            <w:tcW w:type="dxa" w:w="2700"/>
          </w:tcPr>
          <w:p>
            <w:pPr>
              <w:spacing w:after="0" w:before="0" w:line="240" w:lineRule="auto"/>
              <w:jc w:val="left"/>
            </w:pPr>
            <w:r>
              <w:t>Usually minimal</w:t>
            </w:r>
          </w:p>
        </w:tc>
        <w:tc>
          <w:tcPr>
            <w:tcW w:type="dxa" w:w="2700"/>
          </w:tcPr>
          <w:p>
            <w:pPr>
              <w:spacing w:after="0" w:before="0" w:line="240" w:lineRule="auto"/>
              <w:jc w:val="left"/>
            </w:pPr>
            <w:r>
              <w:t>Battery maintenance required</w:t>
            </w:r>
          </w:p>
        </w:tc>
        <w:tc>
          <w:tcPr>
            <w:tcW w:type="dxa" w:w="2700"/>
          </w:tcPr>
          <w:p>
            <w:pPr>
              <w:spacing w:after="0" w:before="0" w:line="240" w:lineRule="auto"/>
              <w:jc w:val="left"/>
            </w:pPr>
            <w:r>
              <w:t>Battery maintenance required</w:t>
            </w:r>
          </w:p>
        </w:tc>
      </w:tr>
      <w:tr>
        <w:tc>
          <w:tcPr>
            <w:tcW w:type="dxa" w:w="2700"/>
          </w:tcPr>
          <w:p>
            <w:pPr>
              <w:spacing w:after="0" w:before="0" w:line="240" w:lineRule="auto"/>
              <w:jc w:val="left"/>
            </w:pPr>
            <w:r>
              <w:t>Unit cost</w:t>
            </w:r>
          </w:p>
        </w:tc>
        <w:tc>
          <w:tcPr>
            <w:tcW w:type="dxa" w:w="2700"/>
          </w:tcPr>
          <w:p>
            <w:pPr>
              <w:spacing w:after="0" w:before="0" w:line="240" w:lineRule="auto"/>
              <w:jc w:val="left"/>
            </w:pPr>
            <w:r>
              <w:t>Often lower</w:t>
            </w:r>
          </w:p>
        </w:tc>
        <w:tc>
          <w:tcPr>
            <w:tcW w:type="dxa" w:w="2700"/>
          </w:tcPr>
          <w:p>
            <w:pPr>
              <w:spacing w:after="0" w:before="0" w:line="240" w:lineRule="auto"/>
              <w:jc w:val="left"/>
            </w:pPr>
            <w:r>
              <w:t>Often higher</w:t>
            </w:r>
          </w:p>
        </w:tc>
        <w:tc>
          <w:tcPr>
            <w:tcW w:type="dxa" w:w="2700"/>
          </w:tcPr>
          <w:p>
            <w:pPr>
              <w:spacing w:after="0" w:before="0" w:line="240" w:lineRule="auto"/>
              <w:jc w:val="left"/>
            </w:pPr>
            <w:r>
              <w:t>Usually higher than comparable passive tags</w:t>
            </w:r>
          </w:p>
        </w:tc>
      </w:tr>
      <w:tr>
        <w:tc>
          <w:tcPr>
            <w:tcW w:type="dxa" w:w="2700"/>
          </w:tcPr>
          <w:p>
            <w:pPr>
              <w:spacing w:after="0" w:before="0" w:line="240" w:lineRule="auto"/>
              <w:jc w:val="left"/>
            </w:pPr>
            <w:r>
              <w:t>Sensor support</w:t>
            </w:r>
          </w:p>
        </w:tc>
        <w:tc>
          <w:tcPr>
            <w:tcW w:type="dxa" w:w="2700"/>
          </w:tcPr>
          <w:p>
            <w:pPr>
              <w:spacing w:after="0" w:before="0" w:line="240" w:lineRule="auto"/>
              <w:jc w:val="left"/>
            </w:pPr>
            <w:r>
              <w:t>Possible in selected designs</w:t>
            </w:r>
          </w:p>
        </w:tc>
        <w:tc>
          <w:tcPr>
            <w:tcW w:type="dxa" w:w="2700"/>
          </w:tcPr>
          <w:p>
            <w:pPr>
              <w:spacing w:after="0" w:before="0" w:line="240" w:lineRule="auto"/>
              <w:jc w:val="left"/>
            </w:pPr>
            <w:r>
              <w:t>Often suitable for battery-powered sensing</w:t>
            </w:r>
          </w:p>
        </w:tc>
        <w:tc>
          <w:tcPr>
            <w:tcW w:type="dxa" w:w="2700"/>
          </w:tcPr>
          <w:p>
            <w:pPr>
              <w:spacing w:after="0" w:before="0" w:line="240" w:lineRule="auto"/>
              <w:jc w:val="left"/>
            </w:pPr>
            <w:r>
              <w:t>Can support selected sensor functions</w:t>
            </w:r>
          </w:p>
        </w:tc>
      </w:tr>
      <w:tr>
        <w:tc>
          <w:tcPr>
            <w:tcW w:type="dxa" w:w="2700"/>
          </w:tcPr>
          <w:p>
            <w:pPr>
              <w:spacing w:after="0" w:before="0" w:line="240" w:lineRule="auto"/>
              <w:jc w:val="left"/>
            </w:pPr>
            <w:r>
              <w:t>Common industrial role</w:t>
            </w:r>
          </w:p>
        </w:tc>
        <w:tc>
          <w:tcPr>
            <w:tcW w:type="dxa" w:w="2700"/>
          </w:tcPr>
          <w:p>
            <w:pPr>
              <w:spacing w:after="0" w:before="0" w:line="240" w:lineRule="auto"/>
              <w:jc w:val="left"/>
            </w:pPr>
            <w:r>
              <w:t>Part and container identification</w:t>
            </w:r>
          </w:p>
        </w:tc>
        <w:tc>
          <w:tcPr>
            <w:tcW w:type="dxa" w:w="2700"/>
          </w:tcPr>
          <w:p>
            <w:pPr>
              <w:spacing w:after="0" w:before="0" w:line="240" w:lineRule="auto"/>
              <w:jc w:val="left"/>
            </w:pPr>
            <w:r>
              <w:t>Asset tracking and telemetry</w:t>
            </w:r>
          </w:p>
        </w:tc>
        <w:tc>
          <w:tcPr>
            <w:tcW w:type="dxa" w:w="2700"/>
          </w:tcPr>
          <w:p>
            <w:pPr>
              <w:spacing w:after="0" w:before="0" w:line="240" w:lineRule="auto"/>
              <w:jc w:val="left"/>
            </w:pPr>
            <w:r>
              <w:t>Applications needing battery-supported tag functions</w:t>
            </w:r>
          </w:p>
        </w:tc>
      </w:tr>
    </w:tbl>
    <w:p/>
    <w:p>
      <w:r>
        <w:t>Read range is not determined by whether a tag is active or passive alone. Frequency, antenna design, regulatory limits, reader sensitivity, orientation, materials, and installation conditions all contribute.</w:t>
      </w:r>
    </w:p>
    <w:p>
      <w:pPr>
        <w:pStyle w:val="Heading2"/>
      </w:pPr>
      <w:r>
        <w:t>8. RFID Memory Fundamentals</w:t>
      </w:r>
    </w:p>
    <w:p>
      <w:r>
        <w:t>RFID memory stores information in the tag's integrated circuit. The available memory organization depends on the tag IC and communication protocol.</w:t>
      </w:r>
    </w:p>
    <w:p>
      <w:r>
        <w:t>Not all RFID tags support the same memory banks, capacities, access rules, or write operations.</w:t>
      </w:r>
    </w:p>
    <w:p>
      <w:pPr>
        <w:pStyle w:val="Heading3"/>
      </w:pPr>
      <w:r>
        <w:t>8.1 Common Types of Stored Information</w:t>
      </w:r>
    </w:p>
    <w:p>
      <w:r>
        <w:t>A tag may store:</w:t>
      </w:r>
    </w:p>
    <w:p>
      <w:pPr>
        <w:pStyle w:val="ListBullet"/>
      </w:pPr>
      <w:r>
        <w:t>A tag identifier.</w:t>
      </w:r>
    </w:p>
    <w:p>
      <w:pPr>
        <w:pStyle w:val="ListBullet"/>
      </w:pPr>
      <w:r>
        <w:t>An Electronic Product Code (EPC) or similar standardized identifier.</w:t>
      </w:r>
    </w:p>
    <w:p>
      <w:pPr>
        <w:pStyle w:val="ListBullet"/>
      </w:pPr>
      <w:r>
        <w:t>A manufacturer or product identifier.</w:t>
      </w:r>
    </w:p>
    <w:p>
      <w:pPr>
        <w:pStyle w:val="ListBullet"/>
      </w:pPr>
      <w:r>
        <w:t>A serial number.</w:t>
      </w:r>
    </w:p>
    <w:p>
      <w:pPr>
        <w:pStyle w:val="ListBullet"/>
      </w:pPr>
      <w:r>
        <w:t>Application-specific information.</w:t>
      </w:r>
    </w:p>
    <w:p>
      <w:pPr>
        <w:pStyle w:val="ListBullet"/>
      </w:pPr>
      <w:r>
        <w:t>Configuration data.</w:t>
      </w:r>
    </w:p>
    <w:p>
      <w:pPr>
        <w:pStyle w:val="ListBullet"/>
      </w:pPr>
      <w:r>
        <w:t>Access-control information.</w:t>
      </w:r>
    </w:p>
    <w:p>
      <w:pPr>
        <w:pStyle w:val="ListBullet"/>
      </w:pPr>
      <w:r>
        <w:t>Security-related values, where supported.</w:t>
      </w:r>
    </w:p>
    <w:p>
      <w:r>
        <w:t>The distinction between a tag's unique identity and application data is important. Some identifiers are factory-programmed, some may be user-programmable, and some memory fields may be locked or access-controlled.</w:t>
      </w:r>
    </w:p>
    <w:p>
      <w:pPr>
        <w:pStyle w:val="Heading3"/>
      </w:pPr>
      <w:r>
        <w:t>8.2 EPC, TID, and User Memory in UHF Tags</w:t>
      </w:r>
    </w:p>
    <w:p>
      <w:r>
        <w:t>For many UHF RFID tags following the EPC Gen2 / ISO/IEC 18000-63 family, memory is organized into defined banks. A common structure includes Reserved, EPC, TID, and User memory.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Memory bank</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Reserved</w:t>
            </w:r>
          </w:p>
        </w:tc>
        <w:tc>
          <w:tcPr>
            <w:tcW w:type="dxa" w:w="3600"/>
          </w:tcPr>
          <w:p>
            <w:pPr>
              <w:spacing w:after="0" w:before="0" w:line="240" w:lineRule="auto"/>
              <w:jc w:val="left"/>
            </w:pPr>
            <w:r>
              <w:t>Access and kill passwords on supported tags</w:t>
            </w:r>
          </w:p>
        </w:tc>
        <w:tc>
          <w:tcPr>
            <w:tcW w:type="dxa" w:w="3600"/>
          </w:tcPr>
          <w:p>
            <w:pPr>
              <w:spacing w:after="0" w:before="0" w:line="240" w:lineRule="auto"/>
              <w:jc w:val="left"/>
            </w:pPr>
            <w:r>
              <w:t>Sensitive values require controlled handling</w:t>
            </w:r>
          </w:p>
        </w:tc>
      </w:tr>
      <w:tr>
        <w:tc>
          <w:tcPr>
            <w:tcW w:type="dxa" w:w="3600"/>
          </w:tcPr>
          <w:p>
            <w:pPr>
              <w:spacing w:after="0" w:before="0" w:line="240" w:lineRule="auto"/>
              <w:jc w:val="left"/>
            </w:pPr>
            <w:r>
              <w:t>EPC</w:t>
            </w:r>
          </w:p>
        </w:tc>
        <w:tc>
          <w:tcPr>
            <w:tcW w:type="dxa" w:w="3600"/>
          </w:tcPr>
          <w:p>
            <w:pPr>
              <w:spacing w:after="0" w:before="0" w:line="240" w:lineRule="auto"/>
              <w:jc w:val="left"/>
            </w:pPr>
            <w:r>
              <w:t>EPC identifier and related protocol-defined fields</w:t>
            </w:r>
          </w:p>
        </w:tc>
        <w:tc>
          <w:tcPr>
            <w:tcW w:type="dxa" w:w="3600"/>
          </w:tcPr>
          <w:p>
            <w:pPr>
              <w:spacing w:after="0" w:before="0" w:line="240" w:lineRule="auto"/>
              <w:jc w:val="left"/>
            </w:pPr>
            <w:r>
              <w:t>Exact structure and length depend on the tag and application</w:t>
            </w:r>
          </w:p>
        </w:tc>
      </w:tr>
      <w:tr>
        <w:tc>
          <w:tcPr>
            <w:tcW w:type="dxa" w:w="3600"/>
          </w:tcPr>
          <w:p>
            <w:pPr>
              <w:spacing w:after="0" w:before="0" w:line="240" w:lineRule="auto"/>
              <w:jc w:val="left"/>
            </w:pPr>
            <w:r>
              <w:t>TID</w:t>
            </w:r>
          </w:p>
        </w:tc>
        <w:tc>
          <w:tcPr>
            <w:tcW w:type="dxa" w:w="3600"/>
          </w:tcPr>
          <w:p>
            <w:pPr>
              <w:spacing w:after="0" w:before="0" w:line="240" w:lineRule="auto"/>
              <w:jc w:val="left"/>
            </w:pPr>
            <w:r>
              <w:t>Tag identification information associated with the IC</w:t>
            </w:r>
          </w:p>
        </w:tc>
        <w:tc>
          <w:tcPr>
            <w:tcW w:type="dxa" w:w="3600"/>
          </w:tcPr>
          <w:p>
            <w:pPr>
              <w:spacing w:after="0" w:before="0" w:line="240" w:lineRule="auto"/>
              <w:jc w:val="left"/>
            </w:pPr>
            <w:r>
              <w:t>Commonly includes manufacturer or chip identification; available detail varies</w:t>
            </w:r>
          </w:p>
        </w:tc>
      </w:tr>
      <w:tr>
        <w:tc>
          <w:tcPr>
            <w:tcW w:type="dxa" w:w="3600"/>
          </w:tcPr>
          <w:p>
            <w:pPr>
              <w:spacing w:after="0" w:before="0" w:line="240" w:lineRule="auto"/>
              <w:jc w:val="left"/>
            </w:pPr>
            <w:r>
              <w:t>User</w:t>
            </w:r>
          </w:p>
        </w:tc>
        <w:tc>
          <w:tcPr>
            <w:tcW w:type="dxa" w:w="3600"/>
          </w:tcPr>
          <w:p>
            <w:pPr>
              <w:spacing w:after="0" w:before="0" w:line="240" w:lineRule="auto"/>
              <w:jc w:val="left"/>
            </w:pPr>
            <w:r>
              <w:t>Optional application memory</w:t>
            </w:r>
          </w:p>
        </w:tc>
        <w:tc>
          <w:tcPr>
            <w:tcW w:type="dxa" w:w="3600"/>
          </w:tcPr>
          <w:p>
            <w:pPr>
              <w:spacing w:after="0" w:before="0" w:line="240" w:lineRule="auto"/>
              <w:jc w:val="left"/>
            </w:pPr>
            <w:r>
              <w:t>May be absent, limited, locked, or writable depending on the tag</w:t>
            </w:r>
          </w:p>
        </w:tc>
      </w:tr>
    </w:tbl>
    <w:p/>
    <w:p>
      <w:r>
        <w:t>This memory-bank model is common in UHF EPC Gen2 tags. It must not be assumed to apply identically to LF, HF, NFC, or proprietary RFID systems.</w:t>
      </w:r>
    </w:p>
    <w:p>
      <w:pPr>
        <w:pStyle w:val="Heading3"/>
      </w:pPr>
      <w:r>
        <w:t>8.3 Reserved Memory</w:t>
      </w:r>
    </w:p>
    <w:p>
      <w:r>
        <w:t>In compatible UHF tags, reserved memory commonly contains access and kill passwords.</w:t>
      </w:r>
    </w:p>
    <w:p>
      <w:pPr>
        <w:pStyle w:val="ListBullet"/>
      </w:pPr>
      <w:r>
        <w:t>Access password: Can control access to protected operations on tags that implement the relevant feature.</w:t>
      </w:r>
    </w:p>
    <w:p>
      <w:pPr>
        <w:pStyle w:val="ListBullet"/>
      </w:pPr>
      <w:r>
        <w:t>Kill password: Can be used to permanently disable a compatible tag when the required protocol and password conditions are satisfied.</w:t>
      </w:r>
    </w:p>
    <w:p>
      <w:r>
        <w:t>These features are not universal across all RFID technologies. Password handling and tag-disable behavior must be verified for the exact tag family.</w:t>
      </w:r>
    </w:p>
    <w:p>
      <w:r>
        <w:t>A kill operation is potentially irreversible. It should not be used as a routine test operation on production tags.</w:t>
      </w:r>
    </w:p>
    <w:p>
      <w:pPr>
        <w:pStyle w:val="Heading3"/>
      </w:pPr>
      <w:r>
        <w:t>8.4 EPC Memory</w:t>
      </w:r>
    </w:p>
    <w:p>
      <w:r>
        <w:t>EPC memory commonly stores the identifier used by an application to identify a tagged item.</w:t>
      </w:r>
    </w:p>
    <w:p>
      <w:r>
        <w:t>The EPC may contain fields associated with a standardized identifier scheme, but its interpretation depends on the selected encoding and application.</w:t>
      </w:r>
    </w:p>
    <w:p>
      <w:r>
        <w:t>Examples of use include:</w:t>
      </w:r>
    </w:p>
    <w:p>
      <w:pPr>
        <w:pStyle w:val="ListBullet"/>
      </w:pPr>
      <w:r>
        <w:t>Identifying a product.</w:t>
      </w:r>
    </w:p>
    <w:p>
      <w:pPr>
        <w:pStyle w:val="ListBullet"/>
      </w:pPr>
      <w:r>
        <w:t>Identifying a returnable container.</w:t>
      </w:r>
    </w:p>
    <w:p>
      <w:pPr>
        <w:pStyle w:val="ListBullet"/>
      </w:pPr>
      <w:r>
        <w:t>Associating a workpiece with a production record.</w:t>
      </w:r>
    </w:p>
    <w:p>
      <w:pPr>
        <w:pStyle w:val="ListBullet"/>
      </w:pPr>
      <w:r>
        <w:t>Identifying a pallet or logistics unit.</w:t>
      </w:r>
    </w:p>
    <w:p>
      <w:r>
        <w:t>An EPC is not inherently a complete product description. The host system may use it as a lookup key for information stored elsewhere.</w:t>
      </w:r>
    </w:p>
    <w:p>
      <w:pPr>
        <w:pStyle w:val="Heading3"/>
      </w:pPr>
      <w:r>
        <w:t>8.5 TID Memory</w:t>
      </w:r>
    </w:p>
    <w:p>
      <w:r>
        <w:t>TID means Tag Identifier in common UHF RFID terminology.</w:t>
      </w:r>
    </w:p>
    <w:p>
      <w:r>
        <w:t>TID memory often contains manufacturer or chip-family information. Some tag ICs also support additional identification details, depending on their implementation.</w:t>
      </w:r>
    </w:p>
    <w:p>
      <w:r>
        <w:t>TID is useful for distinguishing tag hardware and supporting inventory or security-related application logic where appropriate.</w:t>
      </w:r>
    </w:p>
    <w:p>
      <w:r>
        <w:t>However, do not assume that TID always serves as a globally unique product serial number. The exact uniqueness and structure must be established from the tag's specification.</w:t>
      </w:r>
    </w:p>
    <w:p>
      <w:pPr>
        <w:pStyle w:val="Heading3"/>
      </w:pPr>
      <w:r>
        <w:t>8.6 User Memory</w:t>
      </w:r>
    </w:p>
    <w:p>
      <w:r>
        <w:t>User memory is optional application storage available on some RFID tags.</w:t>
      </w:r>
    </w:p>
    <w:p>
      <w:r>
        <w:t>It may hold information such as:</w:t>
      </w:r>
    </w:p>
    <w:p>
      <w:pPr>
        <w:pStyle w:val="ListBullet"/>
      </w:pPr>
      <w:r>
        <w:t>Part variant.</w:t>
      </w:r>
    </w:p>
    <w:p>
      <w:pPr>
        <w:pStyle w:val="ListBullet"/>
      </w:pPr>
      <w:r>
        <w:t>Batch or lot number.</w:t>
      </w:r>
    </w:p>
    <w:p>
      <w:pPr>
        <w:pStyle w:val="ListBullet"/>
      </w:pPr>
      <w:r>
        <w:t>Production step.</w:t>
      </w:r>
    </w:p>
    <w:p>
      <w:pPr>
        <w:pStyle w:val="ListBullet"/>
      </w:pPr>
      <w:r>
        <w:t>Tool identification data.</w:t>
      </w:r>
    </w:p>
    <w:p>
      <w:pPr>
        <w:pStyle w:val="ListBullet"/>
      </w:pPr>
      <w:r>
        <w:t>Selected process parameters.</w:t>
      </w:r>
    </w:p>
    <w:p>
      <w:pPr>
        <w:pStyle w:val="ListBullet"/>
      </w:pPr>
      <w:r>
        <w:t>Application-specific status fields.</w:t>
      </w:r>
    </w:p>
    <w:p>
      <w:r>
        <w:t>User memory has finite capacity. Its size may be expressed in bits, bytes, or protocol-defined words.</w:t>
      </w:r>
    </w:p>
    <w:p>
      <w:r>
        <w:t>For a tag with 128 bits of user memory:</w:t>
      </w:r>
    </w:p>
    <w:p>
      <w:pPr>
        <w:spacing w:before="120" w:after="160"/>
        <w:jc w:val="center"/>
      </w:pPr>
      <m:oMathPara>
        <m:oMath>
          <m:r>
            <m:t>128</m:t>
          </m:r>
          <m:r>
            <m:rPr>
              <m:nor/>
            </m:rPr>
            <m:t> bits</m:t>
          </m:r>
          <m:r>
            <m:t>÷8=16</m:t>
          </m:r>
          <m:r>
            <m:rPr>
              <m:nor/>
            </m:rPr>
            <m:t> bytes</m:t>
          </m:r>
        </m:oMath>
      </m:oMathPara>
    </w:p>
    <w:p>
      <w:r>
        <w:t>The available space is 16 bytes before accounting for any application-specific encoding, checksums, or storage conventions.</w:t>
      </w:r>
    </w:p>
    <w:p>
      <w:r>
        <w:t>For industrial traceability, storing a short identifier on the tag and maintaining detailed production records in a database is often more practical than trying to store the complete production history in limited tag memory.</w:t>
      </w:r>
    </w:p>
    <w:p>
      <w:pPr>
        <w:pStyle w:val="Heading2"/>
      </w:pPr>
      <w:r>
        <w:t>9. Read-Only, Read/Write, and Locked Memory</w:t>
      </w:r>
    </w:p>
    <w:p>
      <w:r>
        <w:t>RFID tags differ in what operations they permit.</w:t>
      </w:r>
    </w:p>
    <w:p>
      <w:pPr>
        <w:pStyle w:val="Heading3"/>
      </w:pPr>
      <w:r>
        <w:t>9.1 Read-Only or Factory-Programmed Information</w:t>
      </w:r>
    </w:p>
    <w:p>
      <w:r>
        <w:t>Some tag information is factory-programmed or cannot be modified through ordinary application operations.</w:t>
      </w:r>
    </w:p>
    <w:p>
      <w:r>
        <w:t>Possible examples include chip identification data and permanently programmed fields, depending on the technology.</w:t>
      </w:r>
    </w:p>
    <w:p>
      <w:pPr>
        <w:pStyle w:val="Heading3"/>
      </w:pPr>
      <w:r>
        <w:t>9.2 Read/Write Memory</w:t>
      </w:r>
    </w:p>
    <w:p>
      <w:r>
        <w:t>Writable memory allows an authorized reader to modify supported data fields.</w:t>
      </w:r>
    </w:p>
    <w:p>
      <w:r>
        <w:t>Before writing, confirm:</w:t>
      </w:r>
    </w:p>
    <w:p>
      <w:pPr>
        <w:pStyle w:val="ListBullet"/>
      </w:pPr>
      <w:r>
        <w:t>The exact memory bank or block.</w:t>
      </w:r>
    </w:p>
    <w:p>
      <w:pPr>
        <w:pStyle w:val="ListBullet"/>
      </w:pPr>
      <w:r>
        <w:t>The permitted write size and alignment.</w:t>
      </w:r>
    </w:p>
    <w:p>
      <w:pPr>
        <w:pStyle w:val="ListBullet"/>
      </w:pPr>
      <w:r>
        <w:t>Whether the operation overwrites an entire field or updates selected data.</w:t>
      </w:r>
    </w:p>
    <w:p>
      <w:pPr>
        <w:pStyle w:val="ListBullet"/>
      </w:pPr>
      <w:r>
        <w:t>Whether the tag requires a password or authentication.</w:t>
      </w:r>
    </w:p>
    <w:p>
      <w:pPr>
        <w:pStyle w:val="ListBullet"/>
      </w:pPr>
      <w:r>
        <w:t>Whether writing is supported while the tag is in the intended mounting position.</w:t>
      </w:r>
    </w:p>
    <w:p>
      <w:pPr>
        <w:pStyle w:val="ListBullet"/>
      </w:pPr>
      <w:r>
        <w:t>Whether the write result can be verified by reading back the data.</w:t>
      </w:r>
    </w:p>
    <w:p>
      <w:pPr>
        <w:pStyle w:val="Heading3"/>
      </w:pPr>
      <w:r>
        <w:t>9.3 Locking and Access Control</w:t>
      </w:r>
    </w:p>
    <w:p>
      <w:r>
        <w:t>Some RFID tags allow memory fields to be locked or protected.</w:t>
      </w:r>
    </w:p>
    <w:p>
      <w:r>
        <w:t>Depending on the technology, protection may be permanent or reversible only under specific conditions.</w:t>
      </w:r>
    </w:p>
    <w:p>
      <w:r>
        <w:t>Locking is useful when data must not be modified during normal production. However, the lock behavior must be understood before enabling it.</w:t>
      </w:r>
    </w:p>
    <w:p>
      <w:r>
        <w:t>For example, locking an identifier may prevent a later manufacturing operation from updating a field that the process expects to remain writable.</w:t>
      </w:r>
    </w:p>
    <w:p>
      <w:pPr>
        <w:pStyle w:val="Heading2"/>
      </w:pPr>
      <w:r>
        <w:t>10. RFID Data Capacity and Data Design</w:t>
      </w:r>
    </w:p>
    <w:p>
      <w:r>
        <w:t>Memory capacity should be evaluated in relation to the application's data requirements.</w:t>
      </w:r>
    </w:p>
    <w:p>
      <w:pPr>
        <w:pStyle w:val="Heading3"/>
      </w:pPr>
      <w:r>
        <w:t>10.1 Raw Capacity Versus Useful Capacity</w:t>
      </w:r>
    </w:p>
    <w:p>
      <w:r>
        <w:t>The nominal capacity is not necessarily the amount of application data that can be stored directly.</w:t>
      </w:r>
    </w:p>
    <w:p>
      <w:r>
        <w:t>Some space may be consumed by:</w:t>
      </w:r>
    </w:p>
    <w:p>
      <w:pPr>
        <w:pStyle w:val="ListBullet"/>
      </w:pPr>
      <w:r>
        <w:t>Protocol-defined fields.</w:t>
      </w:r>
    </w:p>
    <w:p>
      <w:pPr>
        <w:pStyle w:val="ListBullet"/>
      </w:pPr>
      <w:r>
        <w:t>Reserved memory.</w:t>
      </w:r>
    </w:p>
    <w:p>
      <w:pPr>
        <w:pStyle w:val="ListBullet"/>
      </w:pPr>
      <w:r>
        <w:t>Access-control data.</w:t>
      </w:r>
    </w:p>
    <w:p>
      <w:pPr>
        <w:pStyle w:val="ListBullet"/>
      </w:pPr>
      <w:r>
        <w:t>Encoding overhead.</w:t>
      </w:r>
    </w:p>
    <w:p>
      <w:pPr>
        <w:pStyle w:val="ListBullet"/>
      </w:pPr>
      <w:r>
        <w:t>Application headers.</w:t>
      </w:r>
    </w:p>
    <w:p>
      <w:pPr>
        <w:pStyle w:val="ListBullet"/>
      </w:pPr>
      <w:r>
        <w:t>Checksums or integrity fields.</w:t>
      </w:r>
    </w:p>
    <w:p>
      <w:pPr>
        <w:pStyle w:val="ListBullet"/>
      </w:pPr>
      <w:r>
        <w:t>Data-format requirements.</w:t>
      </w:r>
    </w:p>
    <w:p>
      <w:r>
        <w:t>When designing a tag data structure, identify the exact memory available for application use.</w:t>
      </w:r>
    </w:p>
    <w:p>
      <w:pPr>
        <w:pStyle w:val="Heading3"/>
      </w:pPr>
      <w:r>
        <w:t>10.2 Example: Manufacturing Workpiece</w:t>
      </w:r>
    </w:p>
    <w:p>
      <w:r>
        <w:t>Suppose an industrial workpiece needs an RFID identifier and a small amount of local information.</w:t>
      </w:r>
    </w:p>
    <w:p>
      <w:r>
        <w:t>A possible application record could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Workpiece ID</w:t>
            </w:r>
          </w:p>
        </w:tc>
        <w:tc>
          <w:tcPr>
            <w:tcW w:type="dxa" w:w="3600"/>
          </w:tcPr>
          <w:p>
            <w:pPr>
              <w:spacing w:after="0" w:before="0" w:line="240" w:lineRule="auto"/>
              <w:jc w:val="left"/>
            </w:pPr>
            <w:r>
              <w:rPr>
                <w:rFonts w:ascii="Consolas" w:hAnsi="Consolas"/>
                <w:color w:val="333333"/>
                <w:sz w:val="19"/>
                <w:shd w:val="clear" w:color="auto" w:fill="EFEFEF"/>
              </w:rPr>
              <w:t>WP00018452</w:t>
            </w:r>
          </w:p>
        </w:tc>
        <w:tc>
          <w:tcPr>
            <w:tcW w:type="dxa" w:w="3600"/>
          </w:tcPr>
          <w:p>
            <w:pPr>
              <w:spacing w:after="0" w:before="0" w:line="240" w:lineRule="auto"/>
              <w:jc w:val="left"/>
            </w:pPr>
            <w:r>
              <w:t>Identifies the workpiece</w:t>
            </w:r>
          </w:p>
        </w:tc>
      </w:tr>
      <w:tr>
        <w:tc>
          <w:tcPr>
            <w:tcW w:type="dxa" w:w="3600"/>
          </w:tcPr>
          <w:p>
            <w:pPr>
              <w:spacing w:after="0" w:before="0" w:line="240" w:lineRule="auto"/>
              <w:jc w:val="left"/>
            </w:pPr>
            <w:r>
              <w:t>Variant</w:t>
            </w:r>
          </w:p>
        </w:tc>
        <w:tc>
          <w:tcPr>
            <w:tcW w:type="dxa" w:w="3600"/>
          </w:tcPr>
          <w:p>
            <w:pPr>
              <w:spacing w:after="0" w:before="0" w:line="240" w:lineRule="auto"/>
              <w:jc w:val="left"/>
            </w:pPr>
            <w:r>
              <w:rPr>
                <w:rFonts w:ascii="Consolas" w:hAnsi="Consolas"/>
                <w:color w:val="333333"/>
                <w:sz w:val="19"/>
                <w:shd w:val="clear" w:color="auto" w:fill="EFEFEF"/>
              </w:rPr>
              <w:t>V03</w:t>
            </w:r>
          </w:p>
        </w:tc>
        <w:tc>
          <w:tcPr>
            <w:tcW w:type="dxa" w:w="3600"/>
          </w:tcPr>
          <w:p>
            <w:pPr>
              <w:spacing w:after="0" w:before="0" w:line="240" w:lineRule="auto"/>
              <w:jc w:val="left"/>
            </w:pPr>
            <w:r>
              <w:t>Identifies the product variant</w:t>
            </w:r>
          </w:p>
        </w:tc>
      </w:tr>
      <w:tr>
        <w:tc>
          <w:tcPr>
            <w:tcW w:type="dxa" w:w="3600"/>
          </w:tcPr>
          <w:p>
            <w:pPr>
              <w:spacing w:after="0" w:before="0" w:line="240" w:lineRule="auto"/>
              <w:jc w:val="left"/>
            </w:pPr>
            <w:r>
              <w:t>Process code</w:t>
            </w:r>
          </w:p>
        </w:tc>
        <w:tc>
          <w:tcPr>
            <w:tcW w:type="dxa" w:w="3600"/>
          </w:tcPr>
          <w:p>
            <w:pPr>
              <w:spacing w:after="0" w:before="0" w:line="240" w:lineRule="auto"/>
              <w:jc w:val="left"/>
            </w:pPr>
            <w:r>
              <w:rPr>
                <w:rFonts w:ascii="Consolas" w:hAnsi="Consolas"/>
                <w:color w:val="333333"/>
                <w:sz w:val="19"/>
                <w:shd w:val="clear" w:color="auto" w:fill="EFEFEF"/>
              </w:rPr>
              <w:t>P120</w:t>
            </w:r>
          </w:p>
        </w:tc>
        <w:tc>
          <w:tcPr>
            <w:tcW w:type="dxa" w:w="3600"/>
          </w:tcPr>
          <w:p>
            <w:pPr>
              <w:spacing w:after="0" w:before="0" w:line="240" w:lineRule="auto"/>
              <w:jc w:val="left"/>
            </w:pPr>
            <w:r>
              <w:t>Identifies a process or route</w:t>
            </w:r>
          </w:p>
        </w:tc>
      </w:tr>
      <w:tr>
        <w:tc>
          <w:tcPr>
            <w:tcW w:type="dxa" w:w="3600"/>
          </w:tcPr>
          <w:p>
            <w:pPr>
              <w:spacing w:after="0" w:before="0" w:line="240" w:lineRule="auto"/>
              <w:jc w:val="left"/>
            </w:pPr>
            <w:r>
              <w:t>Data version</w:t>
            </w:r>
          </w:p>
        </w:tc>
        <w:tc>
          <w:tcPr>
            <w:tcW w:type="dxa" w:w="3600"/>
          </w:tcPr>
          <w:p>
            <w:pPr>
              <w:spacing w:after="0" w:before="0" w:line="240" w:lineRule="auto"/>
              <w:jc w:val="left"/>
            </w:pPr>
            <w:r>
              <w:rPr>
                <w:rFonts w:ascii="Consolas" w:hAnsi="Consolas"/>
                <w:color w:val="333333"/>
                <w:sz w:val="19"/>
                <w:shd w:val="clear" w:color="auto" w:fill="EFEFEF"/>
              </w:rPr>
              <w:t>01</w:t>
            </w:r>
          </w:p>
        </w:tc>
        <w:tc>
          <w:tcPr>
            <w:tcW w:type="dxa" w:w="3600"/>
          </w:tcPr>
          <w:p>
            <w:pPr>
              <w:spacing w:after="0" w:before="0" w:line="240" w:lineRule="auto"/>
              <w:jc w:val="left"/>
            </w:pPr>
            <w:r>
              <w:t>Identifies the record format version</w:t>
            </w:r>
          </w:p>
        </w:tc>
      </w:tr>
    </w:tbl>
    <w:p/>
    <w:p>
      <w:r>
        <w:t>This is an illustrative application structure. The actual encoding could be binary, fixed-width text, or another format supported by the system.</w:t>
      </w:r>
    </w:p>
    <w:p>
      <w:r>
        <w:t>Before implementation, define field lengths, character encoding, versioning, write permissions, and validation rules. Otherwise, one controller may interpret the same memory differently from another.</w:t>
      </w:r>
    </w:p>
    <w:p>
      <w:pPr>
        <w:pStyle w:val="Heading3"/>
      </w:pPr>
      <w:r>
        <w:t>10.3 Identifier Versus Process History</w:t>
      </w:r>
    </w:p>
    <w:p>
      <w:r>
        <w:t>Two common architectures are:</w:t>
      </w:r>
    </w:p>
    <w:p>
      <w:r>
        <w:t>Identifier-only design</w:t>
      </w:r>
    </w:p>
    <w:p>
      <w:r>
        <w:t>The tag stores a compact identifier. The PLC or host retrieves the process record from a database.</w:t>
      </w:r>
    </w:p>
    <w:p>
      <w:r>
        <w:t>Advantages include centralized record management and low tag-memory requirements. However, the application depends on access to the associated database or local cache.</w:t>
      </w:r>
    </w:p>
    <w:p>
      <w:r>
        <w:t>Tag-resident data design</w:t>
      </w:r>
    </w:p>
    <w:p>
      <w:r>
        <w:t>The tag stores selected process information directly.</w:t>
      </w:r>
    </w:p>
    <w:p>
      <w:r>
        <w:t>This can reduce the need to retrieve every field from a database, but it introduces memory-capacity limits, write-cycle considerations, data synchronization problems, and the risk of inconsistent records.</w:t>
      </w:r>
    </w:p>
    <w:p>
      <w:r>
        <w:t>A hybrid design is common: store a stable identifier and a small number of essential fields on the tag, while maintaining the full traceability history in a controlled database.</w:t>
      </w:r>
    </w:p>
    <w:p>
      <w:pPr>
        <w:pStyle w:val="Heading2"/>
      </w:pPr>
      <w:r>
        <w:t>11. RFID Write Reliability and Data Integrity</w:t>
      </w:r>
    </w:p>
    <w:p>
      <w:r>
        <w:t>Writing data to an RFID tag is more sensitive than simply detecting its identifier.</w:t>
      </w:r>
    </w:p>
    <w:p>
      <w:r>
        <w:t>Potential problems include:</w:t>
      </w:r>
    </w:p>
    <w:p>
      <w:pPr>
        <w:pStyle w:val="ListBullet"/>
      </w:pPr>
      <w:r>
        <w:t>Loss of communication during a write.</w:t>
      </w:r>
    </w:p>
    <w:p>
      <w:pPr>
        <w:pStyle w:val="ListBullet"/>
      </w:pPr>
      <w:r>
        <w:t>Insufficient RF energy or poor coupling.</w:t>
      </w:r>
    </w:p>
    <w:p>
      <w:pPr>
        <w:pStyle w:val="ListBullet"/>
      </w:pPr>
      <w:r>
        <w:t>Tag movement out of the operating field.</w:t>
      </w:r>
    </w:p>
    <w:p>
      <w:pPr>
        <w:pStyle w:val="ListBullet"/>
      </w:pPr>
      <w:r>
        <w:t>Unsupported memory address or block size.</w:t>
      </w:r>
    </w:p>
    <w:p>
      <w:pPr>
        <w:pStyle w:val="ListBullet"/>
      </w:pPr>
      <w:r>
        <w:t>Incorrect access credentials.</w:t>
      </w:r>
    </w:p>
    <w:p>
      <w:pPr>
        <w:pStyle w:val="ListBullet"/>
      </w:pPr>
      <w:r>
        <w:t>Memory protection or locking.</w:t>
      </w:r>
    </w:p>
    <w:p>
      <w:pPr>
        <w:pStyle w:val="ListBullet"/>
      </w:pPr>
      <w:r>
        <w:t>Writing to the wrong tag when multiple tags are present.</w:t>
      </w:r>
    </w:p>
    <w:p>
      <w:pPr>
        <w:pStyle w:val="ListBullet"/>
      </w:pPr>
      <w:r>
        <w:t>Data format mismatch.</w:t>
      </w:r>
    </w:p>
    <w:p>
      <w:pPr>
        <w:pStyle w:val="ListBullet"/>
      </w:pPr>
      <w:r>
        <w:t>A successful command response being mistaken for verified data integrity.</w:t>
      </w:r>
    </w:p>
    <w:p>
      <w:r>
        <w:t>A robust write operation should follow the supported protocol and application rules:</w:t>
      </w:r>
    </w:p>
    <w:p>
      <w:pPr>
        <w:tabs>
          <w:tab w:pos="403" w:val="left"/>
        </w:tabs>
        <w:spacing w:after="40" w:line="276" w:lineRule="auto"/>
        <w:ind w:left="403" w:hanging="403"/>
        <w:jc w:val="left"/>
      </w:pPr>
      <w:r>
        <w:rPr>
          <w:color w:val="1A2E4A"/>
        </w:rPr>
        <w:t>1.</w:t>
        <w:tab/>
      </w:r>
      <w:r>
        <w:t>Identify the intended tag.</w:t>
      </w:r>
    </w:p>
    <w:p>
      <w:pPr>
        <w:tabs>
          <w:tab w:pos="403" w:val="left"/>
        </w:tabs>
        <w:spacing w:after="40" w:line="276" w:lineRule="auto"/>
        <w:ind w:left="403" w:hanging="403"/>
        <w:jc w:val="left"/>
      </w:pPr>
      <w:r>
        <w:rPr>
          <w:color w:val="1A2E4A"/>
        </w:rPr>
        <w:t>2.</w:t>
        <w:tab/>
      </w:r>
      <w:r>
        <w:t>Confirm the tag's identity against the active part or transaction.</w:t>
      </w:r>
    </w:p>
    <w:p>
      <w:pPr>
        <w:tabs>
          <w:tab w:pos="403" w:val="left"/>
        </w:tabs>
        <w:spacing w:after="40" w:line="276" w:lineRule="auto"/>
        <w:ind w:left="403" w:hanging="403"/>
        <w:jc w:val="left"/>
      </w:pPr>
      <w:r>
        <w:rPr>
          <w:color w:val="1A2E4A"/>
        </w:rPr>
        <w:t>3.</w:t>
        <w:tab/>
      </w:r>
      <w:r>
        <w:t>Verify that the target memory is writable.</w:t>
      </w:r>
    </w:p>
    <w:p>
      <w:pPr>
        <w:tabs>
          <w:tab w:pos="403" w:val="left"/>
        </w:tabs>
        <w:spacing w:after="40" w:line="276" w:lineRule="auto"/>
        <w:ind w:left="403" w:hanging="403"/>
        <w:jc w:val="left"/>
      </w:pPr>
      <w:r>
        <w:rPr>
          <w:color w:val="1A2E4A"/>
        </w:rPr>
        <w:t>4.</w:t>
        <w:tab/>
      </w:r>
      <w:r>
        <w:t>Execute the write operation.</w:t>
      </w:r>
    </w:p>
    <w:p>
      <w:pPr>
        <w:tabs>
          <w:tab w:pos="403" w:val="left"/>
        </w:tabs>
        <w:spacing w:after="40" w:line="276" w:lineRule="auto"/>
        <w:ind w:left="403" w:hanging="403"/>
        <w:jc w:val="left"/>
      </w:pPr>
      <w:r>
        <w:rPr>
          <w:color w:val="1A2E4A"/>
        </w:rPr>
        <w:t>5.</w:t>
        <w:tab/>
      </w:r>
      <w:r>
        <w:t>Check the reported result.</w:t>
      </w:r>
    </w:p>
    <w:p>
      <w:pPr>
        <w:tabs>
          <w:tab w:pos="403" w:val="left"/>
        </w:tabs>
        <w:spacing w:after="40" w:line="276" w:lineRule="auto"/>
        <w:ind w:left="403" w:hanging="403"/>
        <w:jc w:val="left"/>
      </w:pPr>
      <w:r>
        <w:rPr>
          <w:color w:val="1A2E4A"/>
        </w:rPr>
        <w:t>6.</w:t>
        <w:tab/>
      </w:r>
      <w:r>
        <w:t>Read back the written data where supported and appropriate.</w:t>
      </w:r>
    </w:p>
    <w:p>
      <w:pPr>
        <w:tabs>
          <w:tab w:pos="403" w:val="left"/>
        </w:tabs>
        <w:spacing w:after="40" w:line="276" w:lineRule="auto"/>
        <w:ind w:left="403" w:hanging="403"/>
        <w:jc w:val="left"/>
      </w:pPr>
      <w:r>
        <w:rPr>
          <w:color w:val="1A2E4A"/>
        </w:rPr>
        <w:t>7.</w:t>
        <w:tab/>
      </w:r>
      <w:r>
        <w:t>Validate the content.</w:t>
      </w:r>
    </w:p>
    <w:p>
      <w:pPr>
        <w:tabs>
          <w:tab w:pos="403" w:val="left"/>
        </w:tabs>
        <w:spacing w:after="40" w:line="276" w:lineRule="auto"/>
        <w:ind w:left="403" w:hanging="403"/>
        <w:jc w:val="left"/>
      </w:pPr>
      <w:r>
        <w:rPr>
          <w:color w:val="1A2E4A"/>
        </w:rPr>
        <w:t>8.</w:t>
        <w:tab/>
      </w:r>
      <w:r>
        <w:t>Record the transaction result in the host system.</w:t>
      </w:r>
    </w:p>
    <w:p>
      <w:r>
        <w:t>Where several tags are in range, tag selection and transaction association are essential. Otherwise, valid data could be written to the wrong physical item.</w:t>
      </w:r>
    </w:p>
    <w:p>
      <w:pPr>
        <w:pStyle w:val="Heading2"/>
      </w:pPr>
      <w:r>
        <w:t>12. Industrial RFID Applications</w:t>
      </w:r>
    </w:p>
    <w:p>
      <w:pPr>
        <w:pStyle w:val="Heading3"/>
      </w:pPr>
      <w:r>
        <w:t>12.1 Workpiece Carrier Tracking</w:t>
      </w:r>
    </w:p>
    <w:p>
      <w:r>
        <w:t>A tag is attached to a carrier moving between production stations.</w:t>
      </w:r>
    </w:p>
    <w:p>
      <w:r>
        <w:t>The reader identifies the carrier, and the PLC or MES uses the identifier to retrieve the workpiece's current process state.</w:t>
      </w:r>
    </w:p>
    <w:p>
      <w:r>
        <w:t>The tag may store only the carrier ID. The production system stores detailed routing and quality records.</w:t>
      </w:r>
    </w:p>
    <w:p>
      <w:pPr>
        <w:pStyle w:val="Heading3"/>
      </w:pPr>
      <w:r>
        <w:t>12.2 Tool Identification</w:t>
      </w:r>
    </w:p>
    <w:p>
      <w:r>
        <w:t>RFID can identify tools, fixtures, and selected equipment. The application may use the identifier to check that the correct tool is installed or assigned.</w:t>
      </w:r>
    </w:p>
    <w:p>
      <w:r>
        <w:t>The reader must be positioned and configured so that it identifies the intended tool rather than nearby tags.</w:t>
      </w:r>
    </w:p>
    <w:p>
      <w:pPr>
        <w:pStyle w:val="Heading3"/>
      </w:pPr>
      <w:r>
        <w:t>12.3 Automotive Manufacturing</w:t>
      </w:r>
    </w:p>
    <w:p>
      <w:r>
        <w:t>RFID can be used for:</w:t>
      </w:r>
    </w:p>
    <w:p>
      <w:pPr>
        <w:pStyle w:val="ListBullet"/>
      </w:pPr>
      <w:r>
        <w:t>Vehicle or body carrier identification.</w:t>
      </w:r>
    </w:p>
    <w:p>
      <w:pPr>
        <w:pStyle w:val="ListBullet"/>
      </w:pPr>
      <w:r>
        <w:t>Workpiece tracking through production.</w:t>
      </w:r>
    </w:p>
    <w:p>
      <w:pPr>
        <w:pStyle w:val="ListBullet"/>
      </w:pPr>
      <w:r>
        <w:t>Variant identification.</w:t>
      </w:r>
    </w:p>
    <w:p>
      <w:pPr>
        <w:pStyle w:val="ListBullet"/>
      </w:pPr>
      <w:r>
        <w:t>Tool and fixture tracking.</w:t>
      </w:r>
    </w:p>
    <w:p>
      <w:pPr>
        <w:pStyle w:val="ListBullet"/>
      </w:pPr>
      <w:r>
        <w:t>Returnable packaging.</w:t>
      </w:r>
    </w:p>
    <w:p>
      <w:pPr>
        <w:pStyle w:val="ListBullet"/>
      </w:pPr>
      <w:r>
        <w:t>Selected process-data association.</w:t>
      </w:r>
    </w:p>
    <w:p>
      <w:r>
        <w:t>In a manufacturing environment, the tag's identifier must be associated with the correct physical object and transaction. A correctly decoded identifier is not enough if the system assigns it to the wrong carrier.</w:t>
      </w:r>
    </w:p>
    <w:p>
      <w:pPr>
        <w:pStyle w:val="Heading3"/>
      </w:pPr>
      <w:r>
        <w:t>12.4 Reusable Containers and Logistics</w:t>
      </w:r>
    </w:p>
    <w:p>
      <w:r>
        <w:t>Tags attached to pallets, totes, and reusable containers can support automated identification at gates, conveyor transfers, and storage locations.</w:t>
      </w:r>
    </w:p>
    <w:p>
      <w:r>
        <w:t>Passive UHF tags are common in suitable logistics applications, while other frequency and tag types may be selected according to material, range, and infrastructure requirements.</w:t>
      </w:r>
    </w:p>
    <w:p>
      <w:pPr>
        <w:pStyle w:val="Heading2"/>
      </w:pPr>
      <w:r>
        <w:t>13. Selecting a Suitable RFID Tag</w:t>
      </w:r>
    </w:p>
    <w:p>
      <w:r>
        <w:t>Tag selection must consider the application, not simply the advertised read range.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factor</w:t>
            </w:r>
          </w:p>
        </w:tc>
        <w:tc>
          <w:tcPr>
            <w:tcW w:type="dxa" w:w="5400"/>
            <w:shd w:val="clear" w:color="auto" w:fill="EEF2F7"/>
          </w:tcPr>
          <w:p>
            <w:pPr>
              <w:spacing w:after="0" w:before="0" w:line="240" w:lineRule="auto"/>
              <w:jc w:val="left"/>
            </w:pPr>
            <w:r>
              <w:rPr>
                <w:b/>
                <w:color w:val="1A2E4A"/>
              </w:rPr>
              <w:t>Questions to evaluate</w:t>
            </w:r>
          </w:p>
        </w:tc>
      </w:tr>
      <w:tr>
        <w:tc>
          <w:tcPr>
            <w:tcW w:type="dxa" w:w="5400"/>
          </w:tcPr>
          <w:p>
            <w:pPr>
              <w:spacing w:after="0" w:before="0" w:line="240" w:lineRule="auto"/>
              <w:jc w:val="left"/>
            </w:pPr>
            <w:r>
              <w:t>Frequency</w:t>
            </w:r>
          </w:p>
        </w:tc>
        <w:tc>
          <w:tcPr>
            <w:tcW w:type="dxa" w:w="5400"/>
          </w:tcPr>
          <w:p>
            <w:pPr>
              <w:spacing w:after="0" w:before="0" w:line="240" w:lineRule="auto"/>
              <w:jc w:val="left"/>
            </w:pPr>
            <w:r>
              <w:t>Does the tag match the reader's supported frequency and protocol?</w:t>
            </w:r>
          </w:p>
        </w:tc>
      </w:tr>
      <w:tr>
        <w:tc>
          <w:tcPr>
            <w:tcW w:type="dxa" w:w="5400"/>
          </w:tcPr>
          <w:p>
            <w:pPr>
              <w:spacing w:after="0" w:before="0" w:line="240" w:lineRule="auto"/>
              <w:jc w:val="left"/>
            </w:pPr>
            <w:r>
              <w:t>Tag type</w:t>
            </w:r>
          </w:p>
        </w:tc>
        <w:tc>
          <w:tcPr>
            <w:tcW w:type="dxa" w:w="5400"/>
          </w:tcPr>
          <w:p>
            <w:pPr>
              <w:spacing w:after="0" w:before="0" w:line="240" w:lineRule="auto"/>
              <w:jc w:val="left"/>
            </w:pPr>
            <w:r>
              <w:t>Is passive, active, or battery-assisted passive appropriate?</w:t>
            </w:r>
          </w:p>
        </w:tc>
      </w:tr>
      <w:tr>
        <w:tc>
          <w:tcPr>
            <w:tcW w:type="dxa" w:w="5400"/>
          </w:tcPr>
          <w:p>
            <w:pPr>
              <w:spacing w:after="0" w:before="0" w:line="240" w:lineRule="auto"/>
              <w:jc w:val="left"/>
            </w:pPr>
            <w:r>
              <w:t>Memory</w:t>
            </w:r>
          </w:p>
        </w:tc>
        <w:tc>
          <w:tcPr>
            <w:tcW w:type="dxa" w:w="5400"/>
          </w:tcPr>
          <w:p>
            <w:pPr>
              <w:spacing w:after="0" w:before="0" w:line="240" w:lineRule="auto"/>
              <w:jc w:val="left"/>
            </w:pPr>
            <w:r>
              <w:t>How much usable memory is required?</w:t>
            </w:r>
          </w:p>
        </w:tc>
      </w:tr>
      <w:tr>
        <w:tc>
          <w:tcPr>
            <w:tcW w:type="dxa" w:w="5400"/>
          </w:tcPr>
          <w:p>
            <w:pPr>
              <w:spacing w:after="0" w:before="0" w:line="240" w:lineRule="auto"/>
              <w:jc w:val="left"/>
            </w:pPr>
            <w:r>
              <w:t>Read/write needs</w:t>
            </w:r>
          </w:p>
        </w:tc>
        <w:tc>
          <w:tcPr>
            <w:tcW w:type="dxa" w:w="5400"/>
          </w:tcPr>
          <w:p>
            <w:pPr>
              <w:spacing w:after="0" w:before="0" w:line="240" w:lineRule="auto"/>
              <w:jc w:val="left"/>
            </w:pPr>
            <w:r>
              <w:t>Must the application modify data or only read identification?</w:t>
            </w:r>
          </w:p>
        </w:tc>
      </w:tr>
      <w:tr>
        <w:tc>
          <w:tcPr>
            <w:tcW w:type="dxa" w:w="5400"/>
          </w:tcPr>
          <w:p>
            <w:pPr>
              <w:spacing w:after="0" w:before="0" w:line="240" w:lineRule="auto"/>
              <w:jc w:val="left"/>
            </w:pPr>
            <w:r>
              <w:t>Mounting material</w:t>
            </w:r>
          </w:p>
        </w:tc>
        <w:tc>
          <w:tcPr>
            <w:tcW w:type="dxa" w:w="5400"/>
          </w:tcPr>
          <w:p>
            <w:pPr>
              <w:spacing w:after="0" w:before="0" w:line="240" w:lineRule="auto"/>
              <w:jc w:val="left"/>
            </w:pPr>
            <w:r>
              <w:t>Will the tag be mounted on metal, plastic, glass, or a liquid container?</w:t>
            </w:r>
          </w:p>
        </w:tc>
      </w:tr>
      <w:tr>
        <w:tc>
          <w:tcPr>
            <w:tcW w:type="dxa" w:w="5400"/>
          </w:tcPr>
          <w:p>
            <w:pPr>
              <w:spacing w:after="0" w:before="0" w:line="240" w:lineRule="auto"/>
              <w:jc w:val="left"/>
            </w:pPr>
            <w:r>
              <w:t>Operating environment</w:t>
            </w:r>
          </w:p>
        </w:tc>
        <w:tc>
          <w:tcPr>
            <w:tcW w:type="dxa" w:w="5400"/>
          </w:tcPr>
          <w:p>
            <w:pPr>
              <w:spacing w:after="0" w:before="0" w:line="240" w:lineRule="auto"/>
              <w:jc w:val="left"/>
            </w:pPr>
            <w:r>
              <w:t>What are the temperature, vibration, moisture, chemical, and impact requirements?</w:t>
            </w:r>
          </w:p>
        </w:tc>
      </w:tr>
      <w:tr>
        <w:tc>
          <w:tcPr>
            <w:tcW w:type="dxa" w:w="5400"/>
          </w:tcPr>
          <w:p>
            <w:pPr>
              <w:spacing w:after="0" w:before="0" w:line="240" w:lineRule="auto"/>
              <w:jc w:val="left"/>
            </w:pPr>
            <w:r>
              <w:t>Read distance</w:t>
            </w:r>
          </w:p>
        </w:tc>
        <w:tc>
          <w:tcPr>
            <w:tcW w:type="dxa" w:w="5400"/>
          </w:tcPr>
          <w:p>
            <w:pPr>
              <w:spacing w:after="0" w:before="0" w:line="240" w:lineRule="auto"/>
              <w:jc w:val="left"/>
            </w:pPr>
            <w:r>
              <w:t>What distance is required under real installation conditions?</w:t>
            </w:r>
          </w:p>
        </w:tc>
      </w:tr>
      <w:tr>
        <w:tc>
          <w:tcPr>
            <w:tcW w:type="dxa" w:w="5400"/>
          </w:tcPr>
          <w:p>
            <w:pPr>
              <w:spacing w:after="0" w:before="0" w:line="240" w:lineRule="auto"/>
              <w:jc w:val="left"/>
            </w:pPr>
            <w:r>
              <w:t>Orientation</w:t>
            </w:r>
          </w:p>
        </w:tc>
        <w:tc>
          <w:tcPr>
            <w:tcW w:type="dxa" w:w="5400"/>
          </w:tcPr>
          <w:p>
            <w:pPr>
              <w:spacing w:after="0" w:before="0" w:line="240" w:lineRule="auto"/>
              <w:jc w:val="left"/>
            </w:pPr>
            <w:r>
              <w:t>How will the tag antenna align with the reader antenna?</w:t>
            </w:r>
          </w:p>
        </w:tc>
      </w:tr>
      <w:tr>
        <w:tc>
          <w:tcPr>
            <w:tcW w:type="dxa" w:w="5400"/>
          </w:tcPr>
          <w:p>
            <w:pPr>
              <w:spacing w:after="0" w:before="0" w:line="240" w:lineRule="auto"/>
              <w:jc w:val="left"/>
            </w:pPr>
            <w:r>
              <w:t>Tag population</w:t>
            </w:r>
          </w:p>
        </w:tc>
        <w:tc>
          <w:tcPr>
            <w:tcW w:type="dxa" w:w="5400"/>
          </w:tcPr>
          <w:p>
            <w:pPr>
              <w:spacing w:after="0" w:before="0" w:line="240" w:lineRule="auto"/>
              <w:jc w:val="left"/>
            </w:pPr>
            <w:r>
              <w:t>Must several tags be read in the same field?</w:t>
            </w:r>
          </w:p>
        </w:tc>
      </w:tr>
      <w:tr>
        <w:tc>
          <w:tcPr>
            <w:tcW w:type="dxa" w:w="5400"/>
          </w:tcPr>
          <w:p>
            <w:pPr>
              <w:spacing w:after="0" w:before="0" w:line="240" w:lineRule="auto"/>
              <w:jc w:val="left"/>
            </w:pPr>
            <w:r>
              <w:t>Maintenance</w:t>
            </w:r>
          </w:p>
        </w:tc>
        <w:tc>
          <w:tcPr>
            <w:tcW w:type="dxa" w:w="5400"/>
          </w:tcPr>
          <w:p>
            <w:pPr>
              <w:spacing w:after="0" w:before="0" w:line="240" w:lineRule="auto"/>
              <w:jc w:val="left"/>
            </w:pPr>
            <w:r>
              <w:t>Is battery replacement or periodic inspection acceptable?</w:t>
            </w:r>
          </w:p>
        </w:tc>
      </w:tr>
      <w:tr>
        <w:tc>
          <w:tcPr>
            <w:tcW w:type="dxa" w:w="5400"/>
          </w:tcPr>
          <w:p>
            <w:pPr>
              <w:spacing w:after="0" w:before="0" w:line="240" w:lineRule="auto"/>
              <w:jc w:val="left"/>
            </w:pPr>
            <w:r>
              <w:t>Data security</w:t>
            </w:r>
          </w:p>
        </w:tc>
        <w:tc>
          <w:tcPr>
            <w:tcW w:type="dxa" w:w="5400"/>
          </w:tcPr>
          <w:p>
            <w:pPr>
              <w:spacing w:after="0" w:before="0" w:line="240" w:lineRule="auto"/>
              <w:jc w:val="left"/>
            </w:pPr>
            <w:r>
              <w:t>Are access controls, authentication, or protected memory needed?</w:t>
            </w:r>
          </w:p>
        </w:tc>
      </w:tr>
      <w:tr>
        <w:tc>
          <w:tcPr>
            <w:tcW w:type="dxa" w:w="5400"/>
          </w:tcPr>
          <w:p>
            <w:pPr>
              <w:spacing w:after="0" w:before="0" w:line="240" w:lineRule="auto"/>
              <w:jc w:val="left"/>
            </w:pPr>
            <w:r>
              <w:t>Lifecycle</w:t>
            </w:r>
          </w:p>
        </w:tc>
        <w:tc>
          <w:tcPr>
            <w:tcW w:type="dxa" w:w="5400"/>
          </w:tcPr>
          <w:p>
            <w:pPr>
              <w:spacing w:after="0" w:before="0" w:line="240" w:lineRule="auto"/>
              <w:jc w:val="left"/>
            </w:pPr>
            <w:r>
              <w:t>Is the tag reusable, disposable, replaceable, or permanently attached?</w:t>
            </w:r>
          </w:p>
        </w:tc>
      </w:tr>
    </w:tbl>
    <w:p/>
    <w:p>
      <w:r>
        <w:t>For metal surfaces, select a tag designed for metal mounting or use an installation arrangement validated for that tag. An ordinary tag may detune or perform poorly when placed directly against metal.</w:t>
      </w:r>
    </w:p>
    <w:p>
      <w:r>
        <w:t>For liquid-filled containers, evaluate how the liquid affects the tag's antenna and the reader's RF field.</w:t>
      </w:r>
    </w:p>
    <w:p>
      <w:pPr>
        <w:pStyle w:val="Heading2"/>
      </w:pPr>
      <w:r>
        <w:t>14. Troubleshooting RFID Tag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Tag is never detected</w:t>
            </w:r>
          </w:p>
        </w:tc>
        <w:tc>
          <w:tcPr>
            <w:tcW w:type="dxa" w:w="3600"/>
          </w:tcPr>
          <w:p>
            <w:pPr>
              <w:spacing w:after="0" w:before="0" w:line="240" w:lineRule="auto"/>
              <w:jc w:val="left"/>
            </w:pPr>
            <w:r>
              <w:t>Wrong frequency, damaged tag, incompatible protocol</w:t>
            </w:r>
          </w:p>
        </w:tc>
        <w:tc>
          <w:tcPr>
            <w:tcW w:type="dxa" w:w="3600"/>
          </w:tcPr>
          <w:p>
            <w:pPr>
              <w:spacing w:after="0" w:before="0" w:line="240" w:lineRule="auto"/>
              <w:jc w:val="left"/>
            </w:pPr>
            <w:r>
              <w:t>Verify tag specifications and reader compatibility</w:t>
            </w:r>
          </w:p>
        </w:tc>
      </w:tr>
      <w:tr>
        <w:tc>
          <w:tcPr>
            <w:tcW w:type="dxa" w:w="3600"/>
          </w:tcPr>
          <w:p>
            <w:pPr>
              <w:spacing w:after="0" w:before="0" w:line="240" w:lineRule="auto"/>
              <w:jc w:val="left"/>
            </w:pPr>
            <w:r>
              <w:t>Short or inconsistent read range</w:t>
            </w:r>
          </w:p>
        </w:tc>
        <w:tc>
          <w:tcPr>
            <w:tcW w:type="dxa" w:w="3600"/>
          </w:tcPr>
          <w:p>
            <w:pPr>
              <w:spacing w:after="0" w:before="0" w:line="240" w:lineRule="auto"/>
              <w:jc w:val="left"/>
            </w:pPr>
            <w:r>
              <w:t>Poor orientation, detuning, insufficient RF power, unsuitable tag</w:t>
            </w:r>
          </w:p>
        </w:tc>
        <w:tc>
          <w:tcPr>
            <w:tcW w:type="dxa" w:w="3600"/>
          </w:tcPr>
          <w:p>
            <w:pPr>
              <w:spacing w:after="0" w:before="0" w:line="240" w:lineRule="auto"/>
              <w:jc w:val="left"/>
            </w:pPr>
            <w:r>
              <w:t>Test at the intended mounting position</w:t>
            </w:r>
          </w:p>
        </w:tc>
      </w:tr>
      <w:tr>
        <w:tc>
          <w:tcPr>
            <w:tcW w:type="dxa" w:w="3600"/>
          </w:tcPr>
          <w:p>
            <w:pPr>
              <w:spacing w:after="0" w:before="0" w:line="240" w:lineRule="auto"/>
              <w:jc w:val="left"/>
            </w:pPr>
            <w:r>
              <w:t>Tag works away from the part but fails when mounted</w:t>
            </w:r>
          </w:p>
        </w:tc>
        <w:tc>
          <w:tcPr>
            <w:tcW w:type="dxa" w:w="3600"/>
          </w:tcPr>
          <w:p>
            <w:pPr>
              <w:spacing w:after="0" w:before="0" w:line="240" w:lineRule="auto"/>
              <w:jc w:val="left"/>
            </w:pPr>
            <w:r>
              <w:t>Metal or liquid detuning, shielding, mounting interference</w:t>
            </w:r>
          </w:p>
        </w:tc>
        <w:tc>
          <w:tcPr>
            <w:tcW w:type="dxa" w:w="3600"/>
          </w:tcPr>
          <w:p>
            <w:pPr>
              <w:spacing w:after="0" w:before="0" w:line="240" w:lineRule="auto"/>
              <w:jc w:val="left"/>
            </w:pPr>
            <w:r>
              <w:t>Use a suitable tag and validate the installed arrangement</w:t>
            </w:r>
          </w:p>
        </w:tc>
      </w:tr>
      <w:tr>
        <w:tc>
          <w:tcPr>
            <w:tcW w:type="dxa" w:w="3600"/>
          </w:tcPr>
          <w:p>
            <w:pPr>
              <w:spacing w:after="0" w:before="0" w:line="240" w:lineRule="auto"/>
              <w:jc w:val="left"/>
            </w:pPr>
            <w:r>
              <w:t>Only some tags are detected</w:t>
            </w:r>
          </w:p>
        </w:tc>
        <w:tc>
          <w:tcPr>
            <w:tcW w:type="dxa" w:w="3600"/>
          </w:tcPr>
          <w:p>
            <w:pPr>
              <w:spacing w:after="0" w:before="0" w:line="240" w:lineRule="auto"/>
              <w:jc w:val="left"/>
            </w:pPr>
            <w:r>
              <w:t>Tag variation, damage, orientation, population settings</w:t>
            </w:r>
          </w:p>
        </w:tc>
        <w:tc>
          <w:tcPr>
            <w:tcW w:type="dxa" w:w="3600"/>
          </w:tcPr>
          <w:p>
            <w:pPr>
              <w:spacing w:after="0" w:before="0" w:line="240" w:lineRule="auto"/>
              <w:jc w:val="left"/>
            </w:pPr>
            <w:r>
              <w:t>Compare tag types and test several representative samples</w:t>
            </w:r>
          </w:p>
        </w:tc>
      </w:tr>
      <w:tr>
        <w:tc>
          <w:tcPr>
            <w:tcW w:type="dxa" w:w="3600"/>
          </w:tcPr>
          <w:p>
            <w:pPr>
              <w:spacing w:after="0" w:before="0" w:line="240" w:lineRule="auto"/>
              <w:jc w:val="left"/>
            </w:pPr>
            <w:r>
              <w:t>Wrong identifier is returned</w:t>
            </w:r>
          </w:p>
        </w:tc>
        <w:tc>
          <w:tcPr>
            <w:tcW w:type="dxa" w:w="3600"/>
          </w:tcPr>
          <w:p>
            <w:pPr>
              <w:spacing w:after="0" w:before="0" w:line="240" w:lineRule="auto"/>
              <w:jc w:val="left"/>
            </w:pPr>
            <w:r>
              <w:t>Multiple tags in the field or incorrect application selection</w:t>
            </w:r>
          </w:p>
        </w:tc>
        <w:tc>
          <w:tcPr>
            <w:tcW w:type="dxa" w:w="3600"/>
          </w:tcPr>
          <w:p>
            <w:pPr>
              <w:spacing w:after="0" w:before="0" w:line="240" w:lineRule="auto"/>
              <w:jc w:val="left"/>
            </w:pPr>
            <w:r>
              <w:t>Restrict the reading zone and validate tag identity</w:t>
            </w:r>
          </w:p>
        </w:tc>
      </w:tr>
      <w:tr>
        <w:tc>
          <w:tcPr>
            <w:tcW w:type="dxa" w:w="3600"/>
          </w:tcPr>
          <w:p>
            <w:pPr>
              <w:spacing w:after="0" w:before="0" w:line="240" w:lineRule="auto"/>
              <w:jc w:val="left"/>
            </w:pPr>
            <w:r>
              <w:t>Read data differs between tags</w:t>
            </w:r>
          </w:p>
        </w:tc>
        <w:tc>
          <w:tcPr>
            <w:tcW w:type="dxa" w:w="3600"/>
          </w:tcPr>
          <w:p>
            <w:pPr>
              <w:spacing w:after="0" w:before="0" w:line="240" w:lineRule="auto"/>
              <w:jc w:val="left"/>
            </w:pPr>
            <w:r>
              <w:t>Different memory layouts or data versions</w:t>
            </w:r>
          </w:p>
        </w:tc>
        <w:tc>
          <w:tcPr>
            <w:tcW w:type="dxa" w:w="3600"/>
          </w:tcPr>
          <w:p>
            <w:pPr>
              <w:spacing w:after="0" w:before="0" w:line="240" w:lineRule="auto"/>
              <w:jc w:val="left"/>
            </w:pPr>
            <w:r>
              <w:t>Verify the tag specification and encoding</w:t>
            </w:r>
          </w:p>
        </w:tc>
      </w:tr>
      <w:tr>
        <w:tc>
          <w:tcPr>
            <w:tcW w:type="dxa" w:w="3600"/>
          </w:tcPr>
          <w:p>
            <w:pPr>
              <w:spacing w:after="0" w:before="0" w:line="240" w:lineRule="auto"/>
              <w:jc w:val="left"/>
            </w:pPr>
            <w:r>
              <w:t>Write operation fails</w:t>
            </w:r>
          </w:p>
        </w:tc>
        <w:tc>
          <w:tcPr>
            <w:tcW w:type="dxa" w:w="3600"/>
          </w:tcPr>
          <w:p>
            <w:pPr>
              <w:spacing w:after="0" w:before="0" w:line="240" w:lineRule="auto"/>
              <w:jc w:val="left"/>
            </w:pPr>
            <w:r>
              <w:t>Memory protection, wrong address, weak coupling, unsupported command</w:t>
            </w:r>
          </w:p>
        </w:tc>
        <w:tc>
          <w:tcPr>
            <w:tcW w:type="dxa" w:w="3600"/>
          </w:tcPr>
          <w:p>
            <w:pPr>
              <w:spacing w:after="0" w:before="0" w:line="240" w:lineRule="auto"/>
              <w:jc w:val="left"/>
            </w:pPr>
            <w:r>
              <w:t>Check permissions, memory map, and write result</w:t>
            </w:r>
          </w:p>
        </w:tc>
      </w:tr>
      <w:tr>
        <w:tc>
          <w:tcPr>
            <w:tcW w:type="dxa" w:w="3600"/>
          </w:tcPr>
          <w:p>
            <w:pPr>
              <w:spacing w:after="0" w:before="0" w:line="240" w:lineRule="auto"/>
              <w:jc w:val="left"/>
            </w:pPr>
            <w:r>
              <w:t>Write reports success but data is wrong</w:t>
            </w:r>
          </w:p>
        </w:tc>
        <w:tc>
          <w:tcPr>
            <w:tcW w:type="dxa" w:w="3600"/>
          </w:tcPr>
          <w:p>
            <w:pPr>
              <w:spacing w:after="0" w:before="0" w:line="240" w:lineRule="auto"/>
              <w:jc w:val="left"/>
            </w:pPr>
            <w:r>
              <w:t>Incorrect field offset, length, or encoding</w:t>
            </w:r>
          </w:p>
        </w:tc>
        <w:tc>
          <w:tcPr>
            <w:tcW w:type="dxa" w:w="3600"/>
          </w:tcPr>
          <w:p>
            <w:pPr>
              <w:spacing w:after="0" w:before="0" w:line="240" w:lineRule="auto"/>
              <w:jc w:val="left"/>
            </w:pPr>
            <w:r>
              <w:t>Read back and validate the exact stored content</w:t>
            </w:r>
          </w:p>
        </w:tc>
      </w:tr>
      <w:tr>
        <w:tc>
          <w:tcPr>
            <w:tcW w:type="dxa" w:w="3600"/>
          </w:tcPr>
          <w:p>
            <w:pPr>
              <w:spacing w:after="0" w:before="0" w:line="240" w:lineRule="auto"/>
              <w:jc w:val="left"/>
            </w:pPr>
            <w:r>
              <w:t>Tag stops responding after locking</w:t>
            </w:r>
          </w:p>
        </w:tc>
        <w:tc>
          <w:tcPr>
            <w:tcW w:type="dxa" w:w="3600"/>
          </w:tcPr>
          <w:p>
            <w:pPr>
              <w:spacing w:after="0" w:before="0" w:line="240" w:lineRule="auto"/>
              <w:jc w:val="left"/>
            </w:pPr>
            <w:r>
              <w:t>Memory or tag operation was restricted</w:t>
            </w:r>
          </w:p>
        </w:tc>
        <w:tc>
          <w:tcPr>
            <w:tcW w:type="dxa" w:w="3600"/>
          </w:tcPr>
          <w:p>
            <w:pPr>
              <w:spacing w:after="0" w:before="0" w:line="240" w:lineRule="auto"/>
              <w:jc w:val="left"/>
            </w:pPr>
            <w:r>
              <w:t>Verify lock settings and the manufacturer's recovery rules</w:t>
            </w:r>
          </w:p>
        </w:tc>
      </w:tr>
      <w:tr>
        <w:tc>
          <w:tcPr>
            <w:tcW w:type="dxa" w:w="3600"/>
          </w:tcPr>
          <w:p>
            <w:pPr>
              <w:spacing w:after="0" w:before="0" w:line="240" w:lineRule="auto"/>
              <w:jc w:val="left"/>
            </w:pPr>
            <w:r>
              <w:t>Battery-powered tag stops working</w:t>
            </w:r>
          </w:p>
        </w:tc>
        <w:tc>
          <w:tcPr>
            <w:tcW w:type="dxa" w:w="3600"/>
          </w:tcPr>
          <w:p>
            <w:pPr>
              <w:spacing w:after="0" w:before="0" w:line="240" w:lineRule="auto"/>
              <w:jc w:val="left"/>
            </w:pPr>
            <w:r>
              <w:t>Battery depletion or hardware failure</w:t>
            </w:r>
          </w:p>
        </w:tc>
        <w:tc>
          <w:tcPr>
            <w:tcW w:type="dxa" w:w="3600"/>
          </w:tcPr>
          <w:p>
            <w:pPr>
              <w:spacing w:after="0" w:before="0" w:line="240" w:lineRule="auto"/>
              <w:jc w:val="left"/>
            </w:pPr>
            <w:r>
              <w:t>Check battery status and tag maintenance requirements</w:t>
            </w:r>
          </w:p>
        </w:tc>
      </w:tr>
      <w:tr>
        <w:tc>
          <w:tcPr>
            <w:tcW w:type="dxa" w:w="3600"/>
          </w:tcPr>
          <w:p>
            <w:pPr>
              <w:spacing w:after="0" w:before="0" w:line="240" w:lineRule="auto"/>
              <w:jc w:val="left"/>
            </w:pPr>
            <w:r>
              <w:t>Database record does not match tag</w:t>
            </w:r>
          </w:p>
        </w:tc>
        <w:tc>
          <w:tcPr>
            <w:tcW w:type="dxa" w:w="3600"/>
          </w:tcPr>
          <w:p>
            <w:pPr>
              <w:spacing w:after="0" w:before="0" w:line="240" w:lineRule="auto"/>
              <w:jc w:val="left"/>
            </w:pPr>
            <w:r>
              <w:t>Incorrect identifier mapping or outdated application record</w:t>
            </w:r>
          </w:p>
        </w:tc>
        <w:tc>
          <w:tcPr>
            <w:tcW w:type="dxa" w:w="3600"/>
          </w:tcPr>
          <w:p>
            <w:pPr>
              <w:spacing w:after="0" w:before="0" w:line="240" w:lineRule="auto"/>
              <w:jc w:val="left"/>
            </w:pPr>
            <w:r>
              <w:t>Trace the tag ID through the PLC and host database</w:t>
            </w:r>
          </w:p>
        </w:tc>
      </w:tr>
    </w:tbl>
    <w:p/>
    <w:p>
      <w:pPr>
        <w:pStyle w:val="Heading2"/>
      </w:pPr>
      <w:r>
        <w:t>15. Maintenance and Configuration Management</w:t>
      </w:r>
    </w:p>
    <w:p>
      <w:r>
        <w:t>Maintain records of:</w:t>
      </w:r>
    </w:p>
    <w:p>
      <w:pPr>
        <w:pStyle w:val="ListBullet"/>
      </w:pPr>
      <w:r>
        <w:t>Tag manufacturer and model.</w:t>
      </w:r>
    </w:p>
    <w:p>
      <w:pPr>
        <w:pStyle w:val="ListBullet"/>
      </w:pPr>
      <w:r>
        <w:t>Frequency and supported protocol.</w:t>
      </w:r>
    </w:p>
    <w:p>
      <w:pPr>
        <w:pStyle w:val="ListBullet"/>
      </w:pPr>
      <w:r>
        <w:t>Tag type and mounting requirements.</w:t>
      </w:r>
    </w:p>
    <w:p>
      <w:pPr>
        <w:pStyle w:val="ListBullet"/>
      </w:pPr>
      <w:r>
        <w:t>Memory layout and capacity.</w:t>
      </w:r>
    </w:p>
    <w:p>
      <w:pPr>
        <w:pStyle w:val="ListBullet"/>
      </w:pPr>
      <w:r>
        <w:t>Identifier format and data version.</w:t>
      </w:r>
    </w:p>
    <w:p>
      <w:pPr>
        <w:pStyle w:val="ListBullet"/>
      </w:pPr>
      <w:r>
        <w:t>Read/write permissions and locking configuration.</w:t>
      </w:r>
    </w:p>
    <w:p>
      <w:pPr>
        <w:pStyle w:val="ListBullet"/>
      </w:pPr>
      <w:r>
        <w:t>Reader compatibility.</w:t>
      </w:r>
    </w:p>
    <w:p>
      <w:pPr>
        <w:pStyle w:val="ListBullet"/>
      </w:pPr>
      <w:r>
        <w:t>Approved mounting position.</w:t>
      </w:r>
    </w:p>
    <w:p>
      <w:pPr>
        <w:pStyle w:val="ListBullet"/>
      </w:pPr>
      <w:r>
        <w:t>Environmental ratings and operating limits.</w:t>
      </w:r>
    </w:p>
    <w:p>
      <w:pPr>
        <w:pStyle w:val="ListBullet"/>
      </w:pPr>
      <w:r>
        <w:t>Replacement tag specifications.</w:t>
      </w:r>
    </w:p>
    <w:p>
      <w:pPr>
        <w:pStyle w:val="ListBullet"/>
      </w:pPr>
      <w:r>
        <w:t>Validation and traceability test results.</w:t>
      </w:r>
    </w:p>
    <w:p>
      <w:r>
        <w:t>For systems that write data to tags, also maintain the application memory map, write procedure, access-control policy, and verification method.</w:t>
      </w:r>
    </w:p>
    <w:p>
      <w:r>
        <w:t>When replacing a tag, do not assume that another tag with the same physical dimensions has the same memory layout, frequency, protocol, or read performance.</w:t>
      </w:r>
    </w:p>
    <w:p>
      <w:pPr>
        <w:pStyle w:val="Heading2"/>
      </w:pPr>
      <w:r>
        <w:t>16. Common Interview Questions and Answers</w:t>
      </w:r>
    </w:p>
    <w:p>
      <w:pPr>
        <w:pStyle w:val="Heading3"/>
      </w:pPr>
      <w:r>
        <w:t>Q1. What is RFID?</w:t>
      </w:r>
    </w:p>
    <w:p>
      <w:r>
        <w:t>RFID is a technology that uses radio-frequency communication to identify tagged objects and, depending on the system, read or write stored data.</w:t>
      </w:r>
    </w:p>
    <w:p>
      <w:pPr>
        <w:pStyle w:val="Heading3"/>
      </w:pPr>
      <w:r>
        <w:t>Q2. What is the difference between passive and active RFID?</w:t>
      </w:r>
    </w:p>
    <w:p>
      <w:r>
        <w:t>Passive tags obtain operating energy from the reader's field or coupling mechanism. Active tags use an onboard battery and may actively transmit signals. Battery-assisted passive tags form a separate category in which the battery supports electronics while communication may remain passive-style.</w:t>
      </w:r>
    </w:p>
    <w:p>
      <w:pPr>
        <w:pStyle w:val="Heading3"/>
      </w:pPr>
      <w:r>
        <w:t>Q3. What is backscatter?</w:t>
      </w:r>
    </w:p>
    <w:p>
      <w:r>
        <w:t>Backscatter is a communication method used by many passive UHF RFID tags. The tag changes how it reflects the reader's RF signal to encode its response.</w:t>
      </w:r>
    </w:p>
    <w:p>
      <w:pPr>
        <w:pStyle w:val="Heading3"/>
      </w:pPr>
      <w:r>
        <w:t>Q4. What is the difference between RFID frequency families?</w:t>
      </w:r>
    </w:p>
    <w:p>
      <w:r>
        <w:t>LF, HF, and UHF systems use different frequency ranges and coupling or propagation characteristics. These differences affect antenna design, range, material sensitivity, and suitable applications.</w:t>
      </w:r>
    </w:p>
    <w:p>
      <w:pPr>
        <w:pStyle w:val="Heading3"/>
      </w:pPr>
      <w:r>
        <w:t>Q5. What are EPC, TID, and User memory?</w:t>
      </w:r>
    </w:p>
    <w:p>
      <w:r>
        <w:t>In common UHF Gen2 tags, EPC memory stores an identifier, TID memory contains tag-identification information, and User memory provides optional application storage. Reserved memory may contain access-control information. The exact implementation depends on the tag.</w:t>
      </w:r>
    </w:p>
    <w:p>
      <w:pPr>
        <w:pStyle w:val="Heading3"/>
      </w:pPr>
      <w:r>
        <w:t>Q6. Does every RFID tag have User memory?</w:t>
      </w:r>
    </w:p>
    <w:p>
      <w:r>
        <w:t>No. User memory is optional, and its capacity varies. Some tags provide no general-purpose user memory.</w:t>
      </w:r>
    </w:p>
    <w:p>
      <w:pPr>
        <w:pStyle w:val="Heading3"/>
      </w:pPr>
      <w:r>
        <w:t>Q7. Is the TID always a unique serial number for the tagged product?</w:t>
      </w:r>
    </w:p>
    <w:p>
      <w:r>
        <w:t>No. TID generally identifies aspects of the tag IC or its manufacturer and may include additional identification details. It should not automatically be treated as the product's unique business identifier.</w:t>
      </w:r>
    </w:p>
    <w:p>
      <w:pPr>
        <w:pStyle w:val="Heading3"/>
      </w:pPr>
      <w:r>
        <w:t>Q8. Why is passive RFID common in industrial identification?</w:t>
      </w:r>
    </w:p>
    <w:p>
      <w:r>
        <w:t>Passive tags avoid onboard batteries, can be inexpensive, and are available in many form factors. They are suitable for numerous workpiece, container, and logistics applications when the read environment is properly designed.</w:t>
      </w:r>
    </w:p>
    <w:p>
      <w:pPr>
        <w:pStyle w:val="Heading3"/>
      </w:pPr>
      <w:r>
        <w:t>Q9. Why might a tag fail when mounted on metal?</w:t>
      </w:r>
    </w:p>
    <w:p>
      <w:r>
        <w:t>Metal can change the antenna's electrical characteristics and disturb the RF field. A tag designed for metal mounting or a validated mounting arrangement may be necessary.</w:t>
      </w:r>
    </w:p>
    <w:p>
      <w:pPr>
        <w:pStyle w:val="Heading3"/>
      </w:pPr>
      <w:r>
        <w:t>Q10. Should complete production history be stored in the RFID tag?</w:t>
      </w:r>
    </w:p>
    <w:p>
      <w:r>
        <w:t>Usually not when the history is large or changes frequently. A compact identifier combined with database-based traceability is often easier to maintain. Selected local data may be stored on the tag when the application benefits from it.</w:t>
      </w:r>
    </w:p>
    <w:p>
      <w:pPr>
        <w:pStyle w:val="Heading3"/>
      </w:pPr>
      <w:r>
        <w:t>Q11. What is the difference between read and write operations?</w:t>
      </w:r>
    </w:p>
    <w:p>
      <w:r>
        <w:t>A read retrieves supported data from the tag. A write modifies writable memory. Writes require the correct memory address, permissions, data format, and reliable communication, and should be verified where appropriate.</w:t>
      </w:r>
    </w:p>
    <w:p>
      <w:pPr>
        <w:pStyle w:val="Heading3"/>
      </w:pPr>
      <w:r>
        <w:t>Q12. Why should the PLC verify the tag identifier against the current part?</w:t>
      </w:r>
    </w:p>
    <w:p>
      <w:r>
        <w:t>The reader may detect another nearby tag or read a valid tag associated with a different object. Application-level validation prevents a technically successful read from being assigned to the wrong production transaction.</w:t>
      </w:r>
    </w:p>
    <w:p>
      <w:pPr>
        <w:pStyle w:val="Heading2"/>
      </w:pPr>
      <w:r>
        <w:t>17. Practical Exercises</w:t>
      </w:r>
    </w:p>
    <w:p>
      <w:pPr>
        <w:pStyle w:val="ListBullet"/>
      </w:pPr>
      <w:r>
        <w:t>Identify the RFID reader and tag types used in a real industrial installation.</w:t>
      </w:r>
    </w:p>
    <w:p>
      <w:pPr>
        <w:pStyle w:val="ListBullet"/>
      </w:pPr>
      <w:r>
        <w:t>Determine whether the tags are passive, active, or battery-assisted passive.</w:t>
      </w:r>
    </w:p>
    <w:p>
      <w:pPr>
        <w:pStyle w:val="ListBullet"/>
      </w:pPr>
      <w:r>
        <w:t>Identify the frequency family and supported protocol.</w:t>
      </w:r>
    </w:p>
    <w:p>
      <w:pPr>
        <w:pStyle w:val="ListBullet"/>
      </w:pPr>
      <w:r>
        <w:t>Examine the tag's documented memory layout.</w:t>
      </w:r>
    </w:p>
    <w:p>
      <w:pPr>
        <w:pStyle w:val="ListBullet"/>
      </w:pPr>
      <w:r>
        <w:t>Determine which memory fields are readable, writable, or protected.</w:t>
      </w:r>
    </w:p>
    <w:p>
      <w:pPr>
        <w:pStyle w:val="ListBullet"/>
      </w:pPr>
      <w:r>
        <w:t>Compare the tag identifier with the identifier received by the PLC.</w:t>
      </w:r>
    </w:p>
    <w:p>
      <w:pPr>
        <w:pStyle w:val="ListBullet"/>
      </w:pPr>
      <w:r>
        <w:t>Test read reliability at the intended mounting position and orientation.</w:t>
      </w:r>
    </w:p>
    <w:p>
      <w:pPr>
        <w:pStyle w:val="ListBullet"/>
      </w:pPr>
      <w:r>
        <w:t>Compare performance on plastic and metal mounting surfaces where appropriate.</w:t>
      </w:r>
    </w:p>
    <w:p>
      <w:pPr>
        <w:pStyle w:val="ListBullet"/>
      </w:pPr>
      <w:r>
        <w:t>If write operations are supported, perform a controlled write-and-verify test using an approved test tag.</w:t>
      </w:r>
    </w:p>
    <w:p>
      <w:pPr>
        <w:pStyle w:val="ListBullet"/>
      </w:pPr>
      <w:r>
        <w:t>Document the tag model, memory map, application identifier format, and replacement requirements.</w:t>
      </w:r>
    </w:p>
    <w:p>
      <w:pPr>
        <w:pStyle w:val="Heading2"/>
      </w:pPr>
      <w:r>
        <w:t>18. Final Mental Model</w:t>
      </w:r>
    </w:p>
    <w:p>
      <w:r>
        <w:t>RFID tag selection and memory design involve four key decisions:</w:t>
      </w:r>
    </w:p>
    <w:p>
      <w:pPr>
        <w:tabs>
          <w:tab w:pos="403" w:val="left"/>
        </w:tabs>
        <w:spacing w:after="40" w:line="276" w:lineRule="auto"/>
        <w:ind w:left="403" w:hanging="403"/>
        <w:jc w:val="left"/>
      </w:pPr>
      <w:r>
        <w:rPr>
          <w:color w:val="1A2E4A"/>
        </w:rPr>
        <w:t>1.</w:t>
        <w:tab/>
      </w:r>
      <w:r>
        <w:t>Energy source: Passive, active, or battery-assisted passive.</w:t>
      </w:r>
    </w:p>
    <w:p>
      <w:pPr>
        <w:tabs>
          <w:tab w:pos="403" w:val="left"/>
        </w:tabs>
        <w:spacing w:after="40" w:line="276" w:lineRule="auto"/>
        <w:ind w:left="403" w:hanging="403"/>
        <w:jc w:val="left"/>
      </w:pPr>
      <w:r>
        <w:rPr>
          <w:color w:val="1A2E4A"/>
        </w:rPr>
        <w:t>2.</w:t>
        <w:tab/>
      </w:r>
      <w:r>
        <w:t>Radio technology: Frequency, protocol, antenna characteristics, and installation environment.</w:t>
      </w:r>
    </w:p>
    <w:p>
      <w:pPr>
        <w:tabs>
          <w:tab w:pos="403" w:val="left"/>
        </w:tabs>
        <w:spacing w:after="40" w:line="276" w:lineRule="auto"/>
        <w:ind w:left="403" w:hanging="403"/>
        <w:jc w:val="left"/>
      </w:pPr>
      <w:r>
        <w:rPr>
          <w:color w:val="1A2E4A"/>
        </w:rPr>
        <w:t>3.</w:t>
        <w:tab/>
      </w:r>
      <w:r>
        <w:t>Data storage: Identifier fields, memory capacity, read/write behavior, and access protection.</w:t>
      </w:r>
    </w:p>
    <w:p>
      <w:pPr>
        <w:tabs>
          <w:tab w:pos="403" w:val="left"/>
        </w:tabs>
        <w:spacing w:after="40" w:line="276" w:lineRule="auto"/>
        <w:ind w:left="403" w:hanging="403"/>
        <w:jc w:val="left"/>
      </w:pPr>
      <w:r>
        <w:rPr>
          <w:color w:val="1A2E4A"/>
        </w:rPr>
        <w:t>4.</w:t>
        <w:tab/>
      </w:r>
      <w:r>
        <w:t>Application integration: How the PLC or host validates the tag, associates it with the physical object, and maintains traceability.</w:t>
      </w:r>
    </w:p>
    <w:p>
      <w:r>
        <w:t>The central engineering principle is that a readable tag is not automatically the correct tag, and stored data is not automatically trustworthy application data. Reliable RFID systems combine appropriate tag hardware, controlled memory design, validated reader performance, and correct PLC or host logic.</w:t>
      </w:r>
    </w:p>
    <w:p>
      <w:pPr>
        <w:pStyle w:val="Heading2"/>
      </w:pPr>
      <w:r>
        <w:t>NEXT TOPIC</w:t>
      </w:r>
    </w:p>
    <w:p>
      <w:r>
        <w:rPr>
          <w:rFonts w:ascii="Consolas" w:hAnsi="Consolas"/>
          <w:color w:val="333333"/>
          <w:sz w:val="19"/>
          <w:shd w:val="clear" w:color="auto" w:fill="EFEFEF"/>
        </w:rPr>
        <w:t>02_PLAN_WISE_2026\02_INDUSTRY3_0\02_Auto_Tech\09_Other_Automation\05_RFID\02_Reader_Antenna - Reader &amp; antenna: Range and placement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02_PLAN_WISE_2026\02_INDUSTRY3_0\02_Auto_Tech\09_Other_Automation\05_RFID\01_Tags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