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02_PLAN_WISE_2026\02_INDUSTRY3_0\02_Auto_Tech\09_Other_Automation\05_RFID\02_Reader_Antenna</w:t>
      </w:r>
    </w:p>
    <w:p>
      <w:pPr>
        <w:pStyle w:val="Heading1"/>
        <w:pBdr>
          <w:bottom w:val="single" w:sz="6" w:space="6" w:color="1A2E4A"/>
        </w:pBdr>
        <w:spacing w:after="200"/>
      </w:pPr>
      <w:r>
        <w:t>Reader and Antenna: Range and Placement</w:t>
      </w:r>
    </w:p>
    <w:p>
      <w:pPr>
        <w:pStyle w:val="Heading2"/>
      </w:pPr>
      <w:r>
        <w:t>1. Purpose and Scope</w:t>
      </w:r>
    </w:p>
    <w:p>
      <w:r>
        <w:t>An RFID system needs a reader and an antenna to communicate with RFID tags. The reader generates and processes the radio-frequency communication, while the antenna couples the RF energy and signals between the reader and the tag.</w:t>
      </w:r>
    </w:p>
    <w:p>
      <w:r>
        <w:t>In industrial automation, selecting the correct reader is only half the job. Antenna type, mounting position, tag orientation, surrounding materials, conveyor speed, and nearby RFID systems determine whether the installation reads the correct tag reliably.</w:t>
      </w:r>
    </w:p>
    <w:p>
      <w:r>
        <w:t>A system that reads a tag perfectly on a workbench may fail when the tag is mounted on a metal fixture moving through a production line. Industrial commissioning must therefore validate the complete installation, not just the reader's specifications.</w:t>
      </w:r>
    </w:p>
    <w:p>
      <w:pPr>
        <w:pStyle w:val="Heading2"/>
      </w:pPr>
      <w:r>
        <w:t>2. Reader vs Antenna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Primary function</w:t>
            </w:r>
          </w:p>
        </w:tc>
        <w:tc>
          <w:tcPr>
            <w:tcW w:type="dxa" w:w="3600"/>
            <w:shd w:val="clear" w:color="auto" w:fill="EEF2F7"/>
          </w:tcPr>
          <w:p>
            <w:pPr>
              <w:spacing w:after="0" w:before="0" w:line="240" w:lineRule="auto"/>
              <w:jc w:val="left"/>
            </w:pPr>
            <w:r>
              <w:rPr>
                <w:b/>
                <w:color w:val="1A2E4A"/>
              </w:rPr>
              <w:t>Typical considerations</w:t>
            </w:r>
          </w:p>
        </w:tc>
      </w:tr>
      <w:tr>
        <w:tc>
          <w:tcPr>
            <w:tcW w:type="dxa" w:w="3600"/>
          </w:tcPr>
          <w:p>
            <w:pPr>
              <w:spacing w:after="0" w:before="0" w:line="240" w:lineRule="auto"/>
              <w:jc w:val="left"/>
            </w:pPr>
            <w:r>
              <w:t>RFID reader</w:t>
            </w:r>
          </w:p>
        </w:tc>
        <w:tc>
          <w:tcPr>
            <w:tcW w:type="dxa" w:w="3600"/>
          </w:tcPr>
          <w:p>
            <w:pPr>
              <w:spacing w:after="0" w:before="0" w:line="240" w:lineRule="auto"/>
              <w:jc w:val="left"/>
            </w:pPr>
            <w:r>
              <w:t>Generates RF signals, communicates with tags, processes tag responses, and reports tag data</w:t>
            </w:r>
          </w:p>
        </w:tc>
        <w:tc>
          <w:tcPr>
            <w:tcW w:type="dxa" w:w="3600"/>
          </w:tcPr>
          <w:p>
            <w:pPr>
              <w:spacing w:after="0" w:before="0" w:line="240" w:lineRule="auto"/>
              <w:jc w:val="left"/>
            </w:pPr>
            <w:r>
              <w:t>Frequency, transmit power, receiver sensitivity, protocols, interfaces, supported antennas</w:t>
            </w:r>
          </w:p>
        </w:tc>
      </w:tr>
      <w:tr>
        <w:tc>
          <w:tcPr>
            <w:tcW w:type="dxa" w:w="3600"/>
          </w:tcPr>
          <w:p>
            <w:pPr>
              <w:spacing w:after="0" w:before="0" w:line="240" w:lineRule="auto"/>
              <w:jc w:val="left"/>
            </w:pPr>
            <w:r>
              <w:t>RFID antenna</w:t>
            </w:r>
          </w:p>
        </w:tc>
        <w:tc>
          <w:tcPr>
            <w:tcW w:type="dxa" w:w="3600"/>
          </w:tcPr>
          <w:p>
            <w:pPr>
              <w:spacing w:after="0" w:before="0" w:line="240" w:lineRule="auto"/>
              <w:jc w:val="left"/>
            </w:pPr>
            <w:r>
              <w:t>Radiates RF energy and receives signals from tags</w:t>
            </w:r>
          </w:p>
        </w:tc>
        <w:tc>
          <w:tcPr>
            <w:tcW w:type="dxa" w:w="3600"/>
          </w:tcPr>
          <w:p>
            <w:pPr>
              <w:spacing w:after="0" w:before="0" w:line="240" w:lineRule="auto"/>
              <w:jc w:val="left"/>
            </w:pPr>
            <w:r>
              <w:t>Frequency band, gain, polarization, beamwidth, radiation pattern, mounting</w:t>
            </w:r>
          </w:p>
        </w:tc>
      </w:tr>
      <w:tr>
        <w:tc>
          <w:tcPr>
            <w:tcW w:type="dxa" w:w="3600"/>
          </w:tcPr>
          <w:p>
            <w:pPr>
              <w:spacing w:after="0" w:before="0" w:line="240" w:lineRule="auto"/>
              <w:jc w:val="left"/>
            </w:pPr>
            <w:r>
              <w:t>RFID tag</w:t>
            </w:r>
          </w:p>
        </w:tc>
        <w:tc>
          <w:tcPr>
            <w:tcW w:type="dxa" w:w="3600"/>
          </w:tcPr>
          <w:p>
            <w:pPr>
              <w:spacing w:after="0" w:before="0" w:line="240" w:lineRule="auto"/>
              <w:jc w:val="left"/>
            </w:pPr>
            <w:r>
              <w:t>Stores an identifier and possibly additional data, then responds to the reader</w:t>
            </w:r>
          </w:p>
        </w:tc>
        <w:tc>
          <w:tcPr>
            <w:tcW w:type="dxa" w:w="3600"/>
          </w:tcPr>
          <w:p>
            <w:pPr>
              <w:spacing w:after="0" w:before="0" w:line="240" w:lineRule="auto"/>
              <w:jc w:val="left"/>
            </w:pPr>
            <w:r>
              <w:t>Tag technology, chip sensitivity, memory, orientation, mounting surface</w:t>
            </w:r>
          </w:p>
        </w:tc>
      </w:tr>
      <w:tr>
        <w:tc>
          <w:tcPr>
            <w:tcW w:type="dxa" w:w="3600"/>
          </w:tcPr>
          <w:p>
            <w:pPr>
              <w:spacing w:after="0" w:before="0" w:line="240" w:lineRule="auto"/>
              <w:jc w:val="left"/>
            </w:pPr>
            <w:r>
              <w:t>RF cable</w:t>
            </w:r>
          </w:p>
        </w:tc>
        <w:tc>
          <w:tcPr>
            <w:tcW w:type="dxa" w:w="3600"/>
          </w:tcPr>
          <w:p>
            <w:pPr>
              <w:spacing w:after="0" w:before="0" w:line="240" w:lineRule="auto"/>
              <w:jc w:val="left"/>
            </w:pPr>
            <w:r>
              <w:t>Connects an external antenna to the reader</w:t>
            </w:r>
          </w:p>
        </w:tc>
        <w:tc>
          <w:tcPr>
            <w:tcW w:type="dxa" w:w="3600"/>
          </w:tcPr>
          <w:p>
            <w:pPr>
              <w:spacing w:after="0" w:before="0" w:line="240" w:lineRule="auto"/>
              <w:jc w:val="left"/>
            </w:pPr>
            <w:r>
              <w:t>Cable length, connector type, impedance, insertion loss</w:t>
            </w:r>
          </w:p>
        </w:tc>
      </w:tr>
      <w:tr>
        <w:tc>
          <w:tcPr>
            <w:tcW w:type="dxa" w:w="3600"/>
          </w:tcPr>
          <w:p>
            <w:pPr>
              <w:spacing w:after="0" w:before="0" w:line="240" w:lineRule="auto"/>
              <w:jc w:val="left"/>
            </w:pPr>
            <w:r>
              <w:t>Reader controller or PLC interface</w:t>
            </w:r>
          </w:p>
        </w:tc>
        <w:tc>
          <w:tcPr>
            <w:tcW w:type="dxa" w:w="3600"/>
          </w:tcPr>
          <w:p>
            <w:pPr>
              <w:spacing w:after="0" w:before="0" w:line="240" w:lineRule="auto"/>
              <w:jc w:val="left"/>
            </w:pPr>
            <w:r>
              <w:t>Integrates RFID results into the machine sequence</w:t>
            </w:r>
          </w:p>
        </w:tc>
        <w:tc>
          <w:tcPr>
            <w:tcW w:type="dxa" w:w="3600"/>
          </w:tcPr>
          <w:p>
            <w:pPr>
              <w:spacing w:after="0" w:before="0" w:line="240" w:lineRule="auto"/>
              <w:jc w:val="left"/>
            </w:pPr>
            <w:r>
              <w:t>Trigger, completion status, data validation, timeout and fault handling</w:t>
            </w:r>
          </w:p>
        </w:tc>
      </w:tr>
    </w:tbl>
    <w:p/>
    <w:p>
      <w:r>
        <w:t>A reader with excellent specifications can still deliver poor results if the antenna is unsuitable, the cable has excessive loss, or the tag is mounted incorrectly.</w:t>
      </w:r>
    </w:p>
    <w:p>
      <w:pPr>
        <w:pStyle w:val="Heading2"/>
      </w:pPr>
      <w:r>
        <w:t>3. Reader and Antenna Architectures</w:t>
      </w:r>
    </w:p>
    <w:p>
      <w:pPr>
        <w:pStyle w:val="Heading3"/>
      </w:pPr>
      <w:r>
        <w:t>3.1 Integrated Reader and Antenna</w:t>
      </w:r>
    </w:p>
    <w:p>
      <w:r>
        <w:t>The reader electronics and antenna are housed in one device.</w:t>
      </w:r>
    </w:p>
    <w:p>
      <w:r>
        <w:t>Common applications include compact workstations, conveyor stations, access control, and localized identification points.</w:t>
      </w:r>
    </w:p>
    <w:p>
      <w:r>
        <w:t>Advantages:</w:t>
      </w:r>
    </w:p>
    <w:p>
      <w:pPr>
        <w:pStyle w:val="ListBullet"/>
      </w:pPr>
      <w:r>
        <w:t>Fewer external RF connections.</w:t>
      </w:r>
    </w:p>
    <w:p>
      <w:pPr>
        <w:pStyle w:val="ListBullet"/>
      </w:pPr>
      <w:r>
        <w:t>Compact installation and simpler wiring.</w:t>
      </w:r>
    </w:p>
    <w:p>
      <w:pPr>
        <w:pStyle w:val="ListBullet"/>
      </w:pPr>
      <w:r>
        <w:t>Easier mounting in applications with a defined read zone.</w:t>
      </w:r>
    </w:p>
    <w:p>
      <w:r>
        <w:t>Limitations:</w:t>
      </w:r>
    </w:p>
    <w:p>
      <w:pPr>
        <w:pStyle w:val="ListBullet"/>
      </w:pPr>
      <w:r>
        <w:t>Antenna position and pattern may offer limited adjustment.</w:t>
      </w:r>
    </w:p>
    <w:p>
      <w:pPr>
        <w:pStyle w:val="ListBullet"/>
      </w:pPr>
      <w:r>
        <w:t>The complete device must be repositioned to change the read zone.</w:t>
      </w:r>
    </w:p>
    <w:p>
      <w:pPr>
        <w:pStyle w:val="ListBullet"/>
      </w:pPr>
      <w:r>
        <w:t>Metal mounting surfaces can affect performance if the device is not designed for them.</w:t>
      </w:r>
    </w:p>
    <w:p>
      <w:pPr>
        <w:pStyle w:val="Heading3"/>
      </w:pPr>
      <w:r>
        <w:t>3.2 Reader with External Antenna</w:t>
      </w:r>
    </w:p>
    <w:p>
      <w:r>
        <w:t>The reader connects to one or more separate antennas through RF cables.</w:t>
      </w:r>
    </w:p>
    <w:p>
      <w:r>
        <w:t>Advantages:</w:t>
      </w:r>
    </w:p>
    <w:p>
      <w:pPr>
        <w:pStyle w:val="ListBullet"/>
      </w:pPr>
      <w:r>
        <w:t>Antennas can be positioned independently of the reader.</w:t>
      </w:r>
    </w:p>
    <w:p>
      <w:pPr>
        <w:pStyle w:val="ListBullet"/>
      </w:pPr>
      <w:r>
        <w:t>Several read zones can be covered by one compatible multiport reader.</w:t>
      </w:r>
    </w:p>
    <w:p>
      <w:pPr>
        <w:pStyle w:val="ListBullet"/>
      </w:pPr>
      <w:r>
        <w:t>Antenna type, polarization, and placement can be optimized for the application.</w:t>
      </w:r>
    </w:p>
    <w:p>
      <w:r>
        <w:t>Limitations:</w:t>
      </w:r>
    </w:p>
    <w:p>
      <w:pPr>
        <w:pStyle w:val="ListBullet"/>
      </w:pPr>
      <w:r>
        <w:t>Cable loss reduces the RF power delivered to the antenna and weakens the received signal.</w:t>
      </w:r>
    </w:p>
    <w:p>
      <w:pPr>
        <w:pStyle w:val="ListBullet"/>
      </w:pPr>
      <w:r>
        <w:t>Cable routing, connector quality, and antenna-port configuration require attention.</w:t>
      </w:r>
    </w:p>
    <w:p>
      <w:pPr>
        <w:pStyle w:val="ListBullet"/>
      </w:pPr>
      <w:r>
        <w:t>Multiple antennas may produce overlapping read zones or interference if poorly designed.</w:t>
      </w:r>
    </w:p>
    <w:p>
      <w:pPr>
        <w:pStyle w:val="Heading3"/>
      </w:pPr>
      <w:r>
        <w:t>3.3 Fixed, Handheld, and Multiplexed Readers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Reader arrangement</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Main design consideration</w:t>
            </w:r>
          </w:p>
        </w:tc>
      </w:tr>
      <w:tr>
        <w:tc>
          <w:tcPr>
            <w:tcW w:type="dxa" w:w="3600"/>
          </w:tcPr>
          <w:p>
            <w:pPr>
              <w:spacing w:after="0" w:before="0" w:line="240" w:lineRule="auto"/>
              <w:jc w:val="left"/>
            </w:pPr>
            <w:r>
              <w:t>Fixed reader</w:t>
            </w:r>
          </w:p>
        </w:tc>
        <w:tc>
          <w:tcPr>
            <w:tcW w:type="dxa" w:w="3600"/>
          </w:tcPr>
          <w:p>
            <w:pPr>
              <w:spacing w:after="0" w:before="0" w:line="240" w:lineRule="auto"/>
              <w:jc w:val="left"/>
            </w:pPr>
            <w:r>
              <w:t>Conveyor, assembly station, pallet tracking</w:t>
            </w:r>
          </w:p>
        </w:tc>
        <w:tc>
          <w:tcPr>
            <w:tcW w:type="dxa" w:w="3600"/>
          </w:tcPr>
          <w:p>
            <w:pPr>
              <w:spacing w:after="0" w:before="0" w:line="240" w:lineRule="auto"/>
              <w:jc w:val="left"/>
            </w:pPr>
            <w:r>
              <w:t>Repeatable read zone and PLC integration</w:t>
            </w:r>
          </w:p>
        </w:tc>
      </w:tr>
      <w:tr>
        <w:tc>
          <w:tcPr>
            <w:tcW w:type="dxa" w:w="3600"/>
          </w:tcPr>
          <w:p>
            <w:pPr>
              <w:spacing w:after="0" w:before="0" w:line="240" w:lineRule="auto"/>
              <w:jc w:val="left"/>
            </w:pPr>
            <w:r>
              <w:t>Handheld reader</w:t>
            </w:r>
          </w:p>
        </w:tc>
        <w:tc>
          <w:tcPr>
            <w:tcW w:type="dxa" w:w="3600"/>
          </w:tcPr>
          <w:p>
            <w:pPr>
              <w:spacing w:after="0" w:before="0" w:line="240" w:lineRule="auto"/>
              <w:jc w:val="left"/>
            </w:pPr>
            <w:r>
              <w:t>Maintenance, inventory, manual identification</w:t>
            </w:r>
          </w:p>
        </w:tc>
        <w:tc>
          <w:tcPr>
            <w:tcW w:type="dxa" w:w="3600"/>
          </w:tcPr>
          <w:p>
            <w:pPr>
              <w:spacing w:after="0" w:before="0" w:line="240" w:lineRule="auto"/>
              <w:jc w:val="left"/>
            </w:pPr>
            <w:r>
              <w:t>Operator positioning and ergonomics</w:t>
            </w:r>
          </w:p>
        </w:tc>
      </w:tr>
      <w:tr>
        <w:tc>
          <w:tcPr>
            <w:tcW w:type="dxa" w:w="3600"/>
          </w:tcPr>
          <w:p>
            <w:pPr>
              <w:spacing w:after="0" w:before="0" w:line="240" w:lineRule="auto"/>
              <w:jc w:val="left"/>
            </w:pPr>
            <w:r>
              <w:t>Multiport fixed reader</w:t>
            </w:r>
          </w:p>
        </w:tc>
        <w:tc>
          <w:tcPr>
            <w:tcW w:type="dxa" w:w="3600"/>
          </w:tcPr>
          <w:p>
            <w:pPr>
              <w:spacing w:after="0" w:before="0" w:line="240" w:lineRule="auto"/>
              <w:jc w:val="left"/>
            </w:pPr>
            <w:r>
              <w:t>Several antennas around one machine or portal</w:t>
            </w:r>
          </w:p>
        </w:tc>
        <w:tc>
          <w:tcPr>
            <w:tcW w:type="dxa" w:w="3600"/>
          </w:tcPr>
          <w:p>
            <w:pPr>
              <w:spacing w:after="0" w:before="0" w:line="240" w:lineRule="auto"/>
              <w:jc w:val="left"/>
            </w:pPr>
            <w:r>
              <w:t>Antenna switching, zone identification, and read-cycle timing</w:t>
            </w:r>
          </w:p>
        </w:tc>
      </w:tr>
      <w:tr>
        <w:tc>
          <w:tcPr>
            <w:tcW w:type="dxa" w:w="3600"/>
          </w:tcPr>
          <w:p>
            <w:pPr>
              <w:spacing w:after="0" w:before="0" w:line="240" w:lineRule="auto"/>
              <w:jc w:val="left"/>
            </w:pPr>
            <w:r>
              <w:t>Networked reader system</w:t>
            </w:r>
          </w:p>
        </w:tc>
        <w:tc>
          <w:tcPr>
            <w:tcW w:type="dxa" w:w="3600"/>
          </w:tcPr>
          <w:p>
            <w:pPr>
              <w:spacing w:after="0" w:before="0" w:line="240" w:lineRule="auto"/>
              <w:jc w:val="left"/>
            </w:pPr>
            <w:r>
              <w:t>Multiple identification points across a line</w:t>
            </w:r>
          </w:p>
        </w:tc>
        <w:tc>
          <w:tcPr>
            <w:tcW w:type="dxa" w:w="3600"/>
          </w:tcPr>
          <w:p>
            <w:pPr>
              <w:spacing w:after="0" w:before="0" w:line="240" w:lineRule="auto"/>
              <w:jc w:val="left"/>
            </w:pPr>
            <w:r>
              <w:t>Data routing, device configuration, network diagnostics</w:t>
            </w:r>
          </w:p>
        </w:tc>
      </w:tr>
    </w:tbl>
    <w:p/>
    <w:p>
      <w:r>
        <w:t>A multiport reader does not necessarily transmit through every antenna simultaneously. Many systems switch between ports according to a configured sequence. Confirm the reader's actual operating mode in its documentation.</w:t>
      </w:r>
    </w:p>
    <w:p>
      <w:pPr>
        <w:pStyle w:val="Heading2"/>
      </w:pPr>
      <w:r>
        <w:t>4. RFID Frequency Determines the Antenna Design</w:t>
      </w:r>
    </w:p>
    <w:p>
      <w:r>
        <w:t>Reader and antenna selection must begin with the RFID frequency band. An antenna designed for one band cannot be assumed to work efficiently in another.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Band</w:t>
            </w:r>
          </w:p>
        </w:tc>
        <w:tc>
          <w:tcPr>
            <w:tcW w:type="dxa" w:w="2700"/>
            <w:shd w:val="clear" w:color="auto" w:fill="EEF2F7"/>
          </w:tcPr>
          <w:p>
            <w:pPr>
              <w:spacing w:after="0" w:before="0" w:line="240" w:lineRule="auto"/>
              <w:jc w:val="left"/>
            </w:pPr>
            <w:r>
              <w:rPr>
                <w:b/>
                <w:color w:val="1A2E4A"/>
              </w:rPr>
              <w:t>Typical operating frequency</w:t>
            </w:r>
          </w:p>
        </w:tc>
        <w:tc>
          <w:tcPr>
            <w:tcW w:type="dxa" w:w="2700"/>
            <w:shd w:val="clear" w:color="auto" w:fill="EEF2F7"/>
          </w:tcPr>
          <w:p>
            <w:pPr>
              <w:spacing w:after="0" w:before="0" w:line="240" w:lineRule="auto"/>
              <w:jc w:val="left"/>
            </w:pPr>
            <w:r>
              <w:rPr>
                <w:b/>
                <w:color w:val="1A2E4A"/>
              </w:rPr>
              <w:t>Common coupling behavior</w:t>
            </w:r>
          </w:p>
        </w:tc>
        <w:tc>
          <w:tcPr>
            <w:tcW w:type="dxa" w:w="2700"/>
            <w:shd w:val="clear" w:color="auto" w:fill="EEF2F7"/>
          </w:tcPr>
          <w:p>
            <w:pPr>
              <w:spacing w:after="0" w:before="0" w:line="240" w:lineRule="auto"/>
              <w:jc w:val="left"/>
            </w:pPr>
            <w:r>
              <w:rPr>
                <w:b/>
                <w:color w:val="1A2E4A"/>
              </w:rPr>
              <w:t>Typical applications</w:t>
            </w:r>
          </w:p>
        </w:tc>
      </w:tr>
      <w:tr>
        <w:tc>
          <w:tcPr>
            <w:tcW w:type="dxa" w:w="2700"/>
          </w:tcPr>
          <w:p>
            <w:pPr>
              <w:spacing w:after="0" w:before="0" w:line="240" w:lineRule="auto"/>
              <w:jc w:val="left"/>
            </w:pPr>
            <w:r>
              <w:t>LF</w:t>
            </w:r>
          </w:p>
        </w:tc>
        <w:tc>
          <w:tcPr>
            <w:tcW w:type="dxa" w:w="2700"/>
          </w:tcPr>
          <w:p>
            <w:pPr>
              <w:spacing w:after="0" w:before="0" w:line="240" w:lineRule="auto"/>
              <w:jc w:val="left"/>
            </w:pPr>
            <w:r>
              <w:t>125 kHz or 134.2 kHz, depending on the system</w:t>
            </w:r>
          </w:p>
        </w:tc>
        <w:tc>
          <w:tcPr>
            <w:tcW w:type="dxa" w:w="2700"/>
          </w:tcPr>
          <w:p>
            <w:pPr>
              <w:spacing w:after="0" w:before="0" w:line="240" w:lineRule="auto"/>
              <w:jc w:val="left"/>
            </w:pPr>
            <w:r>
              <w:t>Magnetic near-field coupling</w:t>
            </w:r>
          </w:p>
        </w:tc>
        <w:tc>
          <w:tcPr>
            <w:tcW w:type="dxa" w:w="2700"/>
          </w:tcPr>
          <w:p>
            <w:pPr>
              <w:spacing w:after="0" w:before="0" w:line="240" w:lineRule="auto"/>
              <w:jc w:val="left"/>
            </w:pPr>
            <w:r>
              <w:t>Animal identification, specialized industrial identification</w:t>
            </w:r>
          </w:p>
        </w:tc>
      </w:tr>
      <w:tr>
        <w:tc>
          <w:tcPr>
            <w:tcW w:type="dxa" w:w="2700"/>
          </w:tcPr>
          <w:p>
            <w:pPr>
              <w:spacing w:after="0" w:before="0" w:line="240" w:lineRule="auto"/>
              <w:jc w:val="left"/>
            </w:pPr>
            <w:r>
              <w:t>HF</w:t>
            </w:r>
          </w:p>
        </w:tc>
        <w:tc>
          <w:tcPr>
            <w:tcW w:type="dxa" w:w="2700"/>
          </w:tcPr>
          <w:p>
            <w:pPr>
              <w:spacing w:after="0" w:before="0" w:line="240" w:lineRule="auto"/>
              <w:jc w:val="left"/>
            </w:pPr>
            <w:r>
              <w:t>13.56 MHz</w:t>
            </w:r>
          </w:p>
        </w:tc>
        <w:tc>
          <w:tcPr>
            <w:tcW w:type="dxa" w:w="2700"/>
          </w:tcPr>
          <w:p>
            <w:pPr>
              <w:spacing w:after="0" w:before="0" w:line="240" w:lineRule="auto"/>
              <w:jc w:val="left"/>
            </w:pPr>
            <w:r>
              <w:t>Magnetic near-field coupling</w:t>
            </w:r>
          </w:p>
        </w:tc>
        <w:tc>
          <w:tcPr>
            <w:tcW w:type="dxa" w:w="2700"/>
          </w:tcPr>
          <w:p>
            <w:pPr>
              <w:spacing w:after="0" w:before="0" w:line="240" w:lineRule="auto"/>
              <w:jc w:val="left"/>
            </w:pPr>
            <w:r>
              <w:t>Smart cards, NFC-related systems, industrial HF identification</w:t>
            </w:r>
          </w:p>
        </w:tc>
      </w:tr>
      <w:tr>
        <w:tc>
          <w:tcPr>
            <w:tcW w:type="dxa" w:w="2700"/>
          </w:tcPr>
          <w:p>
            <w:pPr>
              <w:spacing w:after="0" w:before="0" w:line="240" w:lineRule="auto"/>
              <w:jc w:val="left"/>
            </w:pPr>
            <w:r>
              <w:t>UHF</w:t>
            </w:r>
          </w:p>
        </w:tc>
        <w:tc>
          <w:tcPr>
            <w:tcW w:type="dxa" w:w="2700"/>
          </w:tcPr>
          <w:p>
            <w:pPr>
              <w:spacing w:after="0" w:before="0" w:line="240" w:lineRule="auto"/>
              <w:jc w:val="left"/>
            </w:pPr>
            <w:r>
              <w:t>Commonly around 860–960 MHz, depending on region and system</w:t>
            </w:r>
          </w:p>
        </w:tc>
        <w:tc>
          <w:tcPr>
            <w:tcW w:type="dxa" w:w="2700"/>
          </w:tcPr>
          <w:p>
            <w:pPr>
              <w:spacing w:after="0" w:before="0" w:line="240" w:lineRule="auto"/>
              <w:jc w:val="left"/>
            </w:pPr>
            <w:r>
              <w:t>Far-field communication and backscatter</w:t>
            </w:r>
          </w:p>
        </w:tc>
        <w:tc>
          <w:tcPr>
            <w:tcW w:type="dxa" w:w="2700"/>
          </w:tcPr>
          <w:p>
            <w:pPr>
              <w:spacing w:after="0" w:before="0" w:line="240" w:lineRule="auto"/>
              <w:jc w:val="left"/>
            </w:pPr>
            <w:r>
              <w:t>Logistics, pallet tracking, conveyor and vehicle identification</w:t>
            </w:r>
          </w:p>
        </w:tc>
      </w:tr>
    </w:tbl>
    <w:p/>
    <w:p>
      <w:r>
        <w:t>The frequency band affects antenna dimensions, coupling behavior, propagation, metal sensitivity, tag design, and achievable range. Actual capabilities depend on the particular RFID standard and hardware.</w:t>
      </w:r>
    </w:p>
    <w:p>
      <w:pPr>
        <w:pStyle w:val="Heading2"/>
      </w:pPr>
      <w:r>
        <w:t>5. Understanding RFID Read Range</w:t>
      </w:r>
    </w:p>
    <w:p>
      <w:r>
        <w:t>Read range is the distance over which a reader can successfully identify a tag under specified conditions.</w:t>
      </w:r>
    </w:p>
    <w:p>
      <w:r>
        <w:t>There is no single universal RFID read-range value. The range depends on the reader, antenna, tag, operating frequency, environment, and required reliability.</w:t>
      </w:r>
    </w:p>
    <w:p>
      <w:r>
        <w:t>Important factors include:</w:t>
      </w:r>
    </w:p>
    <w:p>
      <w:pPr>
        <w:pStyle w:val="ListBullet"/>
      </w:pPr>
      <w:r>
        <w:t>Reader transmit power and receiver sensitivity.</w:t>
      </w:r>
    </w:p>
    <w:p>
      <w:pPr>
        <w:pStyle w:val="ListBullet"/>
      </w:pPr>
      <w:r>
        <w:t>Antenna gain, polarization, and radiation pattern.</w:t>
      </w:r>
    </w:p>
    <w:p>
      <w:pPr>
        <w:pStyle w:val="ListBullet"/>
      </w:pPr>
      <w:r>
        <w:t>Tag chip sensitivity, antenna size, and orientation.</w:t>
      </w:r>
    </w:p>
    <w:p>
      <w:pPr>
        <w:pStyle w:val="ListBullet"/>
      </w:pPr>
      <w:r>
        <w:t>Distance and relative angle between reader antenna and tag.</w:t>
      </w:r>
    </w:p>
    <w:p>
      <w:pPr>
        <w:pStyle w:val="ListBullet"/>
      </w:pPr>
      <w:r>
        <w:t>Metal, liquid, and other materials near the tag or antenna.</w:t>
      </w:r>
    </w:p>
    <w:p>
      <w:pPr>
        <w:pStyle w:val="ListBullet"/>
      </w:pPr>
      <w:r>
        <w:t>RF cable losses and connector condition.</w:t>
      </w:r>
    </w:p>
    <w:p>
      <w:pPr>
        <w:pStyle w:val="ListBullet"/>
      </w:pPr>
      <w:r>
        <w:t>Nearby readers, RF noise, and electromagnetic interference.</w:t>
      </w:r>
    </w:p>
    <w:p>
      <w:pPr>
        <w:pStyle w:val="ListBullet"/>
      </w:pPr>
      <w:r>
        <w:t>Tag population, inventory timing, and movement speed.</w:t>
      </w:r>
    </w:p>
    <w:p>
      <w:pPr>
        <w:pStyle w:val="ListBullet"/>
      </w:pPr>
      <w:r>
        <w:t>Applicable regional radio regulations and system configuration.</w:t>
      </w:r>
    </w:p>
    <w:p>
      <w:pPr>
        <w:pStyle w:val="Heading3"/>
      </w:pPr>
      <w:r>
        <w:t>5.1 Maximum Range vs Reliable Operating Range</w:t>
      </w:r>
    </w:p>
    <w:p>
      <w:r>
        <w:t>The maximum range stated in a datasheet is usually measured under specified test conditions. It should not be treated as a guaranteed production-line range.</w:t>
      </w:r>
    </w:p>
    <w:p>
      <w:r>
        <w:t>For industrial design, distinguish between:</w:t>
      </w:r>
    </w:p>
    <w:p>
      <w:pPr>
        <w:pStyle w:val="ListBullet"/>
      </w:pPr>
      <w:r>
        <w:t>Maximum detectable range: The greatest distance at which a tag may be read under favorable conditions.</w:t>
      </w:r>
    </w:p>
    <w:p>
      <w:pPr>
        <w:pStyle w:val="ListBullet"/>
      </w:pPr>
      <w:r>
        <w:t>Reliable operating range: The distance interval over which the tag is read consistently in the actual installation.</w:t>
      </w:r>
    </w:p>
    <w:p>
      <w:pPr>
        <w:pStyle w:val="ListBullet"/>
      </w:pPr>
      <w:r>
        <w:t>Read-zone boundary: The practical physical boundary used to determine where tags should and should not be detected.</w:t>
      </w:r>
    </w:p>
    <w:p>
      <w:r>
        <w:t>The reliable range is the one that matters to production. A tag that reads nine times out of ten is not a dependable identification system merely because the datasheet looks impressive.</w:t>
      </w:r>
    </w:p>
    <w:p>
      <w:pPr>
        <w:pStyle w:val="Heading3"/>
      </w:pPr>
      <w:r>
        <w:t>5.2 Simplified UHF Range Relationship</w:t>
      </w:r>
    </w:p>
    <w:p>
      <w:r>
        <w:t>For a simplified far-field UHF system, the received power at a tag decreases as the distance increases. Under ideal free-space conditions, the Friis transmission relationship is:</w:t>
      </w:r>
    </w:p>
    <w:p>
      <w:pPr>
        <w:spacing w:before="120" w:after="160"/>
        <w:jc w:val="center"/>
      </w:pPr>
      <m:oMathPara>
        <m:oMath>
          <m:sSub>
            <m:e>
              <m:r>
                <m:t>P</m:t>
              </m:r>
            </m:e>
            <m:sub>
              <m:r>
                <m:t>r</m:t>
              </m:r>
            </m:sub>
          </m:sSub>
          <m:r>
            <m:t>=</m:t>
          </m:r>
          <m:sSub>
            <m:e>
              <m:r>
                <m:t>P</m:t>
              </m:r>
            </m:e>
            <m:sub>
              <m:r>
                <m:t>t</m:t>
              </m:r>
            </m:sub>
          </m:sSub>
          <m:sSub>
            <m:e>
              <m:r>
                <m:t>G</m:t>
              </m:r>
            </m:e>
            <m:sub>
              <m:r>
                <m:t>t</m:t>
              </m:r>
            </m:sub>
          </m:sSub>
          <m:sSub>
            <m:e>
              <m:r>
                <m:t>G</m:t>
              </m:r>
            </m:e>
            <m:sub>
              <m:r>
                <m:t>r</m:t>
              </m:r>
            </m:sub>
          </m:sSub>
          <m:sSup>
            <m:e>
              <m:d>
                <m:dPr>
                  <m:sepChr m:val=""/>
                </m:dPr>
                <m:e>
                  <m:f>
                    <m:fPr>
                      <m:type m:val="bar"/>
                    </m:fPr>
                    <m:num>
                      <m:r>
                        <m:t>λ</m:t>
                      </m:r>
                    </m:num>
                    <m:den>
                      <m:r>
                        <m:t>4πR</m:t>
                      </m:r>
                    </m:den>
                  </m:f>
                </m:e>
              </m:d>
            </m:e>
            <m:sup>
              <m:r>
                <m:t>2</m:t>
              </m:r>
            </m:sup>
          </m:sSup>
        </m:oMath>
      </m:oMathPara>
    </w:p>
    <w:p>
      <w:r>
        <w:t>Where:</w:t>
      </w:r>
    </w:p>
    <w:p>
      <w:pPr>
        <w:pStyle w:val="ListBullet"/>
      </w:pPr>
      <m:oMath>
        <m:sSub>
          <m:e>
            <m:r>
              <m:t>P</m:t>
            </m:r>
          </m:e>
          <m:sub>
            <m:r>
              <m:t>r</m:t>
            </m:r>
          </m:sub>
        </m:sSub>
      </m:oMath>
      <w:r>
        <w:t xml:space="preserve"> = power received at the receiving antenna.</w:t>
      </w:r>
    </w:p>
    <w:p>
      <w:pPr>
        <w:pStyle w:val="ListBullet"/>
      </w:pPr>
      <m:oMath>
        <m:sSub>
          <m:e>
            <m:r>
              <m:t>P</m:t>
            </m:r>
          </m:e>
          <m:sub>
            <m:r>
              <m:t>t</m:t>
            </m:r>
          </m:sub>
        </m:sSub>
      </m:oMath>
      <w:r>
        <w:t xml:space="preserve"> = transmitted power.</w:t>
      </w:r>
    </w:p>
    <w:p>
      <w:pPr>
        <w:pStyle w:val="ListBullet"/>
      </w:pPr>
      <m:oMath>
        <m:sSub>
          <m:e>
            <m:r>
              <m:t>G</m:t>
            </m:r>
          </m:e>
          <m:sub>
            <m:r>
              <m:t>t</m:t>
            </m:r>
          </m:sub>
        </m:sSub>
      </m:oMath>
      <w:r>
        <w:t xml:space="preserve"> = transmitting antenna gain.</w:t>
      </w:r>
    </w:p>
    <w:p>
      <w:pPr>
        <w:pStyle w:val="ListBullet"/>
      </w:pPr>
      <m:oMath>
        <m:sSub>
          <m:e>
            <m:r>
              <m:t>G</m:t>
            </m:r>
          </m:e>
          <m:sub>
            <m:r>
              <m:t>r</m:t>
            </m:r>
          </m:sub>
        </m:sSub>
      </m:oMath>
      <w:r>
        <w:t xml:space="preserve"> = receiving antenna gain.</w:t>
      </w:r>
    </w:p>
    <w:p>
      <w:pPr>
        <w:pStyle w:val="ListBullet"/>
      </w:pPr>
      <m:oMath>
        <m:r>
          <m:t>λ</m:t>
        </m:r>
      </m:oMath>
      <w:r>
        <w:t xml:space="preserve"> = wavelength.</w:t>
      </w:r>
    </w:p>
    <w:p>
      <w:pPr>
        <w:pStyle w:val="ListBullet"/>
      </w:pPr>
      <m:oMath>
        <m:r>
          <m:t>R</m:t>
        </m:r>
      </m:oMath>
      <w:r>
        <w:t xml:space="preserve"> = separation distance.</w:t>
      </w:r>
    </w:p>
    <w:p>
      <w:r>
        <w:t>This equation describes an ideal radio link, not the complete RFID read process. Passive UHF RFID involves both powering the tag and receiving its backscattered response, so both forward-link and reverse-link performance can limit the range.</w:t>
      </w:r>
    </w:p>
    <w:p>
      <w:r>
        <w:t>In practical terms, doubling the distance in ideal free space reduces received power by approximately 6 dB for a one-way radio link. Real installations can deviate significantly because of reflections, obstructions, antenna patterns, and tag mounting conditions.</w:t>
      </w:r>
    </w:p>
    <w:p>
      <w:pPr>
        <w:pStyle w:val="Heading3"/>
      </w:pPr>
      <w:r>
        <w:t>5.3 Factors That Reduce Practical Range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Factor</w:t>
            </w:r>
          </w:p>
        </w:tc>
        <w:tc>
          <w:tcPr>
            <w:tcW w:type="dxa" w:w="3600"/>
            <w:shd w:val="clear" w:color="auto" w:fill="EEF2F7"/>
          </w:tcPr>
          <w:p>
            <w:pPr>
              <w:spacing w:after="0" w:before="0" w:line="240" w:lineRule="auto"/>
              <w:jc w:val="left"/>
            </w:pPr>
            <w:r>
              <w:rPr>
                <w:b/>
                <w:color w:val="1A2E4A"/>
              </w:rPr>
              <w:t>Effect</w:t>
            </w:r>
          </w:p>
        </w:tc>
        <w:tc>
          <w:tcPr>
            <w:tcW w:type="dxa" w:w="3600"/>
            <w:shd w:val="clear" w:color="auto" w:fill="EEF2F7"/>
          </w:tcPr>
          <w:p>
            <w:pPr>
              <w:spacing w:after="0" w:before="0" w:line="240" w:lineRule="auto"/>
              <w:jc w:val="left"/>
            </w:pPr>
            <w:r>
              <w:rPr>
                <w:b/>
                <w:color w:val="1A2E4A"/>
              </w:rPr>
              <w:t>Corrective approach</w:t>
            </w:r>
          </w:p>
        </w:tc>
      </w:tr>
      <w:tr>
        <w:tc>
          <w:tcPr>
            <w:tcW w:type="dxa" w:w="3600"/>
          </w:tcPr>
          <w:p>
            <w:pPr>
              <w:spacing w:after="0" w:before="0" w:line="240" w:lineRule="auto"/>
              <w:jc w:val="left"/>
            </w:pPr>
            <w:r>
              <w:t>Tag mounted directly on unsuitable metal</w:t>
            </w:r>
          </w:p>
        </w:tc>
        <w:tc>
          <w:tcPr>
            <w:tcW w:type="dxa" w:w="3600"/>
          </w:tcPr>
          <w:p>
            <w:pPr>
              <w:spacing w:after="0" w:before="0" w:line="240" w:lineRule="auto"/>
              <w:jc w:val="left"/>
            </w:pPr>
            <w:r>
              <w:t>Detuning or severe loss of performance</w:t>
            </w:r>
          </w:p>
        </w:tc>
        <w:tc>
          <w:tcPr>
            <w:tcW w:type="dxa" w:w="3600"/>
          </w:tcPr>
          <w:p>
            <w:pPr>
              <w:spacing w:after="0" w:before="0" w:line="240" w:lineRule="auto"/>
              <w:jc w:val="left"/>
            </w:pPr>
            <w:r>
              <w:t>Use an on-metal tag or the manufacturer's specified spacer</w:t>
            </w:r>
          </w:p>
        </w:tc>
      </w:tr>
      <w:tr>
        <w:tc>
          <w:tcPr>
            <w:tcW w:type="dxa" w:w="3600"/>
          </w:tcPr>
          <w:p>
            <w:pPr>
              <w:spacing w:after="0" w:before="0" w:line="240" w:lineRule="auto"/>
              <w:jc w:val="left"/>
            </w:pPr>
            <w:r>
              <w:t>Tag placed close to liquid</w:t>
            </w:r>
          </w:p>
        </w:tc>
        <w:tc>
          <w:tcPr>
            <w:tcW w:type="dxa" w:w="3600"/>
          </w:tcPr>
          <w:p>
            <w:pPr>
              <w:spacing w:after="0" w:before="0" w:line="240" w:lineRule="auto"/>
              <w:jc w:val="left"/>
            </w:pPr>
            <w:r>
              <w:t>Absorption or detuning, especially for UHF</w:t>
            </w:r>
          </w:p>
        </w:tc>
        <w:tc>
          <w:tcPr>
            <w:tcW w:type="dxa" w:w="3600"/>
          </w:tcPr>
          <w:p>
            <w:pPr>
              <w:spacing w:after="0" w:before="0" w:line="240" w:lineRule="auto"/>
              <w:jc w:val="left"/>
            </w:pPr>
            <w:r>
              <w:t>Relocate the tag or select a tag designed for the application</w:t>
            </w:r>
          </w:p>
        </w:tc>
      </w:tr>
      <w:tr>
        <w:tc>
          <w:tcPr>
            <w:tcW w:type="dxa" w:w="3600"/>
          </w:tcPr>
          <w:p>
            <w:pPr>
              <w:spacing w:after="0" w:before="0" w:line="240" w:lineRule="auto"/>
              <w:jc w:val="left"/>
            </w:pPr>
            <w:r>
              <w:t>Poor tag orientation</w:t>
            </w:r>
          </w:p>
        </w:tc>
        <w:tc>
          <w:tcPr>
            <w:tcW w:type="dxa" w:w="3600"/>
          </w:tcPr>
          <w:p>
            <w:pPr>
              <w:spacing w:after="0" w:before="0" w:line="240" w:lineRule="auto"/>
              <w:jc w:val="left"/>
            </w:pPr>
            <w:r>
              <w:t>Polarization mismatch or weak coupling</w:t>
            </w:r>
          </w:p>
        </w:tc>
        <w:tc>
          <w:tcPr>
            <w:tcW w:type="dxa" w:w="3600"/>
          </w:tcPr>
          <w:p>
            <w:pPr>
              <w:spacing w:after="0" w:before="0" w:line="240" w:lineRule="auto"/>
              <w:jc w:val="left"/>
            </w:pPr>
            <w:r>
              <w:t>Adjust tag or antenna orientation</w:t>
            </w:r>
          </w:p>
        </w:tc>
      </w:tr>
      <w:tr>
        <w:tc>
          <w:tcPr>
            <w:tcW w:type="dxa" w:w="3600"/>
          </w:tcPr>
          <w:p>
            <w:pPr>
              <w:spacing w:after="0" w:before="0" w:line="240" w:lineRule="auto"/>
              <w:jc w:val="left"/>
            </w:pPr>
            <w:r>
              <w:t>Long RF cable</w:t>
            </w:r>
          </w:p>
        </w:tc>
        <w:tc>
          <w:tcPr>
            <w:tcW w:type="dxa" w:w="3600"/>
          </w:tcPr>
          <w:p>
            <w:pPr>
              <w:spacing w:after="0" w:before="0" w:line="240" w:lineRule="auto"/>
              <w:jc w:val="left"/>
            </w:pPr>
            <w:r>
              <w:t>Higher transmit and receive losses</w:t>
            </w:r>
          </w:p>
        </w:tc>
        <w:tc>
          <w:tcPr>
            <w:tcW w:type="dxa" w:w="3600"/>
          </w:tcPr>
          <w:p>
            <w:pPr>
              <w:spacing w:after="0" w:before="0" w:line="240" w:lineRule="auto"/>
              <w:jc w:val="left"/>
            </w:pPr>
            <w:r>
              <w:t>Shorten the cable or use suitable low-loss cable</w:t>
            </w:r>
          </w:p>
        </w:tc>
      </w:tr>
      <w:tr>
        <w:tc>
          <w:tcPr>
            <w:tcW w:type="dxa" w:w="3600"/>
          </w:tcPr>
          <w:p>
            <w:pPr>
              <w:spacing w:after="0" w:before="0" w:line="240" w:lineRule="auto"/>
              <w:jc w:val="left"/>
            </w:pPr>
            <w:r>
              <w:t>Excessive antenna power</w:t>
            </w:r>
          </w:p>
        </w:tc>
        <w:tc>
          <w:tcPr>
            <w:tcW w:type="dxa" w:w="3600"/>
          </w:tcPr>
          <w:p>
            <w:pPr>
              <w:spacing w:after="0" w:before="0" w:line="240" w:lineRule="auto"/>
              <w:jc w:val="left"/>
            </w:pPr>
            <w:r>
              <w:t>More cross-reads and possible regulatory noncompliance</w:t>
            </w:r>
          </w:p>
        </w:tc>
        <w:tc>
          <w:tcPr>
            <w:tcW w:type="dxa" w:w="3600"/>
          </w:tcPr>
          <w:p>
            <w:pPr>
              <w:spacing w:after="0" w:before="0" w:line="240" w:lineRule="auto"/>
              <w:jc w:val="left"/>
            </w:pPr>
            <w:r>
              <w:t>Reduce power and tighten the read zone</w:t>
            </w:r>
          </w:p>
        </w:tc>
      </w:tr>
      <w:tr>
        <w:tc>
          <w:tcPr>
            <w:tcW w:type="dxa" w:w="3600"/>
          </w:tcPr>
          <w:p>
            <w:pPr>
              <w:spacing w:after="0" w:before="0" w:line="240" w:lineRule="auto"/>
              <w:jc w:val="left"/>
            </w:pPr>
            <w:r>
              <w:t>Weak tag antenna or low-sensitivity chip</w:t>
            </w:r>
          </w:p>
        </w:tc>
        <w:tc>
          <w:tcPr>
            <w:tcW w:type="dxa" w:w="3600"/>
          </w:tcPr>
          <w:p>
            <w:pPr>
              <w:spacing w:after="0" w:before="0" w:line="240" w:lineRule="auto"/>
              <w:jc w:val="left"/>
            </w:pPr>
            <w:r>
              <w:t>Reduced activation and response margin</w:t>
            </w:r>
          </w:p>
        </w:tc>
        <w:tc>
          <w:tcPr>
            <w:tcW w:type="dxa" w:w="3600"/>
          </w:tcPr>
          <w:p>
            <w:pPr>
              <w:spacing w:after="0" w:before="0" w:line="240" w:lineRule="auto"/>
              <w:jc w:val="left"/>
            </w:pPr>
            <w:r>
              <w:t>Select a tag appropriate for the required range</w:t>
            </w:r>
          </w:p>
        </w:tc>
      </w:tr>
      <w:tr>
        <w:tc>
          <w:tcPr>
            <w:tcW w:type="dxa" w:w="3600"/>
          </w:tcPr>
          <w:p>
            <w:pPr>
              <w:spacing w:after="0" w:before="0" w:line="240" w:lineRule="auto"/>
              <w:jc w:val="left"/>
            </w:pPr>
            <w:r>
              <w:t>RF obstruction or shielding</w:t>
            </w:r>
          </w:p>
        </w:tc>
        <w:tc>
          <w:tcPr>
            <w:tcW w:type="dxa" w:w="3600"/>
          </w:tcPr>
          <w:p>
            <w:pPr>
              <w:spacing w:after="0" w:before="0" w:line="240" w:lineRule="auto"/>
              <w:jc w:val="left"/>
            </w:pPr>
            <w:r>
              <w:t>Attenuation or blocked communication</w:t>
            </w:r>
          </w:p>
        </w:tc>
        <w:tc>
          <w:tcPr>
            <w:tcW w:type="dxa" w:w="3600"/>
          </w:tcPr>
          <w:p>
            <w:pPr>
              <w:spacing w:after="0" w:before="0" w:line="240" w:lineRule="auto"/>
              <w:jc w:val="left"/>
            </w:pPr>
            <w:r>
              <w:t>Relocate the antenna or redesign the read path</w:t>
            </w:r>
          </w:p>
        </w:tc>
      </w:tr>
      <w:tr>
        <w:tc>
          <w:tcPr>
            <w:tcW w:type="dxa" w:w="3600"/>
          </w:tcPr>
          <w:p>
            <w:pPr>
              <w:spacing w:after="0" w:before="0" w:line="240" w:lineRule="auto"/>
              <w:jc w:val="left"/>
            </w:pPr>
            <w:r>
              <w:t>Nearby RF systems</w:t>
            </w:r>
          </w:p>
        </w:tc>
        <w:tc>
          <w:tcPr>
            <w:tcW w:type="dxa" w:w="3600"/>
          </w:tcPr>
          <w:p>
            <w:pPr>
              <w:spacing w:after="0" w:before="0" w:line="240" w:lineRule="auto"/>
              <w:jc w:val="left"/>
            </w:pPr>
            <w:r>
              <w:t>Interference or inconsistent reads</w:t>
            </w:r>
          </w:p>
        </w:tc>
        <w:tc>
          <w:tcPr>
            <w:tcW w:type="dxa" w:w="3600"/>
          </w:tcPr>
          <w:p>
            <w:pPr>
              <w:spacing w:after="0" w:before="0" w:line="240" w:lineRule="auto"/>
              <w:jc w:val="left"/>
            </w:pPr>
            <w:r>
              <w:t>Coordinate reader operation and assess the RF environment</w:t>
            </w:r>
          </w:p>
        </w:tc>
      </w:tr>
    </w:tbl>
    <w:p/>
    <w:p>
      <w:pPr>
        <w:pStyle w:val="Heading2"/>
      </w:pPr>
      <w:r>
        <w:t>6. Antenna Parameters</w:t>
      </w:r>
    </w:p>
    <w:p>
      <w:pPr>
        <w:pStyle w:val="Heading3"/>
      </w:pPr>
      <w:r>
        <w:t>6.1 Antenna Gain</w:t>
      </w:r>
    </w:p>
    <w:p>
      <w:r>
        <w:t>Antenna gain describes how effectively an antenna concentrates RF energy in a particular direction compared with a reference antenna.</w:t>
      </w:r>
    </w:p>
    <w:p>
      <w:r>
        <w:t>Gain is commonly expressed in dBi, referenced to an ideal isotropic radiator.</w:t>
      </w:r>
    </w:p>
    <w:p>
      <w:pPr>
        <w:pStyle w:val="ListBullet"/>
      </w:pPr>
      <w:r>
        <w:t>Higher gain generally concentrates energy into a narrower angular region.</w:t>
      </w:r>
    </w:p>
    <w:p>
      <w:pPr>
        <w:pStyle w:val="ListBullet"/>
      </w:pPr>
      <w:r>
        <w:t>Lower gain or a broader pattern may be better when tags approach from varying directions.</w:t>
      </w:r>
    </w:p>
    <w:p>
      <w:pPr>
        <w:pStyle w:val="ListBullet"/>
      </w:pPr>
      <w:r>
        <w:t>High gain does not automatically mean better identification. The tag must enter the useful read zone, and the complete system must remain within regulatory limits.</w:t>
      </w:r>
    </w:p>
    <w:p>
      <w:r>
        <w:t>For example, a narrow, higher-gain antenna may suit a controlled conveyor passage. A broader pattern may be more suitable for a workstation where tags can appear at different positions.</w:t>
      </w:r>
    </w:p>
    <w:p>
      <w:pPr>
        <w:pStyle w:val="Heading3"/>
      </w:pPr>
      <w:r>
        <w:t>6.2 Polarization</w:t>
      </w:r>
    </w:p>
    <w:p>
      <w:r>
        <w:t>Polarization describes the orientation of the electric field radiated by an antenna.</w:t>
      </w:r>
    </w:p>
    <w:p>
      <w:r>
        <w:t>Linear polarization: The electric field has a preferred orientation, commonly horizontal or vertical.</w:t>
      </w:r>
    </w:p>
    <w:p>
      <w:pPr>
        <w:pStyle w:val="ListBullet"/>
      </w:pPr>
      <w:r>
        <w:t>Can provide strong performance when tag orientation is controlled.</w:t>
      </w:r>
    </w:p>
    <w:p>
      <w:pPr>
        <w:pStyle w:val="ListBullet"/>
      </w:pPr>
      <w:r>
        <w:t>Can suffer significant signal loss when the tag antenna is rotated relative to the reader antenna.</w:t>
      </w:r>
    </w:p>
    <w:p>
      <w:pPr>
        <w:pStyle w:val="ListBullet"/>
      </w:pPr>
      <w:r>
        <w:t>Often suitable for fixtures where every tag is mounted in a repeatable orientation.</w:t>
      </w:r>
    </w:p>
    <w:p>
      <w:r>
        <w:t>Circular polarization: The electric field rotates as the wave propagates.</w:t>
      </w:r>
    </w:p>
    <w:p>
      <w:pPr>
        <w:pStyle w:val="ListBullet"/>
      </w:pPr>
      <w:r>
        <w:t>Can better accommodate tags whose orientations vary within the read zone.</w:t>
      </w:r>
    </w:p>
    <w:p>
      <w:pPr>
        <w:pStyle w:val="ListBullet"/>
      </w:pPr>
      <w:r>
        <w:t>Often useful in logistics and conveyor applications.</w:t>
      </w:r>
    </w:p>
    <w:p>
      <w:pPr>
        <w:pStyle w:val="ListBullet"/>
      </w:pPr>
      <w:r>
        <w:t>May provide less received power than a suitably aligned linear antenna in an otherwise equivalent link.</w:t>
      </w:r>
    </w:p>
    <w:p>
      <w:r>
        <w:t>Circular polarization does not eliminate every orientation problem. Tag design, antenna geometry, multipath, and mounting conditions still matter.</w:t>
      </w:r>
    </w:p>
    <w:p>
      <w:pPr>
        <w:pStyle w:val="Heading3"/>
      </w:pPr>
      <w:r>
        <w:t>6.3 Beamwidth and Radiation Pattern</w:t>
      </w:r>
    </w:p>
    <w:p>
      <w:r>
        <w:t>The radiation pattern describes the directions in which an antenna transmits and receives effectively.</w:t>
      </w:r>
    </w:p>
    <w:p>
      <w:r>
        <w:t>Beamwidth indicates the angular width of the main lobe, commonly measured between the points where power falls by 3 dB from the peak.</w:t>
      </w:r>
    </w:p>
    <w:p>
      <w:pPr>
        <w:pStyle w:val="ListBullet"/>
      </w:pPr>
      <w:r>
        <w:t>Narrow beam: More directional coverage, useful for controlled passages.</w:t>
      </w:r>
    </w:p>
    <w:p>
      <w:pPr>
        <w:pStyle w:val="ListBullet"/>
      </w:pPr>
      <w:r>
        <w:t>Wide beam: Broader coverage, useful when tag positions vary.</w:t>
      </w:r>
    </w:p>
    <w:p>
      <w:pPr>
        <w:pStyle w:val="ListBullet"/>
      </w:pPr>
      <w:r>
        <w:t>Side lobes: Secondary regions of radiation that may create unintended reads.</w:t>
      </w:r>
    </w:p>
    <w:p>
      <w:pPr>
        <w:pStyle w:val="ListBullet"/>
      </w:pPr>
      <w:r>
        <w:t>Nulls: Directions where antenna response is weak, potentially creating missed reads.</w:t>
      </w:r>
    </w:p>
    <w:p>
      <w:r>
        <w:t>Do not select an antenna based only on its gain rating. Examine its radiation-pattern diagrams in the relevant mounting orientation.</w:t>
      </w:r>
    </w:p>
    <w:p>
      <w:pPr>
        <w:pStyle w:val="Heading3"/>
      </w:pPr>
      <w:r>
        <w:t>6.4 Impedance, Matching, and VSWR</w:t>
      </w:r>
    </w:p>
    <w:p>
      <w:r>
        <w:t>RF readers and antennas are typically designed around a nominal 50-ohm RF system, but the manufacturer's specification must be checked.</w:t>
      </w:r>
    </w:p>
    <w:p>
      <w:r>
        <w:t>An impedance mismatch causes some RF energy to be reflected rather than delivered to the antenna.</w:t>
      </w:r>
    </w:p>
    <w:p>
      <w:r>
        <w:t>Common terms include:</w:t>
      </w:r>
    </w:p>
    <w:p>
      <w:pPr>
        <w:pStyle w:val="ListBullet"/>
      </w:pPr>
      <w:r>
        <w:t>Return loss: Expresses the ratio between incident and reflected RF power, in decibels. Higher return loss generally indicates a better match.</w:t>
      </w:r>
    </w:p>
    <w:p>
      <w:pPr>
        <w:pStyle w:val="ListBullet"/>
      </w:pPr>
      <w:r>
        <w:t>VSWR: Voltage standing wave ratio. A value closer to 1:1 indicates a better impedance match.</w:t>
      </w:r>
    </w:p>
    <w:p>
      <w:pPr>
        <w:pStyle w:val="ListBullet"/>
      </w:pPr>
      <w:r>
        <w:t>Insertion loss: RF power lost through a component such as a cable, connector, or adapter.</w:t>
      </w:r>
    </w:p>
    <w:p>
      <w:r>
        <w:t>Poor matching, damaged connectors, incorrect cable types, and moisture ingress can reduce system performance. Follow the equipment manufacturer's specified RF interface and testing procedure.</w:t>
      </w:r>
    </w:p>
    <w:p>
      <w:pPr>
        <w:pStyle w:val="Heading3"/>
      </w:pPr>
      <w:r>
        <w:t>6.5 EIRP and Transmit Power</w:t>
      </w:r>
    </w:p>
    <w:p>
      <w:r>
        <w:t>EIRP, or effective isotropic radiated power, represents the equivalent power radiated in the direction of maximum antenna gain.</w:t>
      </w:r>
    </w:p>
    <w:p>
      <w:r>
        <w:t>For a simplified system:</w:t>
      </w:r>
    </w:p>
    <w:p>
      <w:pPr>
        <w:spacing w:before="120" w:after="160"/>
        <w:jc w:val="center"/>
      </w:pPr>
      <m:oMathPara>
        <m:oMath>
          <m:r>
            <m:t>EIR</m:t>
          </m:r>
          <m:sSub>
            <m:e>
              <m:r>
                <m:t>P</m:t>
              </m:r>
            </m:e>
            <m:sub>
              <m:r>
                <m:rPr>
                  <m:sty m:val="p"/>
                </m:rPr>
                <m:t>dBm</m:t>
              </m:r>
            </m:sub>
          </m:sSub>
          <m:r>
            <m:t>=</m:t>
          </m:r>
          <m:sSub>
            <m:e>
              <m:r>
                <m:t>P</m:t>
              </m:r>
            </m:e>
            <m:sub>
              <m:r>
                <m:rPr>
                  <m:sty m:val="p"/>
                </m:rPr>
                <m:t>reader</m:t>
              </m:r>
              <m:r>
                <m:t>,</m:t>
              </m:r>
              <m:r>
                <m:rPr>
                  <m:sty m:val="p"/>
                </m:rPr>
                <m:t>dBm</m:t>
              </m:r>
            </m:sub>
          </m:sSub>
          <m:r>
            <m:t>−</m:t>
          </m:r>
          <m:sSub>
            <m:e>
              <m:r>
                <m:t>L</m:t>
              </m:r>
            </m:e>
            <m:sub>
              <m:r>
                <m:rPr>
                  <m:sty m:val="p"/>
                </m:rPr>
                <m:t>cable</m:t>
              </m:r>
              <m:r>
                <m:t>,</m:t>
              </m:r>
              <m:r>
                <m:rPr>
                  <m:sty m:val="p"/>
                </m:rPr>
                <m:t>dB</m:t>
              </m:r>
            </m:sub>
          </m:sSub>
          <m:r>
            <m:t>−</m:t>
          </m:r>
          <m:sSub>
            <m:e>
              <m:r>
                <m:t>L</m:t>
              </m:r>
            </m:e>
            <m:sub>
              <m:r>
                <m:rPr>
                  <m:sty m:val="p"/>
                </m:rPr>
                <m:t>other</m:t>
              </m:r>
              <m:r>
                <m:t>,</m:t>
              </m:r>
              <m:r>
                <m:rPr>
                  <m:sty m:val="p"/>
                </m:rPr>
                <m:t>dB</m:t>
              </m:r>
            </m:sub>
          </m:sSub>
          <m:r>
            <m:t>+</m:t>
          </m:r>
          <m:sSub>
            <m:e>
              <m:r>
                <m:t>G</m:t>
              </m:r>
            </m:e>
            <m:sub>
              <m:r>
                <m:rPr>
                  <m:sty m:val="p"/>
                </m:rPr>
                <m:t>antenna</m:t>
              </m:r>
              <m:r>
                <m:t>,</m:t>
              </m:r>
              <m:r>
                <m:rPr>
                  <m:sty m:val="p"/>
                </m:rPr>
                <m:t>dBi</m:t>
              </m:r>
            </m:sub>
          </m:sSub>
        </m:oMath>
      </m:oMathPara>
    </w:p>
    <w:p>
      <w:r>
        <w:t>Here, the loss terms include applicable RF cable and connection losses. The precise calculation must follow the manufacturer's power definitions and applicable regulatory requirements.</w:t>
      </w:r>
    </w:p>
    <w:p>
      <w:r>
        <w:t>Increasing reader power can improve range, but it can also increase cross-reads, interference, and regulatory risk. Configure RF output according to the permitted limits for the deployment region and the equipment's approved operating conditions.</w:t>
      </w:r>
    </w:p>
    <w:p>
      <w:pPr>
        <w:pStyle w:val="Heading2"/>
      </w:pPr>
      <w:r>
        <w:t>7. Antenna Placement Principles</w:t>
      </w:r>
    </w:p>
    <w:p>
      <w:r>
        <w:t>The purpose of placement is to create a predictable read zone that captures intended tags while minimizing unintended reads.</w:t>
      </w:r>
    </w:p>
    <w:p>
      <w:pPr>
        <w:pStyle w:val="Heading3"/>
      </w:pPr>
      <w:r>
        <w:t>7.1 Define the Read Zone First</w:t>
      </w:r>
    </w:p>
    <w:p>
      <w:r>
        <w:t>Before mounting the antenna, define:</w:t>
      </w:r>
    </w:p>
    <w:p>
      <w:pPr>
        <w:pStyle w:val="ListBullet"/>
      </w:pPr>
      <w:r>
        <w:t>Which tag must be read.</w:t>
      </w:r>
    </w:p>
    <w:p>
      <w:pPr>
        <w:pStyle w:val="ListBullet"/>
      </w:pPr>
      <w:r>
        <w:t>Where the tag will be located.</w:t>
      </w:r>
    </w:p>
    <w:p>
      <w:pPr>
        <w:pStyle w:val="ListBullet"/>
      </w:pPr>
      <w:r>
        <w:t>The range of tag positions and orientations.</w:t>
      </w:r>
    </w:p>
    <w:p>
      <w:pPr>
        <w:pStyle w:val="ListBullet"/>
      </w:pPr>
      <w:r>
        <w:t>The direction and speed of movement.</w:t>
      </w:r>
    </w:p>
    <w:p>
      <w:pPr>
        <w:pStyle w:val="ListBullet"/>
      </w:pPr>
      <w:r>
        <w:t>The permitted distance at which reading begins and ends.</w:t>
      </w:r>
    </w:p>
    <w:p>
      <w:pPr>
        <w:pStyle w:val="ListBullet"/>
      </w:pPr>
      <w:r>
        <w:t>Which nearby tags must not be read.</w:t>
      </w:r>
    </w:p>
    <w:p>
      <w:pPr>
        <w:pStyle w:val="ListBullet"/>
      </w:pPr>
      <w:r>
        <w:t>The time available for the identification transaction.</w:t>
      </w:r>
    </w:p>
    <w:p>
      <w:r>
        <w:t>The antenna should be selected and positioned around these requirements rather than installed wherever a bracket happens to fit.</w:t>
      </w:r>
    </w:p>
    <w:p>
      <w:pPr>
        <w:pStyle w:val="Heading3"/>
      </w:pPr>
      <w:r>
        <w:t>7.2 Distance and Alignment</w:t>
      </w:r>
    </w:p>
    <w:p>
      <w:r>
        <w:t>Start with the manufacturer's recommended antenna-to-tag distance, then test the actual application.</w:t>
      </w:r>
    </w:p>
    <w:p>
      <w:r>
        <w:t>For each candidate position, check:</w:t>
      </w:r>
    </w:p>
    <w:p>
      <w:pPr>
        <w:tabs>
          <w:tab w:pos="403" w:val="left"/>
        </w:tabs>
        <w:spacing w:after="40" w:line="276" w:lineRule="auto"/>
        <w:ind w:left="403" w:hanging="403"/>
        <w:jc w:val="left"/>
      </w:pPr>
      <w:r>
        <w:rPr>
          <w:color w:val="1A2E4A"/>
        </w:rPr>
        <w:t>1.</w:t>
        <w:tab/>
      </w:r>
      <w:r>
        <w:t>Minimum expected distance.</w:t>
      </w:r>
    </w:p>
    <w:p>
      <w:pPr>
        <w:tabs>
          <w:tab w:pos="403" w:val="left"/>
        </w:tabs>
        <w:spacing w:after="40" w:line="276" w:lineRule="auto"/>
        <w:ind w:left="403" w:hanging="403"/>
        <w:jc w:val="left"/>
      </w:pPr>
      <w:r>
        <w:rPr>
          <w:color w:val="1A2E4A"/>
        </w:rPr>
        <w:t>2.</w:t>
        <w:tab/>
      </w:r>
      <w:r>
        <w:t>Maximum expected distance.</w:t>
      </w:r>
    </w:p>
    <w:p>
      <w:pPr>
        <w:tabs>
          <w:tab w:pos="403" w:val="left"/>
        </w:tabs>
        <w:spacing w:after="40" w:line="276" w:lineRule="auto"/>
        <w:ind w:left="403" w:hanging="403"/>
        <w:jc w:val="left"/>
      </w:pPr>
      <w:r>
        <w:rPr>
          <w:color w:val="1A2E4A"/>
        </w:rPr>
        <w:t>3.</w:t>
        <w:tab/>
      </w:r>
      <w:r>
        <w:t>Tag orientation extremes.</w:t>
      </w:r>
    </w:p>
    <w:p>
      <w:pPr>
        <w:tabs>
          <w:tab w:pos="403" w:val="left"/>
        </w:tabs>
        <w:spacing w:after="40" w:line="276" w:lineRule="auto"/>
        <w:ind w:left="403" w:hanging="403"/>
        <w:jc w:val="left"/>
      </w:pPr>
      <w:r>
        <w:rPr>
          <w:color w:val="1A2E4A"/>
        </w:rPr>
        <w:t>4.</w:t>
        <w:tab/>
      </w:r>
      <w:r>
        <w:t>Tag position tolerances.</w:t>
      </w:r>
    </w:p>
    <w:p>
      <w:pPr>
        <w:tabs>
          <w:tab w:pos="403" w:val="left"/>
        </w:tabs>
        <w:spacing w:after="40" w:line="276" w:lineRule="auto"/>
        <w:ind w:left="403" w:hanging="403"/>
        <w:jc w:val="left"/>
      </w:pPr>
      <w:r>
        <w:rPr>
          <w:color w:val="1A2E4A"/>
        </w:rPr>
        <w:t>5.</w:t>
        <w:tab/>
      </w:r>
      <w:r>
        <w:t>Presence of fixtures, guards, metal structures, and nearby equipment.</w:t>
      </w:r>
    </w:p>
    <w:p>
      <w:pPr>
        <w:tabs>
          <w:tab w:pos="403" w:val="left"/>
        </w:tabs>
        <w:spacing w:after="40" w:line="276" w:lineRule="auto"/>
        <w:ind w:left="403" w:hanging="403"/>
        <w:jc w:val="left"/>
      </w:pPr>
      <w:r>
        <w:rPr>
          <w:color w:val="1A2E4A"/>
        </w:rPr>
        <w:t>6.</w:t>
        <w:tab/>
      </w:r>
      <w:r>
        <w:t>Whether the read zone includes adjacent carriers or workpieces.</w:t>
      </w:r>
    </w:p>
    <w:p>
      <w:r>
        <w:t>A read zone that is too narrow can miss tags when fixtures shift. A read zone that is too broad can identify neighboring products and create incorrect traceability records.</w:t>
      </w:r>
    </w:p>
    <w:p>
      <w:pPr>
        <w:pStyle w:val="Heading3"/>
      </w:pPr>
      <w:r>
        <w:t>7.3 Orientation and Polarization Matching</w:t>
      </w:r>
    </w:p>
    <w:p>
      <w:r>
        <w:t>For linear UHF antennas, align the antenna polarization with the tag antenna whenever practical. If tag orientation varies, evaluate circular polarization or multiple antenna angles.</w:t>
      </w:r>
    </w:p>
    <w:p>
      <w:r>
        <w:t>For LF and HF systems, placement is particularly dependent on the magnetic field, coil orientation, and coupling geometry. The correct distance and orientation must be determined for the specific reader and tag design.</w:t>
      </w:r>
    </w:p>
    <w:p>
      <w:r>
        <w:t>Do not transfer an antenna placement rule from UHF directly to HF or LF. They operate through different coupling and propagation mechanisms.</w:t>
      </w:r>
    </w:p>
    <w:p>
      <w:pPr>
        <w:pStyle w:val="Heading3"/>
      </w:pPr>
      <w:r>
        <w:t>7.4 Avoiding Cross-Reads</w:t>
      </w:r>
    </w:p>
    <w:p>
      <w:r>
        <w:t>Cross-reads occur when the reader identifies tags outside the intended station or process step.</w:t>
      </w:r>
    </w:p>
    <w:p>
      <w:r>
        <w:t>Common causes include:</w:t>
      </w:r>
    </w:p>
    <w:p>
      <w:pPr>
        <w:pStyle w:val="ListBullet"/>
      </w:pPr>
      <w:r>
        <w:t>Excessive RF power.</w:t>
      </w:r>
    </w:p>
    <w:p>
      <w:pPr>
        <w:pStyle w:val="ListBullet"/>
      </w:pPr>
      <w:r>
        <w:t>Broad or poorly directed antenna patterns.</w:t>
      </w:r>
    </w:p>
    <w:p>
      <w:pPr>
        <w:pStyle w:val="ListBullet"/>
      </w:pPr>
      <w:r>
        <w:t>Antennas positioned too close to adjacent work areas.</w:t>
      </w:r>
    </w:p>
    <w:p>
      <w:pPr>
        <w:pStyle w:val="ListBullet"/>
      </w:pPr>
      <w:r>
        <w:t>Reflections from metal surfaces.</w:t>
      </w:r>
    </w:p>
    <w:p>
      <w:pPr>
        <w:pStyle w:val="ListBullet"/>
      </w:pPr>
      <w:r>
        <w:t>Tags on neighboring carriers entering the read zone.</w:t>
      </w:r>
    </w:p>
    <w:p>
      <w:pPr>
        <w:pStyle w:val="ListBullet"/>
      </w:pPr>
      <w:r>
        <w:t>Overlapping read zones from multiple antennas.</w:t>
      </w:r>
    </w:p>
    <w:p>
      <w:r>
        <w:t>Corrective measures include:</w:t>
      </w:r>
    </w:p>
    <w:p>
      <w:pPr>
        <w:pStyle w:val="ListBullet"/>
      </w:pPr>
      <w:r>
        <w:t>Reducing power to the lowest level that still provides a reliable read margin.</w:t>
      </w:r>
    </w:p>
    <w:p>
      <w:pPr>
        <w:pStyle w:val="ListBullet"/>
      </w:pPr>
      <w:r>
        <w:t>Reorienting the antenna or choosing a more appropriate pattern.</w:t>
      </w:r>
    </w:p>
    <w:p>
      <w:pPr>
        <w:pStyle w:val="ListBullet"/>
      </w:pPr>
      <w:r>
        <w:t>Moving the antenna closer to the intended tag path.</w:t>
      </w:r>
    </w:p>
    <w:p>
      <w:pPr>
        <w:pStyle w:val="ListBullet"/>
      </w:pPr>
      <w:r>
        <w:t>Using a suitable enclosure or RF-absorbing material where appropriate and validated.</w:t>
      </w:r>
    </w:p>
    <w:p>
      <w:pPr>
        <w:pStyle w:val="ListBullet"/>
      </w:pPr>
      <w:r>
        <w:t>Triggering reads only during the correct machine or carrier state.</w:t>
      </w:r>
    </w:p>
    <w:p>
      <w:pPr>
        <w:pStyle w:val="ListBullet"/>
      </w:pPr>
      <w:r>
        <w:t>Filtering tag reports using expected identifiers, time windows, and process context.</w:t>
      </w:r>
    </w:p>
    <w:p>
      <w:r>
        <w:t>Software filtering is useful, but it should not conceal a fundamentally uncontrolled RF zone. Physical placement and RF tuning remain important.</w:t>
      </w:r>
    </w:p>
    <w:p>
      <w:pPr>
        <w:pStyle w:val="Heading3"/>
      </w:pPr>
      <w:r>
        <w:t>7.5 Placement by Industrial Application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Application</w:t>
            </w:r>
          </w:p>
        </w:tc>
        <w:tc>
          <w:tcPr>
            <w:tcW w:type="dxa" w:w="3600"/>
            <w:shd w:val="clear" w:color="auto" w:fill="EEF2F7"/>
          </w:tcPr>
          <w:p>
            <w:pPr>
              <w:spacing w:after="0" w:before="0" w:line="240" w:lineRule="auto"/>
              <w:jc w:val="left"/>
            </w:pPr>
            <w:r>
              <w:rPr>
                <w:b/>
                <w:color w:val="1A2E4A"/>
              </w:rPr>
              <w:t>Typical arrangement</w:t>
            </w:r>
          </w:p>
        </w:tc>
        <w:tc>
          <w:tcPr>
            <w:tcW w:type="dxa" w:w="3600"/>
            <w:shd w:val="clear" w:color="auto" w:fill="EEF2F7"/>
          </w:tcPr>
          <w:p>
            <w:pPr>
              <w:spacing w:after="0" w:before="0" w:line="240" w:lineRule="auto"/>
              <w:jc w:val="left"/>
            </w:pPr>
            <w:r>
              <w:rPr>
                <w:b/>
                <w:color w:val="1A2E4A"/>
              </w:rPr>
              <w:t>Main concern</w:t>
            </w:r>
          </w:p>
        </w:tc>
      </w:tr>
      <w:tr>
        <w:tc>
          <w:tcPr>
            <w:tcW w:type="dxa" w:w="3600"/>
          </w:tcPr>
          <w:p>
            <w:pPr>
              <w:spacing w:after="0" w:before="0" w:line="240" w:lineRule="auto"/>
              <w:jc w:val="left"/>
            </w:pPr>
            <w:r>
              <w:t>Conveyor tracking</w:t>
            </w:r>
          </w:p>
        </w:tc>
        <w:tc>
          <w:tcPr>
            <w:tcW w:type="dxa" w:w="3600"/>
          </w:tcPr>
          <w:p>
            <w:pPr>
              <w:spacing w:after="0" w:before="0" w:line="240" w:lineRule="auto"/>
              <w:jc w:val="left"/>
            </w:pPr>
            <w:r>
              <w:t>Fixed antenna beside or above the tag path</w:t>
            </w:r>
          </w:p>
        </w:tc>
        <w:tc>
          <w:tcPr>
            <w:tcW w:type="dxa" w:w="3600"/>
          </w:tcPr>
          <w:p>
            <w:pPr>
              <w:spacing w:after="0" w:before="0" w:line="240" w:lineRule="auto"/>
              <w:jc w:val="left"/>
            </w:pPr>
            <w:r>
              <w:t>Repeatable reads at the required conveyor speed</w:t>
            </w:r>
          </w:p>
        </w:tc>
      </w:tr>
      <w:tr>
        <w:tc>
          <w:tcPr>
            <w:tcW w:type="dxa" w:w="3600"/>
          </w:tcPr>
          <w:p>
            <w:pPr>
              <w:spacing w:after="0" w:before="0" w:line="240" w:lineRule="auto"/>
              <w:jc w:val="left"/>
            </w:pPr>
            <w:r>
              <w:t>Pallet or carrier identification</w:t>
            </w:r>
          </w:p>
        </w:tc>
        <w:tc>
          <w:tcPr>
            <w:tcW w:type="dxa" w:w="3600"/>
          </w:tcPr>
          <w:p>
            <w:pPr>
              <w:spacing w:after="0" w:before="0" w:line="240" w:lineRule="auto"/>
              <w:jc w:val="left"/>
            </w:pPr>
            <w:r>
              <w:t>One or more antennas around a defined passage</w:t>
            </w:r>
          </w:p>
        </w:tc>
        <w:tc>
          <w:tcPr>
            <w:tcW w:type="dxa" w:w="3600"/>
          </w:tcPr>
          <w:p>
            <w:pPr>
              <w:spacing w:after="0" w:before="0" w:line="240" w:lineRule="auto"/>
              <w:jc w:val="left"/>
            </w:pPr>
            <w:r>
              <w:t>Variable tag position and neighboring carrier reads</w:t>
            </w:r>
          </w:p>
        </w:tc>
      </w:tr>
      <w:tr>
        <w:tc>
          <w:tcPr>
            <w:tcW w:type="dxa" w:w="3600"/>
          </w:tcPr>
          <w:p>
            <w:pPr>
              <w:spacing w:after="0" w:before="0" w:line="240" w:lineRule="auto"/>
              <w:jc w:val="left"/>
            </w:pPr>
            <w:r>
              <w:t>Assembly fixture identification</w:t>
            </w:r>
          </w:p>
        </w:tc>
        <w:tc>
          <w:tcPr>
            <w:tcW w:type="dxa" w:w="3600"/>
          </w:tcPr>
          <w:p>
            <w:pPr>
              <w:spacing w:after="0" w:before="0" w:line="240" w:lineRule="auto"/>
              <w:jc w:val="left"/>
            </w:pPr>
            <w:r>
              <w:t>Antenna mounted close to a known tag location</w:t>
            </w:r>
          </w:p>
        </w:tc>
        <w:tc>
          <w:tcPr>
            <w:tcW w:type="dxa" w:w="3600"/>
          </w:tcPr>
          <w:p>
            <w:pPr>
              <w:spacing w:after="0" w:before="0" w:line="240" w:lineRule="auto"/>
              <w:jc w:val="left"/>
            </w:pPr>
            <w:r>
              <w:t>Metal detuning and repeatable alignment</w:t>
            </w:r>
          </w:p>
        </w:tc>
      </w:tr>
      <w:tr>
        <w:tc>
          <w:tcPr>
            <w:tcW w:type="dxa" w:w="3600"/>
          </w:tcPr>
          <w:p>
            <w:pPr>
              <w:spacing w:after="0" w:before="0" w:line="240" w:lineRule="auto"/>
              <w:jc w:val="left"/>
            </w:pPr>
            <w:r>
              <w:t>Workstation identification</w:t>
            </w:r>
          </w:p>
        </w:tc>
        <w:tc>
          <w:tcPr>
            <w:tcW w:type="dxa" w:w="3600"/>
          </w:tcPr>
          <w:p>
            <w:pPr>
              <w:spacing w:after="0" w:before="0" w:line="240" w:lineRule="auto"/>
              <w:jc w:val="left"/>
            </w:pPr>
            <w:r>
              <w:t>Integrated reader or external antenna facing the workpiece</w:t>
            </w:r>
          </w:p>
        </w:tc>
        <w:tc>
          <w:tcPr>
            <w:tcW w:type="dxa" w:w="3600"/>
          </w:tcPr>
          <w:p>
            <w:pPr>
              <w:spacing w:after="0" w:before="0" w:line="240" w:lineRule="auto"/>
              <w:jc w:val="left"/>
            </w:pPr>
            <w:r>
              <w:t>Operator movement and variable tag orientation</w:t>
            </w:r>
          </w:p>
        </w:tc>
      </w:tr>
      <w:tr>
        <w:tc>
          <w:tcPr>
            <w:tcW w:type="dxa" w:w="3600"/>
          </w:tcPr>
          <w:p>
            <w:pPr>
              <w:spacing w:after="0" w:before="0" w:line="240" w:lineRule="auto"/>
              <w:jc w:val="left"/>
            </w:pPr>
            <w:r>
              <w:t>Tool or component identification</w:t>
            </w:r>
          </w:p>
        </w:tc>
        <w:tc>
          <w:tcPr>
            <w:tcW w:type="dxa" w:w="3600"/>
          </w:tcPr>
          <w:p>
            <w:pPr>
              <w:spacing w:after="0" w:before="0" w:line="240" w:lineRule="auto"/>
              <w:jc w:val="left"/>
            </w:pPr>
            <w:r>
              <w:t>Localized antenna near the pickup or storage point</w:t>
            </w:r>
          </w:p>
        </w:tc>
        <w:tc>
          <w:tcPr>
            <w:tcW w:type="dxa" w:w="3600"/>
          </w:tcPr>
          <w:p>
            <w:pPr>
              <w:spacing w:after="0" w:before="0" w:line="240" w:lineRule="auto"/>
              <w:jc w:val="left"/>
            </w:pPr>
            <w:r>
              <w:t>Small tags, limited spacing, and unintended reads</w:t>
            </w:r>
          </w:p>
        </w:tc>
      </w:tr>
      <w:tr>
        <w:tc>
          <w:tcPr>
            <w:tcW w:type="dxa" w:w="3600"/>
          </w:tcPr>
          <w:p>
            <w:pPr>
              <w:spacing w:after="0" w:before="0" w:line="240" w:lineRule="auto"/>
              <w:jc w:val="left"/>
            </w:pPr>
            <w:r>
              <w:t>Vehicle or large-object tracking</w:t>
            </w:r>
          </w:p>
        </w:tc>
        <w:tc>
          <w:tcPr>
            <w:tcW w:type="dxa" w:w="3600"/>
          </w:tcPr>
          <w:p>
            <w:pPr>
              <w:spacing w:after="0" w:before="0" w:line="240" w:lineRule="auto"/>
              <w:jc w:val="left"/>
            </w:pPr>
            <w:r>
              <w:t>Multiple antennas arranged around a portal or controlled zone</w:t>
            </w:r>
          </w:p>
        </w:tc>
        <w:tc>
          <w:tcPr>
            <w:tcW w:type="dxa" w:w="3600"/>
          </w:tcPr>
          <w:p>
            <w:pPr>
              <w:spacing w:after="0" w:before="0" w:line="240" w:lineRule="auto"/>
              <w:jc w:val="left"/>
            </w:pPr>
            <w:r>
              <w:t>Large tag-position variation and overlapping coverage</w:t>
            </w:r>
          </w:p>
        </w:tc>
      </w:tr>
    </w:tbl>
    <w:p/>
    <w:p>
      <w:r>
        <w:t>These are starting arrangements, not universal mounting prescriptions. The final layout must be validated with the actual tag, material, reader, and mechanical design.</w:t>
      </w:r>
    </w:p>
    <w:p>
      <w:pPr>
        <w:pStyle w:val="Heading2"/>
      </w:pPr>
      <w:r>
        <w:t>8. Metal, Liquid, and the Industrial Environment</w:t>
      </w:r>
    </w:p>
    <w:p>
      <w:pPr>
        <w:pStyle w:val="Heading3"/>
      </w:pPr>
      <w:r>
        <w:t>8.1 Metal Surfaces</w:t>
      </w:r>
    </w:p>
    <w:p>
      <w:r>
        <w:t>Metal can detune an RFID tag antenna and change the electromagnetic field around the reader antenna.</w:t>
      </w:r>
    </w:p>
    <w:p>
      <w:r>
        <w:t>For UHF applications, use tags specifically designed for metal mounting when the tag must be installed on a metallic fixture or product. These tags may incorporate spacers, ferrite or other engineered structures, depending on their design.</w:t>
      </w:r>
    </w:p>
    <w:p>
      <w:r>
        <w:t>For LF and HF applications, metal can also disturb magnetic coupling and field distribution. Use the manufacturer's recommended tag and mounting arrangement.</w:t>
      </w:r>
    </w:p>
    <w:p>
      <w:r>
        <w:t>The reader antenna itself may also be affected by the mounting surface. Some antennas require a specified clearance from metal or a defined mounting plate.</w:t>
      </w:r>
    </w:p>
    <w:p>
      <w:pPr>
        <w:pStyle w:val="Heading3"/>
      </w:pPr>
      <w:r>
        <w:t>8.2 Liquid and Moisture</w:t>
      </w:r>
    </w:p>
    <w:p>
      <w:r>
        <w:t>Water and other liquids can absorb or alter RF energy, especially in UHF systems. A tag mounted against a liquid-filled container may behave differently from the same tag tested in open air.</w:t>
      </w:r>
    </w:p>
    <w:p>
      <w:r>
        <w:t>Validate the system with the actual container, liquid level, mounting location, and surrounding materials.</w:t>
      </w:r>
    </w:p>
    <w:p>
      <w:pPr>
        <w:pStyle w:val="Heading3"/>
      </w:pPr>
      <w:r>
        <w:t>8.3 Temperature, Vibration, and Contamination</w:t>
      </w:r>
    </w:p>
    <w:p>
      <w:r>
        <w:t>Industrial installations may expose antennas and readers to:</w:t>
      </w:r>
    </w:p>
    <w:p>
      <w:pPr>
        <w:pStyle w:val="ListBullet"/>
      </w:pPr>
      <w:r>
        <w:t>Elevated temperature or rapid temperature changes.</w:t>
      </w:r>
    </w:p>
    <w:p>
      <w:pPr>
        <w:pStyle w:val="ListBullet"/>
      </w:pPr>
      <w:r>
        <w:t>Vibration and mechanical shock.</w:t>
      </w:r>
    </w:p>
    <w:p>
      <w:pPr>
        <w:pStyle w:val="ListBullet"/>
      </w:pPr>
      <w:r>
        <w:t>Coolant, oil, water, and cleaning chemicals.</w:t>
      </w:r>
    </w:p>
    <w:p>
      <w:pPr>
        <w:pStyle w:val="ListBullet"/>
      </w:pPr>
      <w:r>
        <w:t>Metal chips, dust, and accumulated debris.</w:t>
      </w:r>
    </w:p>
    <w:p>
      <w:pPr>
        <w:pStyle w:val="ListBullet"/>
      </w:pPr>
      <w:r>
        <w:t>Cable abrasion and repeated mechanical movement.</w:t>
      </w:r>
    </w:p>
    <w:p>
      <w:r>
        <w:t>Select an enclosure and antenna rated for the environment. Check ingress protection, temperature limits, mounting strength, connector protection, and cable routing.</w:t>
      </w:r>
    </w:p>
    <w:p>
      <w:pPr>
        <w:pStyle w:val="Heading3"/>
      </w:pPr>
      <w:r>
        <w:t>8.4 Cable Routing and Connectors</w:t>
      </w:r>
    </w:p>
    <w:p>
      <w:r>
        <w:t>For external antennas:</w:t>
      </w:r>
    </w:p>
    <w:p>
      <w:pPr>
        <w:pStyle w:val="ListBullet"/>
      </w:pPr>
      <w:r>
        <w:t>Use the specified cable type and connectors.</w:t>
      </w:r>
    </w:p>
    <w:p>
      <w:pPr>
        <w:pStyle w:val="ListBullet"/>
      </w:pPr>
      <w:r>
        <w:t>Keep RF cables as short as practical within the design constraints.</w:t>
      </w:r>
    </w:p>
    <w:p>
      <w:pPr>
        <w:pStyle w:val="ListBullet"/>
      </w:pPr>
      <w:r>
        <w:t>Avoid sharp bends, crushing, and excessive tension.</w:t>
      </w:r>
    </w:p>
    <w:p>
      <w:pPr>
        <w:pStyle w:val="ListBullet"/>
      </w:pPr>
      <w:r>
        <w:t>Separate RF cables from noisy power wiring where practical.</w:t>
      </w:r>
    </w:p>
    <w:p>
      <w:pPr>
        <w:pStyle w:val="ListBullet"/>
      </w:pPr>
      <w:r>
        <w:t>Inspect connectors for damage, looseness, corrosion, or contamination.</w:t>
      </w:r>
    </w:p>
    <w:p>
      <w:pPr>
        <w:pStyle w:val="ListBullet"/>
      </w:pPr>
      <w:r>
        <w:t>Use only manufacturer-approved cable extensions and adapters.</w:t>
      </w:r>
    </w:p>
    <w:p>
      <w:r>
        <w:t>A cable fault may cause reduced range or unstable operation even when the reader reports that it is online.</w:t>
      </w:r>
    </w:p>
    <w:p>
      <w:pPr>
        <w:pStyle w:val="Heading2"/>
      </w:pPr>
      <w:r>
        <w:t>9. Multi-Antenna Systems and Read-Zone Control</w:t>
      </w:r>
    </w:p>
    <w:p>
      <w:r>
        <w:t>A single reader may support multiple antenna ports. Each antenna can cover a different part of a machine, portal, or conveyor.</w:t>
      </w:r>
    </w:p>
    <w:p>
      <w:r>
        <w:t>Example: a carrier passing through a controlled identification station.</w:t>
      </w:r>
    </w:p>
    <w:p>
      <w:pPr>
        <w:shd w:val="clear" w:color="auto" w:fill="F4F4F4"/>
        <w:spacing w:before="0" w:after="0" w:line="240" w:lineRule="auto"/>
        <w:ind w:left="216" w:right="216"/>
        <w:jc w:val="left"/>
      </w:pPr>
      <w:r>
        <w:rPr>
          <w:rFonts w:ascii="Consolas" w:hAnsi="Consolas"/>
          <w:color w:val="202020"/>
          <w:sz w:val="18"/>
        </w:rPr>
        <w:t>Carrier enters station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confirms identification trigger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Reader activates configured antenna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Antenna 1 reads tag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Antenna 2 reads tag, if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Reader returns tag data and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validates expected identifier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continues or raises identification fault</w:t>
      </w:r>
    </w:p>
    <w:p/>
    <w:p>
      <w:r>
        <w:t>The actual antenna sequence depends on the reader's supported configuration and communication interface.</w:t>
      </w:r>
    </w:p>
    <w:p>
      <w:pPr>
        <w:pStyle w:val="Heading3"/>
      </w:pPr>
      <w:r>
        <w:t>9.1 Why Use Multiple Antennas?</w:t>
      </w:r>
    </w:p>
    <w:p>
      <w:r>
        <w:t>Multiple antennas can improve coverage when:</w:t>
      </w:r>
    </w:p>
    <w:p>
      <w:pPr>
        <w:pStyle w:val="ListBullet"/>
      </w:pPr>
      <w:r>
        <w:t>Tags may face different directions.</w:t>
      </w:r>
    </w:p>
    <w:p>
      <w:pPr>
        <w:pStyle w:val="ListBullet"/>
      </w:pPr>
      <w:r>
        <w:t>A large object has several possible tag locations.</w:t>
      </w:r>
    </w:p>
    <w:p>
      <w:pPr>
        <w:pStyle w:val="ListBullet"/>
      </w:pPr>
      <w:r>
        <w:t>One antenna cannot cover the complete passage reliably.</w:t>
      </w:r>
    </w:p>
    <w:p>
      <w:pPr>
        <w:pStyle w:val="ListBullet"/>
      </w:pPr>
      <w:r>
        <w:t>Different zones need to be identified separately.</w:t>
      </w:r>
    </w:p>
    <w:p>
      <w:r>
        <w:t>However, additional antennas increase commissioning complexity. They can create overlapping coverage, longer inventory cycles, and additional opportunities for unwanted reads.</w:t>
      </w:r>
    </w:p>
    <w:p>
      <w:pPr>
        <w:pStyle w:val="Heading3"/>
      </w:pPr>
      <w:r>
        <w:t>9.2 Antenna Switching and Inventory Timing</w:t>
      </w:r>
    </w:p>
    <w:p>
      <w:r>
        <w:t>In many systems, the reader activates antennas in sequence. The time spent on each port affects the opportunity to identify tags.</w:t>
      </w:r>
    </w:p>
    <w:p>
      <w:r>
        <w:t>A fast-moving carrier may pass through the read zone before the reader completes the configured inventory cycle.</w:t>
      </w:r>
    </w:p>
    <w:p>
      <w:r>
        <w:t>During commissioning, check:</w:t>
      </w:r>
    </w:p>
    <w:p>
      <w:pPr>
        <w:pStyle w:val="ListBullet"/>
      </w:pPr>
      <w:r>
        <w:t>Number of active antenna ports.</w:t>
      </w:r>
    </w:p>
    <w:p>
      <w:pPr>
        <w:pStyle w:val="ListBullet"/>
      </w:pPr>
      <w:r>
        <w:t>Power and configuration assigned to each port.</w:t>
      </w:r>
    </w:p>
    <w:p>
      <w:pPr>
        <w:pStyle w:val="ListBullet"/>
      </w:pPr>
      <w:r>
        <w:t>Switching sequence and dwell time.</w:t>
      </w:r>
    </w:p>
    <w:p>
      <w:pPr>
        <w:pStyle w:val="ListBullet"/>
      </w:pPr>
      <w:r>
        <w:t>Reader inventory cycle duration.</w:t>
      </w:r>
    </w:p>
    <w:p>
      <w:pPr>
        <w:pStyle w:val="ListBullet"/>
      </w:pPr>
      <w:r>
        <w:t>Trigger timing and timeout.</w:t>
      </w:r>
    </w:p>
    <w:p>
      <w:pPr>
        <w:pStyle w:val="ListBullet"/>
      </w:pPr>
      <w:r>
        <w:t>Number of tags expected in the zone.</w:t>
      </w:r>
    </w:p>
    <w:p>
      <w:pPr>
        <w:pStyle w:val="ListBullet"/>
      </w:pPr>
      <w:r>
        <w:t>Whether the same tag is reported by multiple antennas.</w:t>
      </w:r>
    </w:p>
    <w:p>
      <w:pPr>
        <w:pStyle w:val="Heading3"/>
      </w:pPr>
      <w:r>
        <w:t>9.3 Tag Filtering and Zone Attribution</w:t>
      </w:r>
    </w:p>
    <w:p>
      <w:r>
        <w:t>Readers may provide metadata such as antenna-port number, RSSI, phase, or timestamp, depending on the hardware and protocol.</w:t>
      </w:r>
    </w:p>
    <w:p>
      <w:r>
        <w:t>These values can help diagnose tag movement or infer which antenna detected a tag. They are not universally available, and RSSI or phase should not be treated as an exact distance measurement.</w:t>
      </w:r>
    </w:p>
    <w:p>
      <w:r>
        <w:t>A robust industrial application uses several layers of validation:</w:t>
      </w:r>
    </w:p>
    <w:p>
      <w:pPr>
        <w:tabs>
          <w:tab w:pos="403" w:val="left"/>
        </w:tabs>
        <w:spacing w:after="40" w:line="276" w:lineRule="auto"/>
        <w:ind w:left="403" w:hanging="403"/>
        <w:jc w:val="left"/>
      </w:pPr>
      <w:r>
        <w:rPr>
          <w:color w:val="1A2E4A"/>
        </w:rPr>
        <w:t>1.</w:t>
        <w:tab/>
      </w:r>
      <w:r>
        <w:t>Confirm that the reported identifier is valid.</w:t>
      </w:r>
    </w:p>
    <w:p>
      <w:pPr>
        <w:tabs>
          <w:tab w:pos="403" w:val="left"/>
        </w:tabs>
        <w:spacing w:after="40" w:line="276" w:lineRule="auto"/>
        <w:ind w:left="403" w:hanging="403"/>
        <w:jc w:val="left"/>
      </w:pPr>
      <w:r>
        <w:rPr>
          <w:color w:val="1A2E4A"/>
        </w:rPr>
        <w:t>2.</w:t>
        <w:tab/>
      </w:r>
      <w:r>
        <w:t>Compare it against the expected product, carrier, or process record.</w:t>
      </w:r>
    </w:p>
    <w:p>
      <w:pPr>
        <w:tabs>
          <w:tab w:pos="403" w:val="left"/>
        </w:tabs>
        <w:spacing w:after="40" w:line="276" w:lineRule="auto"/>
        <w:ind w:left="403" w:hanging="403"/>
        <w:jc w:val="left"/>
      </w:pPr>
      <w:r>
        <w:rPr>
          <w:color w:val="1A2E4A"/>
        </w:rPr>
        <w:t>3.</w:t>
        <w:tab/>
      </w:r>
      <w:r>
        <w:t>Check that the read occurred during the correct station trigger window.</w:t>
      </w:r>
    </w:p>
    <w:p>
      <w:pPr>
        <w:tabs>
          <w:tab w:pos="403" w:val="left"/>
        </w:tabs>
        <w:spacing w:after="40" w:line="276" w:lineRule="auto"/>
        <w:ind w:left="403" w:hanging="403"/>
        <w:jc w:val="left"/>
      </w:pPr>
      <w:r>
        <w:rPr>
          <w:color w:val="1A2E4A"/>
        </w:rPr>
        <w:t>4.</w:t>
        <w:tab/>
      </w:r>
      <w:r>
        <w:t>Reject or flag unexpected identifiers.</w:t>
      </w:r>
    </w:p>
    <w:p>
      <w:pPr>
        <w:tabs>
          <w:tab w:pos="403" w:val="left"/>
        </w:tabs>
        <w:spacing w:after="40" w:line="276" w:lineRule="auto"/>
        <w:ind w:left="403" w:hanging="403"/>
        <w:jc w:val="left"/>
      </w:pPr>
      <w:r>
        <w:rPr>
          <w:color w:val="1A2E4A"/>
        </w:rPr>
        <w:t>5.</w:t>
        <w:tab/>
      </w:r>
      <w:r>
        <w:t>Handle duplicate reports without accidentally duplicating a production transaction.</w:t>
      </w:r>
    </w:p>
    <w:p>
      <w:pPr>
        <w:tabs>
          <w:tab w:pos="403" w:val="left"/>
        </w:tabs>
        <w:spacing w:after="40" w:line="276" w:lineRule="auto"/>
        <w:ind w:left="403" w:hanging="403"/>
        <w:jc w:val="left"/>
      </w:pPr>
      <w:r>
        <w:rPr>
          <w:color w:val="1A2E4A"/>
        </w:rPr>
        <w:t>6.</w:t>
        <w:tab/>
      </w:r>
      <w:r>
        <w:t>Record a fault if no valid tag is read within the allowed time.</w:t>
      </w:r>
    </w:p>
    <w:p>
      <w:pPr>
        <w:pStyle w:val="Heading2"/>
      </w:pPr>
      <w:r>
        <w:t>10. Integration with PLC and Machine Control</w:t>
      </w:r>
    </w:p>
    <w:p>
      <w:r>
        <w:t>An RFID reader is usually integrated into a PLC-controlled sequence through Ethernet-based protocols, industrial communication interfaces, digital I/O, or a vendor-specific interface.</w:t>
      </w:r>
    </w:p>
    <w:p>
      <w:r>
        <w:t>Common integration methods include:</w:t>
      </w:r>
    </w:p>
    <w:p>
      <w:pPr>
        <w:pStyle w:val="ListBullet"/>
      </w:pPr>
      <w:r>
        <w:t>EtherNet/IP.</w:t>
      </w:r>
    </w:p>
    <w:p>
      <w:pPr>
        <w:pStyle w:val="ListBullet"/>
      </w:pPr>
      <w:r>
        <w:t>PROFINET.</w:t>
      </w:r>
    </w:p>
    <w:p>
      <w:pPr>
        <w:pStyle w:val="ListBullet"/>
      </w:pPr>
      <w:r>
        <w:t>Modbus TCP, where supported.</w:t>
      </w:r>
    </w:p>
    <w:p>
      <w:pPr>
        <w:pStyle w:val="ListBullet"/>
      </w:pPr>
      <w:r>
        <w:t>TCP/IP socket communication.</w:t>
      </w:r>
    </w:p>
    <w:p>
      <w:pPr>
        <w:pStyle w:val="ListBullet"/>
      </w:pPr>
      <w:r>
        <w:t>Digital trigger and ready/busy signals.</w:t>
      </w:r>
    </w:p>
    <w:p>
      <w:pPr>
        <w:pStyle w:val="ListBullet"/>
      </w:pPr>
      <w:r>
        <w:t>Vendor-specific function blocks, libraries, or communication instructions.</w:t>
      </w:r>
    </w:p>
    <w:p>
      <w:r>
        <w:t>The supported interfaces depend on the reader model. Do not assume every RFID reader supports every protocol.</w:t>
      </w:r>
    </w:p>
    <w:p>
      <w:pPr>
        <w:pStyle w:val="Heading3"/>
      </w:pPr>
      <w:r>
        <w:t>10.1 Typical PLC Handshake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Signal or data item</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Read request</w:t>
            </w:r>
          </w:p>
        </w:tc>
        <w:tc>
          <w:tcPr>
            <w:tcW w:type="dxa" w:w="5400"/>
          </w:tcPr>
          <w:p>
            <w:pPr>
              <w:spacing w:after="0" w:before="0" w:line="240" w:lineRule="auto"/>
              <w:jc w:val="left"/>
            </w:pPr>
            <w:r>
              <w:t>PLC requests identification</w:t>
            </w:r>
          </w:p>
        </w:tc>
      </w:tr>
      <w:tr>
        <w:tc>
          <w:tcPr>
            <w:tcW w:type="dxa" w:w="5400"/>
          </w:tcPr>
          <w:p>
            <w:pPr>
              <w:spacing w:after="0" w:before="0" w:line="240" w:lineRule="auto"/>
              <w:jc w:val="left"/>
            </w:pPr>
            <w:r>
              <w:t>Reader ready</w:t>
            </w:r>
          </w:p>
        </w:tc>
        <w:tc>
          <w:tcPr>
            <w:tcW w:type="dxa" w:w="5400"/>
          </w:tcPr>
          <w:p>
            <w:pPr>
              <w:spacing w:after="0" w:before="0" w:line="240" w:lineRule="auto"/>
              <w:jc w:val="left"/>
            </w:pPr>
            <w:r>
              <w:t>Indicates the reader can accept a command</w:t>
            </w:r>
          </w:p>
        </w:tc>
      </w:tr>
      <w:tr>
        <w:tc>
          <w:tcPr>
            <w:tcW w:type="dxa" w:w="5400"/>
          </w:tcPr>
          <w:p>
            <w:pPr>
              <w:spacing w:after="0" w:before="0" w:line="240" w:lineRule="auto"/>
              <w:jc w:val="left"/>
            </w:pPr>
            <w:r>
              <w:t>Busy</w:t>
            </w:r>
          </w:p>
        </w:tc>
        <w:tc>
          <w:tcPr>
            <w:tcW w:type="dxa" w:w="5400"/>
          </w:tcPr>
          <w:p>
            <w:pPr>
              <w:spacing w:after="0" w:before="0" w:line="240" w:lineRule="auto"/>
              <w:jc w:val="left"/>
            </w:pPr>
            <w:r>
              <w:t>Indicates an operation is in progress</w:t>
            </w:r>
          </w:p>
        </w:tc>
      </w:tr>
      <w:tr>
        <w:tc>
          <w:tcPr>
            <w:tcW w:type="dxa" w:w="5400"/>
          </w:tcPr>
          <w:p>
            <w:pPr>
              <w:spacing w:after="0" w:before="0" w:line="240" w:lineRule="auto"/>
              <w:jc w:val="left"/>
            </w:pPr>
            <w:r>
              <w:t>Read complete</w:t>
            </w:r>
          </w:p>
        </w:tc>
        <w:tc>
          <w:tcPr>
            <w:tcW w:type="dxa" w:w="5400"/>
          </w:tcPr>
          <w:p>
            <w:pPr>
              <w:spacing w:after="0" w:before="0" w:line="240" w:lineRule="auto"/>
              <w:jc w:val="left"/>
            </w:pPr>
            <w:r>
              <w:t>Indicates the operation has finished</w:t>
            </w:r>
          </w:p>
        </w:tc>
      </w:tr>
      <w:tr>
        <w:tc>
          <w:tcPr>
            <w:tcW w:type="dxa" w:w="5400"/>
          </w:tcPr>
          <w:p>
            <w:pPr>
              <w:spacing w:after="0" w:before="0" w:line="240" w:lineRule="auto"/>
              <w:jc w:val="left"/>
            </w:pPr>
            <w:r>
              <w:t>Read success</w:t>
            </w:r>
          </w:p>
        </w:tc>
        <w:tc>
          <w:tcPr>
            <w:tcW w:type="dxa" w:w="5400"/>
          </w:tcPr>
          <w:p>
            <w:pPr>
              <w:spacing w:after="0" w:before="0" w:line="240" w:lineRule="auto"/>
              <w:jc w:val="left"/>
            </w:pPr>
            <w:r>
              <w:t>Indicates valid tag data was obtained</w:t>
            </w:r>
          </w:p>
        </w:tc>
      </w:tr>
      <w:tr>
        <w:tc>
          <w:tcPr>
            <w:tcW w:type="dxa" w:w="5400"/>
          </w:tcPr>
          <w:p>
            <w:pPr>
              <w:spacing w:after="0" w:before="0" w:line="240" w:lineRule="auto"/>
              <w:jc w:val="left"/>
            </w:pPr>
            <w:r>
              <w:t>Tag identifier</w:t>
            </w:r>
          </w:p>
        </w:tc>
        <w:tc>
          <w:tcPr>
            <w:tcW w:type="dxa" w:w="5400"/>
          </w:tcPr>
          <w:p>
            <w:pPr>
              <w:spacing w:after="0" w:before="0" w:line="240" w:lineRule="auto"/>
              <w:jc w:val="left"/>
            </w:pPr>
            <w:r>
              <w:t>Tag EPC, UID, or another identifier according to the system</w:t>
            </w:r>
          </w:p>
        </w:tc>
      </w:tr>
      <w:tr>
        <w:tc>
          <w:tcPr>
            <w:tcW w:type="dxa" w:w="5400"/>
          </w:tcPr>
          <w:p>
            <w:pPr>
              <w:spacing w:after="0" w:before="0" w:line="240" w:lineRule="auto"/>
              <w:jc w:val="left"/>
            </w:pPr>
            <w:r>
              <w:t>Error code</w:t>
            </w:r>
          </w:p>
        </w:tc>
        <w:tc>
          <w:tcPr>
            <w:tcW w:type="dxa" w:w="5400"/>
          </w:tcPr>
          <w:p>
            <w:pPr>
              <w:spacing w:after="0" w:before="0" w:line="240" w:lineRule="auto"/>
              <w:jc w:val="left"/>
            </w:pPr>
            <w:r>
              <w:t>Identifies communication, configuration, or read-related faults</w:t>
            </w:r>
          </w:p>
        </w:tc>
      </w:tr>
      <w:tr>
        <w:tc>
          <w:tcPr>
            <w:tcW w:type="dxa" w:w="5400"/>
          </w:tcPr>
          <w:p>
            <w:pPr>
              <w:spacing w:after="0" w:before="0" w:line="240" w:lineRule="auto"/>
              <w:jc w:val="left"/>
            </w:pPr>
            <w:r>
              <w:t>Timeout</w:t>
            </w:r>
          </w:p>
        </w:tc>
        <w:tc>
          <w:tcPr>
            <w:tcW w:type="dxa" w:w="5400"/>
          </w:tcPr>
          <w:p>
            <w:pPr>
              <w:spacing w:after="0" w:before="0" w:line="240" w:lineRule="auto"/>
              <w:jc w:val="left"/>
            </w:pPr>
            <w:r>
              <w:t>PLC-side limit for waiting for a valid response</w:t>
            </w:r>
          </w:p>
        </w:tc>
      </w:tr>
    </w:tbl>
    <w:p/>
    <w:p>
      <w:r>
        <w:t>The exact handshake names and semantics vary by manufacturer.</w:t>
      </w:r>
    </w:p>
    <w:p>
      <w:r>
        <w:t>A typical sequence is:</w:t>
      </w:r>
    </w:p>
    <w:p>
      <w:pPr>
        <w:tabs>
          <w:tab w:pos="403" w:val="left"/>
        </w:tabs>
        <w:spacing w:after="40" w:line="276" w:lineRule="auto"/>
        <w:ind w:left="403" w:hanging="403"/>
        <w:jc w:val="left"/>
      </w:pPr>
      <w:r>
        <w:rPr>
          <w:color w:val="1A2E4A"/>
        </w:rPr>
        <w:t>1.</w:t>
        <w:tab/>
      </w:r>
      <w:r>
        <w:t>PLC confirms that the carrier is in the identification position.</w:t>
      </w:r>
    </w:p>
    <w:p>
      <w:pPr>
        <w:tabs>
          <w:tab w:pos="403" w:val="left"/>
        </w:tabs>
        <w:spacing w:after="40" w:line="276" w:lineRule="auto"/>
        <w:ind w:left="403" w:hanging="403"/>
        <w:jc w:val="left"/>
      </w:pPr>
      <w:r>
        <w:rPr>
          <w:color w:val="1A2E4A"/>
        </w:rPr>
        <w:t>2.</w:t>
        <w:tab/>
      </w:r>
      <w:r>
        <w:t>PLC checks reader readiness.</w:t>
      </w:r>
    </w:p>
    <w:p>
      <w:pPr>
        <w:tabs>
          <w:tab w:pos="403" w:val="left"/>
        </w:tabs>
        <w:spacing w:after="40" w:line="276" w:lineRule="auto"/>
        <w:ind w:left="403" w:hanging="403"/>
        <w:jc w:val="left"/>
      </w:pPr>
      <w:r>
        <w:rPr>
          <w:color w:val="1A2E4A"/>
        </w:rPr>
        <w:t>3.</w:t>
        <w:tab/>
      </w:r>
      <w:r>
        <w:t>PLC issues the read request or trigger.</w:t>
      </w:r>
    </w:p>
    <w:p>
      <w:pPr>
        <w:tabs>
          <w:tab w:pos="403" w:val="left"/>
        </w:tabs>
        <w:spacing w:after="40" w:line="276" w:lineRule="auto"/>
        <w:ind w:left="403" w:hanging="403"/>
        <w:jc w:val="left"/>
      </w:pPr>
      <w:r>
        <w:rPr>
          <w:color w:val="1A2E4A"/>
        </w:rPr>
        <w:t>4.</w:t>
        <w:tab/>
      </w:r>
      <w:r>
        <w:t>Reader performs the inventory or identification operation.</w:t>
      </w:r>
    </w:p>
    <w:p>
      <w:pPr>
        <w:tabs>
          <w:tab w:pos="403" w:val="left"/>
        </w:tabs>
        <w:spacing w:after="40" w:line="276" w:lineRule="auto"/>
        <w:ind w:left="403" w:hanging="403"/>
        <w:jc w:val="left"/>
      </w:pPr>
      <w:r>
        <w:rPr>
          <w:color w:val="1A2E4A"/>
        </w:rPr>
        <w:t>5.</w:t>
        <w:tab/>
      </w:r>
      <w:r>
        <w:t>PLC waits for completion or a timeout.</w:t>
      </w:r>
    </w:p>
    <w:p>
      <w:pPr>
        <w:tabs>
          <w:tab w:pos="403" w:val="left"/>
        </w:tabs>
        <w:spacing w:after="40" w:line="276" w:lineRule="auto"/>
        <w:ind w:left="403" w:hanging="403"/>
        <w:jc w:val="left"/>
      </w:pPr>
      <w:r>
        <w:rPr>
          <w:color w:val="1A2E4A"/>
        </w:rPr>
        <w:t>6.</w:t>
        <w:tab/>
      </w:r>
      <w:r>
        <w:t>PLC validates the identifier and process context.</w:t>
      </w:r>
    </w:p>
    <w:p>
      <w:pPr>
        <w:tabs>
          <w:tab w:pos="403" w:val="left"/>
        </w:tabs>
        <w:spacing w:after="40" w:line="276" w:lineRule="auto"/>
        <w:ind w:left="403" w:hanging="403"/>
        <w:jc w:val="left"/>
      </w:pPr>
      <w:r>
        <w:rPr>
          <w:color w:val="1A2E4A"/>
        </w:rPr>
        <w:t>7.</w:t>
        <w:tab/>
      </w:r>
      <w:r>
        <w:t>PLC allows the sequence to continue or raises an identification fault.</w:t>
      </w:r>
    </w:p>
    <w:p>
      <w:r>
        <w:t>The machine should not automatically treat communication availability as proof that a valid tag has been read.</w:t>
      </w:r>
    </w:p>
    <w:p>
      <w:pPr>
        <w:pStyle w:val="Heading3"/>
      </w:pPr>
      <w:r>
        <w:t>10.2 Example: Carrier Identification</w:t>
      </w:r>
    </w:p>
    <w:p>
      <w:r>
        <w:t>Suppose a production carrier must be identified before a machine starts its cycle.</w:t>
      </w:r>
    </w:p>
    <w:p>
      <w:pPr>
        <w:pStyle w:val="ListBullet"/>
      </w:pPr>
      <w:r>
        <w:t xml:space="preserve">Expected carrier ID: </w:t>
      </w:r>
      <w:r>
        <w:rPr>
          <w:rFonts w:ascii="Consolas" w:hAnsi="Consolas"/>
          <w:color w:val="333333"/>
          <w:sz w:val="19"/>
          <w:shd w:val="clear" w:color="auto" w:fill="EFEFEF"/>
        </w:rPr>
        <w:t>CARRIER_1042</w:t>
      </w:r>
    </w:p>
    <w:p>
      <w:pPr>
        <w:pStyle w:val="ListBullet"/>
      </w:pPr>
      <w:r>
        <w:t xml:space="preserve">Actual read: </w:t>
      </w:r>
      <w:r>
        <w:rPr>
          <w:rFonts w:ascii="Consolas" w:hAnsi="Consolas"/>
          <w:color w:val="333333"/>
          <w:sz w:val="19"/>
          <w:shd w:val="clear" w:color="auto" w:fill="EFEFEF"/>
        </w:rPr>
        <w:t>CARRIER_1042</w:t>
      </w:r>
    </w:p>
    <w:p>
      <w:pPr>
        <w:pStyle w:val="ListBullet"/>
      </w:pPr>
      <w:r>
        <w:t>Reader status: successful</w:t>
      </w:r>
    </w:p>
    <w:p>
      <w:pPr>
        <w:pStyle w:val="ListBullet"/>
      </w:pPr>
      <w:r>
        <w:t>PLC action: permit the identification-dependent sequence to continue, subject to all other interlocks.</w:t>
      </w:r>
    </w:p>
    <w:p>
      <w:r>
        <w:t>If the reader returns a different identifier, no identifier, or a communication error, the PLC should apply the defined fault-handling sequence.</w:t>
      </w:r>
    </w:p>
    <w:p>
      <w:r>
        <w:t>The expected ID should come from the actual production context, not from a fixed value copied into the program without appropriate controls.</w:t>
      </w:r>
    </w:p>
    <w:p>
      <w:pPr>
        <w:pStyle w:val="Heading2"/>
      </w:pPr>
      <w:r>
        <w:t>11. Commissioning Procedure</w:t>
      </w:r>
    </w:p>
    <w:p>
      <w:r>
        <w:t>Commissioning should establish a repeatable read zone under real operating conditions.</w:t>
      </w:r>
    </w:p>
    <w:p>
      <w:pPr>
        <w:pStyle w:val="Heading3"/>
      </w:pPr>
      <w:r>
        <w:t>Step 1: Verify Compatibility</w:t>
      </w:r>
    </w:p>
    <w:p>
      <w:pPr>
        <w:pStyle w:val="ListBullet"/>
      </w:pPr>
      <w:r>
        <w:t>Confirm reader and tag frequency compatibility.</w:t>
      </w:r>
    </w:p>
    <w:p>
      <w:pPr>
        <w:pStyle w:val="ListBullet"/>
      </w:pPr>
      <w:r>
        <w:t>Confirm the supported RFID air-interface protocol.</w:t>
      </w:r>
    </w:p>
    <w:p>
      <w:pPr>
        <w:pStyle w:val="ListBullet"/>
      </w:pPr>
      <w:r>
        <w:t>Verify the antenna frequency range and impedance.</w:t>
      </w:r>
    </w:p>
    <w:p>
      <w:pPr>
        <w:pStyle w:val="ListBullet"/>
      </w:pPr>
      <w:r>
        <w:t>Check regional RF requirements.</w:t>
      </w:r>
    </w:p>
    <w:p>
      <w:pPr>
        <w:pStyle w:val="ListBullet"/>
      </w:pPr>
      <w:r>
        <w:t>Confirm the tag's suitability for its mounting material and environment.</w:t>
      </w:r>
    </w:p>
    <w:p>
      <w:pPr>
        <w:pStyle w:val="Heading3"/>
      </w:pPr>
      <w:r>
        <w:t>Step 2: Establish the Mechanical Layout</w:t>
      </w:r>
    </w:p>
    <w:p>
      <w:pPr>
        <w:pStyle w:val="ListBullet"/>
      </w:pPr>
      <w:r>
        <w:t>Identify the expected tag path and allowable position variation.</w:t>
      </w:r>
    </w:p>
    <w:p>
      <w:pPr>
        <w:pStyle w:val="ListBullet"/>
      </w:pPr>
      <w:r>
        <w:t>Select the initial antenna location and orientation.</w:t>
      </w:r>
    </w:p>
    <w:p>
      <w:pPr>
        <w:pStyle w:val="ListBullet"/>
      </w:pPr>
      <w:r>
        <w:t>Confirm that machine guards and moving components will not obstruct the installation.</w:t>
      </w:r>
    </w:p>
    <w:p>
      <w:pPr>
        <w:pStyle w:val="ListBullet"/>
      </w:pPr>
      <w:r>
        <w:t>Route and secure cables correctly.</w:t>
      </w:r>
    </w:p>
    <w:p>
      <w:pPr>
        <w:pStyle w:val="ListBullet"/>
      </w:pPr>
      <w:r>
        <w:t>Check the antenna's specified mounting clearances.</w:t>
      </w:r>
    </w:p>
    <w:p>
      <w:pPr>
        <w:pStyle w:val="Heading3"/>
      </w:pPr>
      <w:r>
        <w:t>Step 3: Configure Reader and Antenna</w:t>
      </w:r>
    </w:p>
    <w:p>
      <w:pPr>
        <w:pStyle w:val="ListBullet"/>
      </w:pPr>
      <w:r>
        <w:t>Set the correct regional operating configuration.</w:t>
      </w:r>
    </w:p>
    <w:p>
      <w:pPr>
        <w:pStyle w:val="ListBullet"/>
      </w:pPr>
      <w:r>
        <w:t>Select the appropriate antenna port and antenna settings.</w:t>
      </w:r>
    </w:p>
    <w:p>
      <w:pPr>
        <w:pStyle w:val="ListBullet"/>
      </w:pPr>
      <w:r>
        <w:t>Begin with a conservative RF power setting.</w:t>
      </w:r>
    </w:p>
    <w:p>
      <w:pPr>
        <w:pStyle w:val="ListBullet"/>
      </w:pPr>
      <w:r>
        <w:t>Configure the inventory or trigger mode.</w:t>
      </w:r>
    </w:p>
    <w:p>
      <w:pPr>
        <w:pStyle w:val="ListBullet"/>
      </w:pPr>
      <w:r>
        <w:t>Apply required tag filters and communication parameters.</w:t>
      </w:r>
    </w:p>
    <w:p>
      <w:r>
        <w:t>Never exceed the permitted RF output or bypass regional restrictions to compensate for poor placement.</w:t>
      </w:r>
    </w:p>
    <w:p>
      <w:pPr>
        <w:pStyle w:val="Heading3"/>
      </w:pPr>
      <w:r>
        <w:t>Step 4: Test with the Actual Tag and Product</w:t>
      </w:r>
    </w:p>
    <w:p>
      <w:r>
        <w:t>Test using the production tag mounted on the real workpiece, pallet, container, or fixture.</w:t>
      </w:r>
    </w:p>
    <w:p>
      <w:r>
        <w:t>Check the tag at:</w:t>
      </w:r>
    </w:p>
    <w:p>
      <w:pPr>
        <w:pStyle w:val="ListBullet"/>
      </w:pPr>
      <w:r>
        <w:t>Minimum and maximum expected distances.</w:t>
      </w:r>
    </w:p>
    <w:p>
      <w:pPr>
        <w:pStyle w:val="ListBullet"/>
      </w:pPr>
      <w:r>
        <w:t>Different permitted orientations.</w:t>
      </w:r>
    </w:p>
    <w:p>
      <w:pPr>
        <w:pStyle w:val="ListBullet"/>
      </w:pPr>
      <w:r>
        <w:t>The extreme positions of mechanical tolerances.</w:t>
      </w:r>
    </w:p>
    <w:p>
      <w:pPr>
        <w:pStyle w:val="ListBullet"/>
      </w:pPr>
      <w:r>
        <w:t>Normal and worst-case product configurations.</w:t>
      </w:r>
    </w:p>
    <w:p>
      <w:pPr>
        <w:pStyle w:val="ListBullet"/>
      </w:pPr>
      <w:r>
        <w:t>Realistic conveyor or carrier movement speeds.</w:t>
      </w:r>
    </w:p>
    <w:p>
      <w:r>
        <w:t>A bare tag tested on a workbench is not an adequate substitute for the mounted production tag.</w:t>
      </w:r>
    </w:p>
    <w:p>
      <w:pPr>
        <w:pStyle w:val="Heading3"/>
      </w:pPr>
      <w:r>
        <w:t>Step 5: Test False Reads and Neighboring Tags</w:t>
      </w:r>
    </w:p>
    <w:p>
      <w:r>
        <w:t>Place nearby tags in realistic positions and confirm that the intended tag is selected.</w:t>
      </w:r>
    </w:p>
    <w:p>
      <w:r>
        <w:t>Test overlapping carriers, adjacent stations, and different tag populations. Confirm that duplicate reports are handled correctly and that tags outside the intended zone are not mistakenly assigned to the current product.</w:t>
      </w:r>
    </w:p>
    <w:p>
      <w:pPr>
        <w:pStyle w:val="Heading3"/>
      </w:pPr>
      <w:r>
        <w:t>Step 6: Validate Cycle Time</w:t>
      </w:r>
    </w:p>
    <w:p>
      <w:r>
        <w:t>Measure the time from the PLC read request to the availability of validated tag data.</w:t>
      </w:r>
    </w:p>
    <w:p>
      <w:r>
        <w:t>Verify that the identification operation completes within the machine's timing requirements, including communication delays and retries.</w:t>
      </w:r>
    </w:p>
    <w:p>
      <w:pPr>
        <w:pStyle w:val="Heading3"/>
      </w:pPr>
      <w:r>
        <w:t>Step 7: Document and Release</w:t>
      </w:r>
    </w:p>
    <w:p>
      <w:r>
        <w:t>Record:</w:t>
      </w:r>
    </w:p>
    <w:p>
      <w:pPr>
        <w:pStyle w:val="ListBullet"/>
      </w:pPr>
      <w:r>
        <w:t>Reader and antenna models.</w:t>
      </w:r>
    </w:p>
    <w:p>
      <w:pPr>
        <w:pStyle w:val="ListBullet"/>
      </w:pPr>
      <w:r>
        <w:t>Firmware and configuration versions.</w:t>
      </w:r>
    </w:p>
    <w:p>
      <w:pPr>
        <w:pStyle w:val="ListBullet"/>
      </w:pPr>
      <w:r>
        <w:t>Antenna position, orientation, and mounting details.</w:t>
      </w:r>
    </w:p>
    <w:p>
      <w:pPr>
        <w:pStyle w:val="ListBullet"/>
      </w:pPr>
      <w:r>
        <w:t>Cable type and length.</w:t>
      </w:r>
    </w:p>
    <w:p>
      <w:pPr>
        <w:pStyle w:val="ListBullet"/>
      </w:pPr>
      <w:r>
        <w:t>RF power settings.</w:t>
      </w:r>
    </w:p>
    <w:p>
      <w:pPr>
        <w:pStyle w:val="ListBullet"/>
      </w:pPr>
      <w:r>
        <w:t>Tag model and mounting method.</w:t>
      </w:r>
    </w:p>
    <w:p>
      <w:pPr>
        <w:pStyle w:val="ListBullet"/>
      </w:pPr>
      <w:r>
        <w:t>Test distances and orientations.</w:t>
      </w:r>
    </w:p>
    <w:p>
      <w:pPr>
        <w:pStyle w:val="ListBullet"/>
      </w:pPr>
      <w:r>
        <w:t>Read success rate, missed reads, and cross-reads.</w:t>
      </w:r>
    </w:p>
    <w:p>
      <w:pPr>
        <w:pStyle w:val="ListBullet"/>
      </w:pPr>
      <w:r>
        <w:t>PLC handshake and timeout behavior.</w:t>
      </w:r>
    </w:p>
    <w:p>
      <w:pPr>
        <w:pStyle w:val="ListBullet"/>
      </w:pPr>
      <w:r>
        <w:t>Approved configuration backup and recovery procedure.</w:t>
      </w:r>
    </w:p>
    <w:p>
      <w:pPr>
        <w:pStyle w:val="Heading2"/>
      </w:pPr>
      <w:r>
        <w:t>12. Troubleshooting Guide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causes</w:t>
            </w:r>
          </w:p>
        </w:tc>
        <w:tc>
          <w:tcPr>
            <w:tcW w:type="dxa" w:w="3600"/>
            <w:shd w:val="clear" w:color="auto" w:fill="EEF2F7"/>
          </w:tcPr>
          <w:p>
            <w:pPr>
              <w:spacing w:after="0" w:before="0" w:line="240" w:lineRule="auto"/>
              <w:jc w:val="left"/>
            </w:pPr>
            <w:r>
              <w:rPr>
                <w:b/>
                <w:color w:val="1A2E4A"/>
              </w:rPr>
              <w:t>Checks and corrective actions</w:t>
            </w:r>
          </w:p>
        </w:tc>
      </w:tr>
      <w:tr>
        <w:tc>
          <w:tcPr>
            <w:tcW w:type="dxa" w:w="3600"/>
          </w:tcPr>
          <w:p>
            <w:pPr>
              <w:spacing w:after="0" w:before="0" w:line="240" w:lineRule="auto"/>
              <w:jc w:val="left"/>
            </w:pPr>
            <w:r>
              <w:t>Tag cannot be read</w:t>
            </w:r>
          </w:p>
        </w:tc>
        <w:tc>
          <w:tcPr>
            <w:tcW w:type="dxa" w:w="3600"/>
          </w:tcPr>
          <w:p>
            <w:pPr>
              <w:spacing w:after="0" w:before="0" w:line="240" w:lineRule="auto"/>
              <w:jc w:val="left"/>
            </w:pPr>
            <w:r>
              <w:t>Incorrect frequency, incompatible tag, insufficient power, poor alignment</w:t>
            </w:r>
          </w:p>
        </w:tc>
        <w:tc>
          <w:tcPr>
            <w:tcW w:type="dxa" w:w="3600"/>
          </w:tcPr>
          <w:p>
            <w:pPr>
              <w:spacing w:after="0" w:before="0" w:line="240" w:lineRule="auto"/>
              <w:jc w:val="left"/>
            </w:pPr>
            <w:r>
              <w:t>Verify compatibility, antenna connection, tag mounting, and read distance</w:t>
            </w:r>
          </w:p>
        </w:tc>
      </w:tr>
      <w:tr>
        <w:tc>
          <w:tcPr>
            <w:tcW w:type="dxa" w:w="3600"/>
          </w:tcPr>
          <w:p>
            <w:pPr>
              <w:spacing w:after="0" w:before="0" w:line="240" w:lineRule="auto"/>
              <w:jc w:val="left"/>
            </w:pPr>
            <w:r>
              <w:t>Read range is too short</w:t>
            </w:r>
          </w:p>
        </w:tc>
        <w:tc>
          <w:tcPr>
            <w:tcW w:type="dxa" w:w="3600"/>
          </w:tcPr>
          <w:p>
            <w:pPr>
              <w:spacing w:after="0" w:before="0" w:line="240" w:lineRule="auto"/>
              <w:jc w:val="left"/>
            </w:pPr>
            <w:r>
              <w:t>Metal detuning, cable loss, poor polarization match, low tag sensitivity</w:t>
            </w:r>
          </w:p>
        </w:tc>
        <w:tc>
          <w:tcPr>
            <w:tcW w:type="dxa" w:w="3600"/>
          </w:tcPr>
          <w:p>
            <w:pPr>
              <w:spacing w:after="0" w:before="0" w:line="240" w:lineRule="auto"/>
              <w:jc w:val="left"/>
            </w:pPr>
            <w:r>
              <w:t>Test the mounted tag, inspect the RF path, and verify antenna and power settings</w:t>
            </w:r>
          </w:p>
        </w:tc>
      </w:tr>
      <w:tr>
        <w:tc>
          <w:tcPr>
            <w:tcW w:type="dxa" w:w="3600"/>
          </w:tcPr>
          <w:p>
            <w:pPr>
              <w:spacing w:after="0" w:before="0" w:line="240" w:lineRule="auto"/>
              <w:jc w:val="left"/>
            </w:pPr>
            <w:r>
              <w:t>Intermittent reads</w:t>
            </w:r>
          </w:p>
        </w:tc>
        <w:tc>
          <w:tcPr>
            <w:tcW w:type="dxa" w:w="3600"/>
          </w:tcPr>
          <w:p>
            <w:pPr>
              <w:spacing w:after="0" w:before="0" w:line="240" w:lineRule="auto"/>
              <w:jc w:val="left"/>
            </w:pPr>
            <w:r>
              <w:t>Marginal signal margin, vibration, variable tag position, multipath</w:t>
            </w:r>
          </w:p>
        </w:tc>
        <w:tc>
          <w:tcPr>
            <w:tcW w:type="dxa" w:w="3600"/>
          </w:tcPr>
          <w:p>
            <w:pPr>
              <w:spacing w:after="0" w:before="0" w:line="240" w:lineRule="auto"/>
              <w:jc w:val="left"/>
            </w:pPr>
            <w:r>
              <w:t>Test positional extremes, secure the mounting, and optimize antenna placement</w:t>
            </w:r>
          </w:p>
        </w:tc>
      </w:tr>
      <w:tr>
        <w:tc>
          <w:tcPr>
            <w:tcW w:type="dxa" w:w="3600"/>
          </w:tcPr>
          <w:p>
            <w:pPr>
              <w:spacing w:after="0" w:before="0" w:line="240" w:lineRule="auto"/>
              <w:jc w:val="left"/>
            </w:pPr>
            <w:r>
              <w:t>Reads neighboring tags</w:t>
            </w:r>
          </w:p>
        </w:tc>
        <w:tc>
          <w:tcPr>
            <w:tcW w:type="dxa" w:w="3600"/>
          </w:tcPr>
          <w:p>
            <w:pPr>
              <w:spacing w:after="0" w:before="0" w:line="240" w:lineRule="auto"/>
              <w:jc w:val="left"/>
            </w:pPr>
            <w:r>
              <w:t>Excessive power, broad antenna pattern, overlapping zones</w:t>
            </w:r>
          </w:p>
        </w:tc>
        <w:tc>
          <w:tcPr>
            <w:tcW w:type="dxa" w:w="3600"/>
          </w:tcPr>
          <w:p>
            <w:pPr>
              <w:spacing w:after="0" w:before="0" w:line="240" w:lineRule="auto"/>
              <w:jc w:val="left"/>
            </w:pPr>
            <w:r>
              <w:t>Reduce power, reorient the antenna, and validate the read boundary</w:t>
            </w:r>
          </w:p>
        </w:tc>
      </w:tr>
      <w:tr>
        <w:tc>
          <w:tcPr>
            <w:tcW w:type="dxa" w:w="3600"/>
          </w:tcPr>
          <w:p>
            <w:pPr>
              <w:spacing w:after="0" w:before="0" w:line="240" w:lineRule="auto"/>
              <w:jc w:val="left"/>
            </w:pPr>
            <w:r>
              <w:t>Reader works but PLC receives no data</w:t>
            </w:r>
          </w:p>
        </w:tc>
        <w:tc>
          <w:tcPr>
            <w:tcW w:type="dxa" w:w="3600"/>
          </w:tcPr>
          <w:p>
            <w:pPr>
              <w:spacing w:after="0" w:before="0" w:line="240" w:lineRule="auto"/>
              <w:jc w:val="left"/>
            </w:pPr>
            <w:r>
              <w:t>Communication configuration, mapping, handshake or parsing fault</w:t>
            </w:r>
          </w:p>
        </w:tc>
        <w:tc>
          <w:tcPr>
            <w:tcW w:type="dxa" w:w="3600"/>
          </w:tcPr>
          <w:p>
            <w:pPr>
              <w:spacing w:after="0" w:before="0" w:line="240" w:lineRule="auto"/>
              <w:jc w:val="left"/>
            </w:pPr>
            <w:r>
              <w:t>Check the communication path, status bits, data mapping, and reader diagnostics</w:t>
            </w:r>
          </w:p>
        </w:tc>
      </w:tr>
      <w:tr>
        <w:tc>
          <w:tcPr>
            <w:tcW w:type="dxa" w:w="3600"/>
          </w:tcPr>
          <w:p>
            <w:pPr>
              <w:spacing w:after="0" w:before="0" w:line="240" w:lineRule="auto"/>
              <w:jc w:val="left"/>
            </w:pPr>
            <w:r>
              <w:t>Reads fail at production speed</w:t>
            </w:r>
          </w:p>
        </w:tc>
        <w:tc>
          <w:tcPr>
            <w:tcW w:type="dxa" w:w="3600"/>
          </w:tcPr>
          <w:p>
            <w:pPr>
              <w:spacing w:after="0" w:before="0" w:line="240" w:lineRule="auto"/>
              <w:jc w:val="left"/>
            </w:pPr>
            <w:r>
              <w:t>Inventory cycle too long, insufficient dwell time, poor positioning</w:t>
            </w:r>
          </w:p>
        </w:tc>
        <w:tc>
          <w:tcPr>
            <w:tcW w:type="dxa" w:w="3600"/>
          </w:tcPr>
          <w:p>
            <w:pPr>
              <w:spacing w:after="0" w:before="0" w:line="240" w:lineRule="auto"/>
              <w:jc w:val="left"/>
            </w:pPr>
            <w:r>
              <w:t>Review speed, trigger timing, antenna sequence, and inventory settings</w:t>
            </w:r>
          </w:p>
        </w:tc>
      </w:tr>
      <w:tr>
        <w:tc>
          <w:tcPr>
            <w:tcW w:type="dxa" w:w="3600"/>
          </w:tcPr>
          <w:p>
            <w:pPr>
              <w:spacing w:after="0" w:before="0" w:line="240" w:lineRule="auto"/>
              <w:jc w:val="left"/>
            </w:pPr>
            <w:r>
              <w:t>Performance changed after maintenance</w:t>
            </w:r>
          </w:p>
        </w:tc>
        <w:tc>
          <w:tcPr>
            <w:tcW w:type="dxa" w:w="3600"/>
          </w:tcPr>
          <w:p>
            <w:pPr>
              <w:spacing w:after="0" w:before="0" w:line="240" w:lineRule="auto"/>
              <w:jc w:val="left"/>
            </w:pPr>
            <w:r>
              <w:t>Antenna moved, cable damaged, settings changed</w:t>
            </w:r>
          </w:p>
        </w:tc>
        <w:tc>
          <w:tcPr>
            <w:tcW w:type="dxa" w:w="3600"/>
          </w:tcPr>
          <w:p>
            <w:pPr>
              <w:spacing w:after="0" w:before="0" w:line="240" w:lineRule="auto"/>
              <w:jc w:val="left"/>
            </w:pPr>
            <w:r>
              <w:t>Compare the physical layout and configuration with the approved baseline</w:t>
            </w:r>
          </w:p>
        </w:tc>
      </w:tr>
      <w:tr>
        <w:tc>
          <w:tcPr>
            <w:tcW w:type="dxa" w:w="3600"/>
          </w:tcPr>
          <w:p>
            <w:pPr>
              <w:spacing w:after="0" w:before="0" w:line="240" w:lineRule="auto"/>
              <w:jc w:val="left"/>
            </w:pPr>
            <w:r>
              <w:t>Range changes after product change</w:t>
            </w:r>
          </w:p>
        </w:tc>
        <w:tc>
          <w:tcPr>
            <w:tcW w:type="dxa" w:w="3600"/>
          </w:tcPr>
          <w:p>
            <w:pPr>
              <w:spacing w:after="0" w:before="0" w:line="240" w:lineRule="auto"/>
              <w:jc w:val="left"/>
            </w:pPr>
            <w:r>
              <w:t>New material, geometry, liquid content, or tag position</w:t>
            </w:r>
          </w:p>
        </w:tc>
        <w:tc>
          <w:tcPr>
            <w:tcW w:type="dxa" w:w="3600"/>
          </w:tcPr>
          <w:p>
            <w:pPr>
              <w:spacing w:after="0" w:before="0" w:line="240" w:lineRule="auto"/>
              <w:jc w:val="left"/>
            </w:pPr>
            <w:r>
              <w:t>Revalidate the tag and antenna with the changed product</w:t>
            </w:r>
          </w:p>
        </w:tc>
      </w:tr>
      <w:tr>
        <w:tc>
          <w:tcPr>
            <w:tcW w:type="dxa" w:w="3600"/>
          </w:tcPr>
          <w:p>
            <w:pPr>
              <w:spacing w:after="0" w:before="0" w:line="240" w:lineRule="auto"/>
              <w:jc w:val="left"/>
            </w:pPr>
            <w:r>
              <w:t>Multiple antennas produce inconsistent results</w:t>
            </w:r>
          </w:p>
        </w:tc>
        <w:tc>
          <w:tcPr>
            <w:tcW w:type="dxa" w:w="3600"/>
          </w:tcPr>
          <w:p>
            <w:pPr>
              <w:spacing w:after="0" w:before="0" w:line="240" w:lineRule="auto"/>
              <w:jc w:val="left"/>
            </w:pPr>
            <w:r>
              <w:t>Incorrect port settings, overlapping fields, timing issues</w:t>
            </w:r>
          </w:p>
        </w:tc>
        <w:tc>
          <w:tcPr>
            <w:tcW w:type="dxa" w:w="3600"/>
          </w:tcPr>
          <w:p>
            <w:pPr>
              <w:spacing w:after="0" w:before="0" w:line="240" w:lineRule="auto"/>
              <w:jc w:val="left"/>
            </w:pPr>
            <w:r>
              <w:t>Check port configuration, antenna sequence, power, and read metadata</w:t>
            </w:r>
          </w:p>
        </w:tc>
      </w:tr>
      <w:tr>
        <w:tc>
          <w:tcPr>
            <w:tcW w:type="dxa" w:w="3600"/>
          </w:tcPr>
          <w:p>
            <w:pPr>
              <w:spacing w:after="0" w:before="0" w:line="240" w:lineRule="auto"/>
              <w:jc w:val="left"/>
            </w:pPr>
            <w:r>
              <w:t>Reader reports repeated tag events</w:t>
            </w:r>
          </w:p>
        </w:tc>
        <w:tc>
          <w:tcPr>
            <w:tcW w:type="dxa" w:w="3600"/>
          </w:tcPr>
          <w:p>
            <w:pPr>
              <w:spacing w:after="0" w:before="0" w:line="240" w:lineRule="auto"/>
              <w:jc w:val="left"/>
            </w:pPr>
            <w:r>
              <w:t>Repeated inventory reports or duplicate application processing</w:t>
            </w:r>
          </w:p>
        </w:tc>
        <w:tc>
          <w:tcPr>
            <w:tcW w:type="dxa" w:w="3600"/>
          </w:tcPr>
          <w:p>
            <w:pPr>
              <w:spacing w:after="0" w:before="0" w:line="240" w:lineRule="auto"/>
              <w:jc w:val="left"/>
            </w:pPr>
            <w:r>
              <w:t>Review reader reporting mode and PLC/application duplicate handling</w:t>
            </w:r>
          </w:p>
        </w:tc>
      </w:tr>
    </w:tbl>
    <w:p/>
    <w:p>
      <w:pPr>
        <w:pStyle w:val="Heading3"/>
      </w:pPr>
      <w:r>
        <w:t>12.1 Diagnostic Order</w:t>
      </w:r>
    </w:p>
    <w:p>
      <w:r>
        <w:t>When investigating a read problem, follow a consistent sequence:</w:t>
      </w:r>
    </w:p>
    <w:p>
      <w:pPr>
        <w:tabs>
          <w:tab w:pos="403" w:val="left"/>
        </w:tabs>
        <w:spacing w:after="40" w:line="276" w:lineRule="auto"/>
        <w:ind w:left="403" w:hanging="403"/>
        <w:jc w:val="left"/>
      </w:pPr>
      <w:r>
        <w:rPr>
          <w:color w:val="1A2E4A"/>
        </w:rPr>
        <w:t>1.</w:t>
        <w:tab/>
      </w:r>
      <w:r>
        <w:t>Confirm the reader is powered and communicating.</w:t>
      </w:r>
    </w:p>
    <w:p>
      <w:pPr>
        <w:tabs>
          <w:tab w:pos="403" w:val="left"/>
        </w:tabs>
        <w:spacing w:after="40" w:line="276" w:lineRule="auto"/>
        <w:ind w:left="403" w:hanging="403"/>
        <w:jc w:val="left"/>
      </w:pPr>
      <w:r>
        <w:rPr>
          <w:color w:val="1A2E4A"/>
        </w:rPr>
        <w:t>2.</w:t>
        <w:tab/>
      </w:r>
      <w:r>
        <w:t>Verify that the correct tag is being used.</w:t>
      </w:r>
    </w:p>
    <w:p>
      <w:pPr>
        <w:tabs>
          <w:tab w:pos="403" w:val="left"/>
        </w:tabs>
        <w:spacing w:after="40" w:line="276" w:lineRule="auto"/>
        <w:ind w:left="403" w:hanging="403"/>
        <w:jc w:val="left"/>
      </w:pPr>
      <w:r>
        <w:rPr>
          <w:color w:val="1A2E4A"/>
        </w:rPr>
        <w:t>3.</w:t>
        <w:tab/>
      </w:r>
      <w:r>
        <w:t>Check the antenna port, cable, connectors, and configuration.</w:t>
      </w:r>
    </w:p>
    <w:p>
      <w:pPr>
        <w:tabs>
          <w:tab w:pos="403" w:val="left"/>
        </w:tabs>
        <w:spacing w:after="40" w:line="276" w:lineRule="auto"/>
        <w:ind w:left="403" w:hanging="403"/>
        <w:jc w:val="left"/>
      </w:pPr>
      <w:r>
        <w:rPr>
          <w:color w:val="1A2E4A"/>
        </w:rPr>
        <w:t>4.</w:t>
        <w:tab/>
      </w:r>
      <w:r>
        <w:t>Test with the actual tag mounted on the actual product.</w:t>
      </w:r>
    </w:p>
    <w:p>
      <w:pPr>
        <w:tabs>
          <w:tab w:pos="403" w:val="left"/>
        </w:tabs>
        <w:spacing w:after="40" w:line="276" w:lineRule="auto"/>
        <w:ind w:left="403" w:hanging="403"/>
        <w:jc w:val="left"/>
      </w:pPr>
      <w:r>
        <w:rPr>
          <w:color w:val="1A2E4A"/>
        </w:rPr>
        <w:t>5.</w:t>
        <w:tab/>
      </w:r>
      <w:r>
        <w:t>Check orientation, distance, and surrounding materials.</w:t>
      </w:r>
    </w:p>
    <w:p>
      <w:pPr>
        <w:tabs>
          <w:tab w:pos="403" w:val="left"/>
        </w:tabs>
        <w:spacing w:after="40" w:line="276" w:lineRule="auto"/>
        <w:ind w:left="403" w:hanging="403"/>
        <w:jc w:val="left"/>
      </w:pPr>
      <w:r>
        <w:rPr>
          <w:color w:val="1A2E4A"/>
        </w:rPr>
        <w:t>6.</w:t>
        <w:tab/>
      </w:r>
      <w:r>
        <w:t>Review RF power and inventory settings.</w:t>
      </w:r>
    </w:p>
    <w:p>
      <w:pPr>
        <w:tabs>
          <w:tab w:pos="403" w:val="left"/>
        </w:tabs>
        <w:spacing w:after="40" w:line="276" w:lineRule="auto"/>
        <w:ind w:left="403" w:hanging="403"/>
        <w:jc w:val="left"/>
      </w:pPr>
      <w:r>
        <w:rPr>
          <w:color w:val="1A2E4A"/>
        </w:rPr>
        <w:t>7.</w:t>
        <w:tab/>
      </w:r>
      <w:r>
        <w:t>Examine reader diagnostics and available tag metadata.</w:t>
      </w:r>
    </w:p>
    <w:p>
      <w:pPr>
        <w:tabs>
          <w:tab w:pos="403" w:val="left"/>
        </w:tabs>
        <w:spacing w:after="40" w:line="276" w:lineRule="auto"/>
        <w:ind w:left="403" w:hanging="403"/>
        <w:jc w:val="left"/>
      </w:pPr>
      <w:r>
        <w:rPr>
          <w:color w:val="1A2E4A"/>
        </w:rPr>
        <w:t>8.</w:t>
        <w:tab/>
      </w:r>
      <w:r>
        <w:t>Verify the PLC handshake, data mapping, and timeout logic.</w:t>
      </w:r>
    </w:p>
    <w:p>
      <w:pPr>
        <w:tabs>
          <w:tab w:pos="403" w:val="left"/>
        </w:tabs>
        <w:spacing w:after="40" w:line="276" w:lineRule="auto"/>
        <w:ind w:left="403" w:hanging="403"/>
        <w:jc w:val="left"/>
      </w:pPr>
      <w:r>
        <w:rPr>
          <w:color w:val="1A2E4A"/>
        </w:rPr>
        <w:t>9.</w:t>
        <w:tab/>
      </w:r>
      <w:r>
        <w:t>Compare the installation against its last approved configuration.</w:t>
      </w:r>
    </w:p>
    <w:p>
      <w:r>
        <w:t>This order separates RF problems from communication and application problems instead of changing several parameters randomly and then wondering which change helped.</w:t>
      </w:r>
    </w:p>
    <w:p>
      <w:pPr>
        <w:pStyle w:val="Heading2"/>
      </w:pPr>
      <w:r>
        <w:t>13. Preventive Maintenance and Configuration Control</w:t>
      </w:r>
    </w:p>
    <w:p>
      <w:r>
        <w:t>RFID equipment generally requires less routine mechanical maintenance than moving machinery, but its installation still needs periodic inspection.</w:t>
      </w:r>
    </w:p>
    <w:p>
      <w:r>
        <w:t>Recommended checks include:</w:t>
      </w:r>
    </w:p>
    <w:p>
      <w:pPr>
        <w:pStyle w:val="ListBullet"/>
      </w:pPr>
      <w:r>
        <w:t>Inspect antenna mounting brackets and alignment.</w:t>
      </w:r>
    </w:p>
    <w:p>
      <w:pPr>
        <w:pStyle w:val="ListBullet"/>
      </w:pPr>
      <w:r>
        <w:t>Check RF cables for abrasion, crushing, loose connections, and damaged shielding.</w:t>
      </w:r>
    </w:p>
    <w:p>
      <w:pPr>
        <w:pStyle w:val="ListBullet"/>
      </w:pPr>
      <w:r>
        <w:t>Inspect connectors for contamination, corrosion, and moisture.</w:t>
      </w:r>
    </w:p>
    <w:p>
      <w:pPr>
        <w:pStyle w:val="ListBullet"/>
      </w:pPr>
      <w:r>
        <w:t>Verify that guards, fixtures, or newly installed metalwork have not altered the read zone.</w:t>
      </w:r>
    </w:p>
    <w:p>
      <w:pPr>
        <w:pStyle w:val="ListBullet"/>
      </w:pPr>
      <w:r>
        <w:t>Check the reader's diagnostics and error history.</w:t>
      </w:r>
    </w:p>
    <w:p>
      <w:pPr>
        <w:pStyle w:val="ListBullet"/>
      </w:pPr>
      <w:r>
        <w:t>Test representative tags using the approved validation method.</w:t>
      </w:r>
    </w:p>
    <w:p>
      <w:pPr>
        <w:pStyle w:val="ListBullet"/>
      </w:pPr>
      <w:r>
        <w:t>Verify PLC communication, read timeout, and error-handling behavior.</w:t>
      </w:r>
    </w:p>
    <w:p>
      <w:pPr>
        <w:pStyle w:val="ListBullet"/>
      </w:pPr>
      <w:r>
        <w:t>Back up reader settings and record firmware changes.</w:t>
      </w:r>
    </w:p>
    <w:p>
      <w:pPr>
        <w:pStyle w:val="ListBullet"/>
      </w:pPr>
      <w:r>
        <w:t>Revalidate the read zone after changing the antenna, cable, reader, tag, fixture, or product design.</w:t>
      </w:r>
    </w:p>
    <w:p>
      <w:r>
        <w:t>For a production-critical station, define an acceptance test with measurable criteria, such as minimum successful reads, maximum allowed identification time, and zero incorrect carrier assignments during the defined test set.</w:t>
      </w:r>
    </w:p>
    <w:p>
      <w:pPr>
        <w:pStyle w:val="Heading2"/>
      </w:pPr>
      <w:r>
        <w:t>14. Safety and Reliability Considerations</w:t>
      </w:r>
    </w:p>
    <w:p>
      <w:r>
        <w:t>RFID identification may influence product traceability, machine sequencing, and quality decisions. Incorrect identification can therefore be a process risk, not merely a communication inconvenience.</w:t>
      </w:r>
    </w:p>
    <w:p>
      <w:pPr>
        <w:pStyle w:val="ListBullet"/>
      </w:pPr>
      <w:r>
        <w:t>Do not use an ordinary RFID identification result as a safety-rated protective function unless the complete system is specifically designed and certified for that purpose.</w:t>
      </w:r>
    </w:p>
    <w:p>
      <w:pPr>
        <w:pStyle w:val="ListBullet"/>
      </w:pPr>
      <w:r>
        <w:t>Preserve independent safety interlocks and protective functions.</w:t>
      </w:r>
    </w:p>
    <w:p>
      <w:pPr>
        <w:pStyle w:val="ListBullet"/>
      </w:pPr>
      <w:r>
        <w:t>Define the machine's response to missing, invalid, or conflicting tag data.</w:t>
      </w:r>
    </w:p>
    <w:p>
      <w:pPr>
        <w:pStyle w:val="ListBullet"/>
      </w:pPr>
      <w:r>
        <w:t>Prevent stale tag data from being reused as if it were a fresh read.</w:t>
      </w:r>
    </w:p>
    <w:p>
      <w:pPr>
        <w:pStyle w:val="ListBullet"/>
      </w:pPr>
      <w:r>
        <w:t>Confirm that reader restart or network recovery does not silently authorize an incorrect process step.</w:t>
      </w:r>
    </w:p>
    <w:p>
      <w:pPr>
        <w:pStyle w:val="ListBullet"/>
      </w:pPr>
      <w:r>
        <w:t>Follow applicable RF exposure requirements, regional radio regulations, and manufacturer instructions.</w:t>
      </w:r>
    </w:p>
    <w:p>
      <w:pPr>
        <w:pStyle w:val="Heading2"/>
      </w:pPr>
      <w:r>
        <w:t>15. Interview Questions and Answers</w:t>
      </w:r>
    </w:p>
    <w:p>
      <w:r>
        <w:t>1\. What is the difference between an RFID reader and an antenna?</w:t>
      </w:r>
    </w:p>
    <w:p>
      <w:r>
        <w:t>The reader generates and processes the RF communication, while the antenna transmits and receives RF energy. Some products integrate both into one enclosure.</w:t>
      </w:r>
    </w:p>
    <w:p>
      <w:r>
        <w:t>2\. What determines RFID read range?</w:t>
      </w:r>
    </w:p>
    <w:p>
      <w:r>
        <w:t>Reader power, receiver sensitivity, antenna gain and polarization, tag sensitivity, distance, orientation, frequency, mounting material, cable loss, interference, and regulatory restrictions.</w:t>
      </w:r>
    </w:p>
    <w:p>
      <w:r>
        <w:t>3\. Why can an RFID tag work in free air but fail when mounted on metal?</w:t>
      </w:r>
    </w:p>
    <w:p>
      <w:r>
        <w:t>The metal changes the tag antenna's electromagnetic behavior and can detune it. A suitable on-metal tag or approved mounting arrangement may be required.</w:t>
      </w:r>
    </w:p>
    <w:p>
      <w:r>
        <w:t>4\. What is the difference between linear and circular polarization?</w:t>
      </w:r>
    </w:p>
    <w:p>
      <w:r>
        <w:t>Linear polarization has a preferred electric-field orientation. Circular polarization rotates the electric-field orientation and can better accommodate varying tag orientations, although performance depends on the complete system.</w:t>
      </w:r>
    </w:p>
    <w:p>
      <w:r>
        <w:t>5\. Why is increasing RF power not always the correct solution for missed reads?</w:t>
      </w:r>
    </w:p>
    <w:p>
      <w:r>
        <w:t>Higher power can increase cross-reads, interference, and regulatory risk. The actual cause may be poor tag mounting, incorrect orientation, cable loss, or an unsuitable antenna pattern.</w:t>
      </w:r>
    </w:p>
    <w:p>
      <w:r>
        <w:t>6\. What is a cross-read?</w:t>
      </w:r>
    </w:p>
    <w:p>
      <w:r>
        <w:t>A cross-read occurs when a reader detects a tag outside the intended identification zone or process context.</w:t>
      </w:r>
    </w:p>
    <w:p>
      <w:r>
        <w:t>7\. Why are multiple antennas used at one station?</w:t>
      </w:r>
    </w:p>
    <w:p>
      <w:r>
        <w:t>They can cover different tag orientations or locations and improve coverage around a large object or controlled passage. They also require appropriate sequencing and read-zone validation.</w:t>
      </w:r>
    </w:p>
    <w:p>
      <w:r>
        <w:t>8\. How would you commission an RFID station on a conveyor?</w:t>
      </w:r>
    </w:p>
    <w:p>
      <w:r>
        <w:t>Verify frequency and hardware compatibility, mount the antenna, configure reader settings, test real tags at positional extremes and production speed, evaluate neighboring tags, validate PLC timing, and document the approved configuration.</w:t>
      </w:r>
    </w:p>
    <w:p>
      <w:r>
        <w:t>9\. How do you distinguish an RF fault from a PLC communication fault?</w:t>
      </w:r>
    </w:p>
    <w:p>
      <w:r>
        <w:t>Use reader diagnostics to establish whether a tag is being detected. If the reader detects it but the PLC does not receive or validate the data, investigate the interface, handshake, data mapping, and application logic.</w:t>
      </w:r>
    </w:p>
    <w:p>
      <w:r>
        <w:t>10\. What should be recorded after replacing an RFID antenna?</w:t>
      </w:r>
    </w:p>
    <w:p>
      <w:r>
        <w:t>The antenna model, location, orientation, cable and port configuration, power settings, and the results of read-range, false-read, timing, and PLC integration tests.</w:t>
      </w:r>
    </w:p>
    <w:p>
      <w:pPr>
        <w:pStyle w:val="Heading2"/>
      </w:pPr>
      <w:r>
        <w:t>16. Practical Exercises</w:t>
      </w:r>
    </w:p>
    <w:p>
      <w:pPr>
        <w:pStyle w:val="Heading3"/>
      </w:pPr>
      <w:r>
        <w:t>Exercise 1: Antenna Placement Evaluation</w:t>
      </w:r>
    </w:p>
    <w:p>
      <w:r>
        <w:t>Use a reader and a compatible tag to compare several permitted antenna positions.</w:t>
      </w:r>
    </w:p>
    <w:p>
      <w:r>
        <w:t>Record the position, orientation, distance, successful reads, missed reads, and unintended reads. Repeat with the tag mounted on the actual workpiece.</w:t>
      </w:r>
    </w:p>
    <w:p>
      <w:pPr>
        <w:pStyle w:val="Heading3"/>
      </w:pPr>
      <w:r>
        <w:t>Exercise 2: Read-Zone Optimization</w:t>
      </w:r>
    </w:p>
    <w:p>
      <w:r>
        <w:t>Begin with a conservative power setting. Increase or adjust settings only as permitted by the equipment and applicable regulations. Identify the lowest-power configuration that meets the defined reliability and range requirements.</w:t>
      </w:r>
    </w:p>
    <w:p>
      <w:pPr>
        <w:pStyle w:val="Heading3"/>
      </w:pPr>
      <w:r>
        <w:t>Exercise 3: Cross-Read Investigation</w:t>
      </w:r>
    </w:p>
    <w:p>
      <w:r>
        <w:t>Place a second tag near the intended read zone. Test whether the reader reports both tags. Change antenna orientation, position, and permitted power settings to reduce unintended detection without compromising reliable identification of the target tag.</w:t>
      </w:r>
    </w:p>
    <w:p>
      <w:pPr>
        <w:pStyle w:val="Heading3"/>
      </w:pPr>
      <w:r>
        <w:t>Exercise 4: PLC Handshake Validation</w:t>
      </w:r>
    </w:p>
    <w:p>
      <w:r>
        <w:t>Verify the complete request, busy, completion, success, data-validation, and timeout sequence. Test a valid tag, an unexpected tag, and a missing tag. Confirm that the PLC responds correctly in each case.</w:t>
      </w:r>
    </w:p>
    <w:p>
      <w:pPr>
        <w:pStyle w:val="Heading3"/>
      </w:pPr>
      <w:r>
        <w:t>Exercise 5: Configuration Baseline</w:t>
      </w:r>
    </w:p>
    <w:p>
      <w:r>
        <w:t>Create a commissioning record containing the reader and antenna models, tag type, antenna layout, RF settings, timing limits, test results, and recovery procedure. Use it as the baseline for future maintenance and fault diagnosis.</w:t>
      </w:r>
    </w:p>
    <w:p>
      <w:pPr>
        <w:pStyle w:val="Heading2"/>
      </w:pPr>
      <w:r>
        <w:t>17. Final Mental Model</w:t>
      </w:r>
    </w:p>
    <w:p>
      <w:r>
        <w:t>Reliable RFID performance is a property of the complete installation, not just the reader.</w:t>
      </w:r>
    </w:p>
    <w:p>
      <w:pPr>
        <w:pStyle w:val="ListBullet"/>
      </w:pPr>
      <w:r>
        <w:t>The reader controls RF communication and processes tag responses.</w:t>
      </w:r>
    </w:p>
    <w:p>
      <w:pPr>
        <w:pStyle w:val="ListBullet"/>
      </w:pPr>
      <w:r>
        <w:t>The antenna shapes the useful RF coverage.</w:t>
      </w:r>
    </w:p>
    <w:p>
      <w:pPr>
        <w:pStyle w:val="ListBullet"/>
      </w:pPr>
      <w:r>
        <w:t>The tag must be compatible with the frequency and mounting environment.</w:t>
      </w:r>
    </w:p>
    <w:p>
      <w:pPr>
        <w:pStyle w:val="ListBullet"/>
      </w:pPr>
      <w:r>
        <w:t>The physical installation determines actual range, orientation tolerance, and cross-read behavior.</w:t>
      </w:r>
    </w:p>
    <w:p>
      <w:pPr>
        <w:pStyle w:val="ListBullet"/>
      </w:pPr>
      <w:r>
        <w:t>The reader configuration determines power, inventory timing, and antenna operation.</w:t>
      </w:r>
    </w:p>
    <w:p>
      <w:pPr>
        <w:pStyle w:val="ListBullet"/>
      </w:pPr>
      <w:r>
        <w:t>The PLC or application validates the identification and links it to the correct process.</w:t>
      </w:r>
    </w:p>
    <w:p>
      <w:pPr>
        <w:pStyle w:val="ListBullet"/>
      </w:pPr>
      <w:r>
        <w:t>The commissioning test proves that the complete system works under real operating conditions.</w:t>
      </w:r>
    </w:p>
    <w:p>
      <w:r>
        <w:t>The practical objective is not maximum possible read distance. It is a controlled, repeatable read zone that identifies the intended tag within the required cycle time and rejects incorrect or missing identification safely.</w:t>
      </w:r>
    </w:p>
    <w:p>
      <w:pPr>
        <w:pStyle w:val="Heading2"/>
      </w:pPr>
      <w:r>
        <w:t>NEXT TOPIC</w:t>
      </w:r>
    </w:p>
    <w:p>
      <w:r>
        <w:rPr>
          <w:rFonts w:ascii="Consolas" w:hAnsi="Consolas"/>
          <w:color w:val="333333"/>
          <w:sz w:val="19"/>
          <w:shd w:val="clear" w:color="auto" w:fill="EFEFEF"/>
        </w:rPr>
        <w:t>02_PLAN_WISE_2026\02_INDUSTRY3_0\02_Auto_Tech\09_Other_Automation\05_RFID\03_Frequency - Frequency: LF, HF, UHF</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02_PLAN_WISE_2026\02_INDUSTRY3_0\02_Auto_Tech\09_Other_Automation\05_RFID\02_Reader_Antenna</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