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02_PLAN_WISE_2026\02_INDUSTRY3_0\03_Comms\04_Conversion\08_Engineering_Unit - Engineering-unit conversion</w:t>
      </w:r>
    </w:p>
    <w:p>
      <w:pPr>
        <w:pStyle w:val="Heading2"/>
      </w:pPr>
      <w:r>
        <w:t>1. Definition and purpose</w:t>
      </w:r>
    </w:p>
    <w:p>
      <w:r>
        <w:t>Engineering-unit conversion is the process of expressing a physical quantity in the unit required by the receiving system, operator, control algorithm, or application.</w:t>
      </w:r>
    </w:p>
    <w:p>
      <w:r>
        <w:t>Industrial devices may measure or transmit the same physical quantity using different units. A pressure transmitter may report pressure in bar, a controller may expect kPa, a SCADA screen may display psi, and a maintenance report may record MPa. The systems can communicate perfectly and still disagree because their values use different units.</w:t>
      </w:r>
    </w:p>
    <w:p>
      <w:r>
        <w:t>Engineering-unit conversion makes measurements consistent and meaningful across PLCs, VFDs, CNC systems, instruments, SCADA, databases, historians, and reporting applications.</w:t>
      </w:r>
    </w:p>
    <w:p>
      <w:r>
        <w:t>Examples include:</w:t>
      </w:r>
    </w:p>
    <w:p>
      <w:pPr>
        <w:pStyle w:val="ListBullet"/>
      </w:pPr>
      <w:r>
        <w:t>Pressure: bar, kPa, MPa, psi.</w:t>
      </w:r>
    </w:p>
    <w:p>
      <w:pPr>
        <w:pStyle w:val="ListBullet"/>
      </w:pPr>
      <w:r>
        <w:t>Temperature: °C, °F, K.</w:t>
      </w:r>
    </w:p>
    <w:p>
      <w:pPr>
        <w:pStyle w:val="ListBullet"/>
      </w:pPr>
      <w:r>
        <w:t>Length: mm, cm, m, inches.</w:t>
      </w:r>
    </w:p>
    <w:p>
      <w:pPr>
        <w:pStyle w:val="ListBullet"/>
      </w:pPr>
      <w:r>
        <w:t>Speed: rpm, rad/s, m/s.</w:t>
      </w:r>
    </w:p>
    <w:p>
      <w:pPr>
        <w:pStyle w:val="ListBullet"/>
      </w:pPr>
      <w:r>
        <w:t>Flow: L/min, m³/h, kg/h.</w:t>
      </w:r>
    </w:p>
    <w:p>
      <w:pPr>
        <w:pStyle w:val="ListBullet"/>
      </w:pPr>
      <w:r>
        <w:t>Torque: N·m, lb·ft.</w:t>
      </w:r>
    </w:p>
    <w:p>
      <w:pPr>
        <w:pStyle w:val="ListBullet"/>
      </w:pPr>
      <w:r>
        <w:t>Power: W, kW, hp.</w:t>
      </w:r>
    </w:p>
    <w:p>
      <w:pPr>
        <w:pStyle w:val="ListBullet"/>
      </w:pPr>
      <w:r>
        <w:t>Energy: Wh, kWh, J.</w:t>
      </w:r>
    </w:p>
    <w:p>
      <w:pPr>
        <w:pStyle w:val="ListBullet"/>
      </w:pPr>
      <w:r>
        <w:t>Electrical current: A, mA.</w:t>
      </w:r>
    </w:p>
    <w:p>
      <w:pPr>
        <w:pStyle w:val="ListBullet"/>
      </w:pPr>
      <w:r>
        <w:t>Time: ms, s, min, h.</w:t>
      </w:r>
    </w:p>
    <w:p>
      <w:r>
        <w:t>Scaling and unit conversion are different operations. Scaling maps raw counts or a device-specific numerical representation into a meaningful value. Unit conversion changes the unit used to express that value. Some implementations combine both operations, but the logic should remain documented and unambiguous.</w:t>
      </w:r>
    </w:p>
    <w:p>
      <w:pPr>
        <w:pStyle w:val="Heading2"/>
      </w:pPr>
      <w:r>
        <w:t>2. Scaling versus engineering-unit conversion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Property</w:t>
            </w:r>
          </w:p>
        </w:tc>
        <w:tc>
          <w:tcPr>
            <w:tcW w:type="dxa" w:w="3600"/>
            <w:shd w:val="clear" w:color="auto" w:fill="EEF2F7"/>
          </w:tcPr>
          <w:p>
            <w:pPr>
              <w:spacing w:after="0" w:before="0" w:line="240" w:lineRule="auto"/>
              <w:jc w:val="left"/>
            </w:pPr>
            <w:r>
              <w:rPr>
                <w:b/>
                <w:color w:val="1A2E4A"/>
              </w:rPr>
              <w:t>Scaling</w:t>
            </w:r>
          </w:p>
        </w:tc>
        <w:tc>
          <w:tcPr>
            <w:tcW w:type="dxa" w:w="3600"/>
            <w:shd w:val="clear" w:color="auto" w:fill="EEF2F7"/>
          </w:tcPr>
          <w:p>
            <w:pPr>
              <w:spacing w:after="0" w:before="0" w:line="240" w:lineRule="auto"/>
              <w:jc w:val="left"/>
            </w:pPr>
            <w:r>
              <w:rPr>
                <w:b/>
                <w:color w:val="1A2E4A"/>
              </w:rPr>
              <w:t>Engineering-unit conversion</w:t>
            </w:r>
          </w:p>
        </w:tc>
      </w:tr>
      <w:tr>
        <w:tc>
          <w:tcPr>
            <w:tcW w:type="dxa" w:w="3600"/>
          </w:tcPr>
          <w:p>
            <w:pPr>
              <w:spacing w:after="0" w:before="0" w:line="240" w:lineRule="auto"/>
              <w:jc w:val="left"/>
            </w:pPr>
            <w:r>
              <w:t>Purpose</w:t>
            </w:r>
          </w:p>
        </w:tc>
        <w:tc>
          <w:tcPr>
            <w:tcW w:type="dxa" w:w="3600"/>
          </w:tcPr>
          <w:p>
            <w:pPr>
              <w:spacing w:after="0" w:before="0" w:line="240" w:lineRule="auto"/>
              <w:jc w:val="left"/>
            </w:pPr>
            <w:r>
              <w:t>Convert a raw range into an engineering range</w:t>
            </w:r>
          </w:p>
        </w:tc>
        <w:tc>
          <w:tcPr>
            <w:tcW w:type="dxa" w:w="3600"/>
          </w:tcPr>
          <w:p>
            <w:pPr>
              <w:spacing w:after="0" w:before="0" w:line="240" w:lineRule="auto"/>
              <w:jc w:val="left"/>
            </w:pPr>
            <w:r>
              <w:t>Express a quantity in another unit</w:t>
            </w:r>
          </w:p>
        </w:tc>
      </w:tr>
      <w:tr>
        <w:tc>
          <w:tcPr>
            <w:tcW w:type="dxa" w:w="3600"/>
          </w:tcPr>
          <w:p>
            <w:pPr>
              <w:spacing w:after="0" w:before="0" w:line="240" w:lineRule="auto"/>
              <w:jc w:val="left"/>
            </w:pPr>
            <w:r>
              <w:t>Input example</w:t>
            </w:r>
          </w:p>
        </w:tc>
        <w:tc>
          <w:tcPr>
            <w:tcW w:type="dxa" w:w="3600"/>
          </w:tcPr>
          <w:p>
            <w:pPr>
              <w:spacing w:after="0" w:before="0" w:line="240" w:lineRule="auto"/>
              <w:jc w:val="left"/>
            </w:pPr>
            <w:r>
              <w:t xml:space="preserve">Raw count </w:t>
            </w:r>
            <w:r>
              <w:rPr>
                <w:rFonts w:ascii="Consolas" w:hAnsi="Consolas"/>
                <w:color w:val="333333"/>
                <w:sz w:val="19"/>
                <w:shd w:val="clear" w:color="auto" w:fill="EFEFEF"/>
              </w:rPr>
              <w:t>13824</w:t>
            </w:r>
          </w:p>
        </w:tc>
        <w:tc>
          <w:tcPr>
            <w:tcW w:type="dxa" w:w="3600"/>
          </w:tcPr>
          <w:p>
            <w:pPr>
              <w:spacing w:after="0" w:before="0" w:line="240" w:lineRule="auto"/>
              <w:jc w:val="left"/>
            </w:pPr>
            <w:r>
              <w:t xml:space="preserve">Pressure </w:t>
            </w:r>
            <w:r>
              <w:rPr>
                <w:rFonts w:ascii="Consolas" w:hAnsi="Consolas"/>
                <w:color w:val="333333"/>
                <w:sz w:val="19"/>
                <w:shd w:val="clear" w:color="auto" w:fill="EFEFEF"/>
              </w:rPr>
              <w:t>5 bar</w:t>
            </w:r>
          </w:p>
        </w:tc>
      </w:tr>
      <w:tr>
        <w:tc>
          <w:tcPr>
            <w:tcW w:type="dxa" w:w="3600"/>
          </w:tcPr>
          <w:p>
            <w:pPr>
              <w:spacing w:after="0" w:before="0" w:line="240" w:lineRule="auto"/>
              <w:jc w:val="left"/>
            </w:pPr>
            <w:r>
              <w:t>Output example</w:t>
            </w:r>
          </w:p>
        </w:tc>
        <w:tc>
          <w:tcPr>
            <w:tcW w:type="dxa" w:w="3600"/>
          </w:tcPr>
          <w:p>
            <w:pPr>
              <w:spacing w:after="0" w:before="0" w:line="240" w:lineRule="auto"/>
              <w:jc w:val="left"/>
            </w:pPr>
            <w:r>
              <w:rPr>
                <w:rFonts w:ascii="Consolas" w:hAnsi="Consolas"/>
                <w:color w:val="333333"/>
                <w:sz w:val="19"/>
                <w:shd w:val="clear" w:color="auto" w:fill="EFEFEF"/>
              </w:rPr>
              <w:t>5 bar</w:t>
            </w:r>
          </w:p>
        </w:tc>
        <w:tc>
          <w:tcPr>
            <w:tcW w:type="dxa" w:w="3600"/>
          </w:tcPr>
          <w:p>
            <w:pPr>
              <w:spacing w:after="0" w:before="0" w:line="240" w:lineRule="auto"/>
              <w:jc w:val="left"/>
            </w:pPr>
            <w:r>
              <w:rPr>
                <w:rFonts w:ascii="Consolas" w:hAnsi="Consolas"/>
                <w:color w:val="333333"/>
                <w:sz w:val="19"/>
                <w:shd w:val="clear" w:color="auto" w:fill="EFEFEF"/>
              </w:rPr>
              <w:t>500 kPa</w:t>
            </w:r>
          </w:p>
        </w:tc>
      </w:tr>
      <w:tr>
        <w:tc>
          <w:tcPr>
            <w:tcW w:type="dxa" w:w="3600"/>
          </w:tcPr>
          <w:p>
            <w:pPr>
              <w:spacing w:after="0" w:before="0" w:line="240" w:lineRule="auto"/>
              <w:jc w:val="left"/>
            </w:pPr>
            <w:r>
              <w:t>Typical configuration</w:t>
            </w:r>
          </w:p>
        </w:tc>
        <w:tc>
          <w:tcPr>
            <w:tcW w:type="dxa" w:w="3600"/>
          </w:tcPr>
          <w:p>
            <w:pPr>
              <w:spacing w:after="0" w:before="0" w:line="240" w:lineRule="auto"/>
              <w:jc w:val="left"/>
            </w:pPr>
            <w:r>
              <w:t>Raw and engineering endpoints</w:t>
            </w:r>
          </w:p>
        </w:tc>
        <w:tc>
          <w:tcPr>
            <w:tcW w:type="dxa" w:w="3600"/>
          </w:tcPr>
          <w:p>
            <w:pPr>
              <w:spacing w:after="0" w:before="0" w:line="240" w:lineRule="auto"/>
              <w:jc w:val="left"/>
            </w:pPr>
            <w:r>
              <w:t>Conversion factor or conversion formula</w:t>
            </w:r>
          </w:p>
        </w:tc>
      </w:tr>
      <w:tr>
        <w:tc>
          <w:tcPr>
            <w:tcW w:type="dxa" w:w="3600"/>
          </w:tcPr>
          <w:p>
            <w:pPr>
              <w:spacing w:after="0" w:before="0" w:line="240" w:lineRule="auto"/>
              <w:jc w:val="left"/>
            </w:pPr>
            <w:r>
              <w:t>Main risk</w:t>
            </w:r>
          </w:p>
        </w:tc>
        <w:tc>
          <w:tcPr>
            <w:tcW w:type="dxa" w:w="3600"/>
          </w:tcPr>
          <w:p>
            <w:pPr>
              <w:spacing w:after="0" w:before="0" w:line="240" w:lineRule="auto"/>
              <w:jc w:val="left"/>
            </w:pPr>
            <w:r>
              <w:t>Incorrect range or raw-value interpretation</w:t>
            </w:r>
          </w:p>
        </w:tc>
        <w:tc>
          <w:tcPr>
            <w:tcW w:type="dxa" w:w="3600"/>
          </w:tcPr>
          <w:p>
            <w:pPr>
              <w:spacing w:after="0" w:before="0" w:line="240" w:lineRule="auto"/>
              <w:jc w:val="left"/>
            </w:pPr>
            <w:r>
              <w:t>Incorrect factor, formula, or unit label</w:t>
            </w:r>
          </w:p>
        </w:tc>
      </w:tr>
    </w:tbl>
    <w:p/>
    <w:p>
      <w:r>
        <w:t>A typical processing chain is:</w:t>
      </w:r>
    </w:p>
    <w:p>
      <w:pPr>
        <w:shd w:val="clear" w:color="auto" w:fill="F4F4F4"/>
        <w:spacing w:before="0" w:after="0" w:line="240" w:lineRule="auto"/>
        <w:ind w:left="216" w:right="216"/>
        <w:jc w:val="left"/>
      </w:pPr>
      <w:r>
        <w:rPr>
          <w:rFonts w:ascii="Consolas" w:hAnsi="Consolas"/>
          <w:color w:val="202020"/>
          <w:sz w:val="18"/>
        </w:rPr>
        <w:t>Sensor or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 data acquisition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Data-type and byte/word-order interpretation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or device-specific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value in source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Unit conversion, if required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Engineering value in target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 HMI / SCADA / database</w:t>
      </w:r>
    </w:p>
    <w:p/>
    <w:p>
      <w:r>
        <w:t xml:space="preserve">For example, an analog input may produce </w:t>
      </w:r>
      <w:r>
        <w:rPr>
          <w:rFonts w:ascii="Consolas" w:hAnsi="Consolas"/>
          <w:color w:val="333333"/>
          <w:sz w:val="19"/>
          <w:shd w:val="clear" w:color="auto" w:fill="EFEFEF"/>
        </w:rPr>
        <w:t>13824</w:t>
      </w:r>
      <w:r>
        <w:t xml:space="preserve"> counts. The PLC scales this to </w:t>
      </w:r>
      <w:r>
        <w:rPr>
          <w:rFonts w:ascii="Consolas" w:hAnsi="Consolas"/>
          <w:color w:val="333333"/>
          <w:sz w:val="19"/>
          <w:shd w:val="clear" w:color="auto" w:fill="EFEFEF"/>
        </w:rPr>
        <w:t>5 bar</w:t>
      </w:r>
      <w:r>
        <w:t xml:space="preserve">. If the HMI standard requires kPa, a subsequent unit conversion produces </w:t>
      </w:r>
      <w:r>
        <w:rPr>
          <w:rFonts w:ascii="Consolas" w:hAnsi="Consolas"/>
          <w:color w:val="333333"/>
          <w:sz w:val="19"/>
          <w:shd w:val="clear" w:color="auto" w:fill="EFEFEF"/>
        </w:rPr>
        <w:t>500 kPa</w:t>
      </w:r>
      <w:r>
        <w:t>.</w:t>
      </w:r>
    </w:p>
    <w:p>
      <w:pPr>
        <w:pStyle w:val="Heading2"/>
      </w:pPr>
      <w:r>
        <w:t>3. Fundamental conversion methods</w:t>
      </w:r>
    </w:p>
    <w:p>
      <w:pPr>
        <w:pStyle w:val="Heading3"/>
      </w:pPr>
      <w:r>
        <w:t>3.1 Multiplication by a conversion factor</w:t>
      </w:r>
    </w:p>
    <w:p>
      <w:r>
        <w:t>Many units can be converted by multiplying or dividing by a defined factor.</w:t>
      </w:r>
    </w:p>
    <w:p>
      <w:r>
        <w:t>For example:</w:t>
      </w:r>
    </w:p>
    <w:p>
      <w:pPr>
        <w:spacing w:before="120" w:after="160"/>
        <w:jc w:val="center"/>
      </w:pPr>
      <m:oMathPara>
        <m:oMath>
          <m:r>
            <m:t>1</m:t>
          </m:r>
          <m:r>
            <m:rPr>
              <m:nor/>
            </m:rPr>
            <m:t> bar</m:t>
          </m:r>
          <m:r>
            <m:t>=100</m:t>
          </m:r>
          <m:r>
            <m:rPr>
              <m:nor/>
            </m:rPr>
            <m:t> kPa</m:t>
          </m:r>
        </m:oMath>
      </m:oMathPara>
    </w:p>
    <w:p>
      <w:r>
        <w:t>Therefore:</w:t>
      </w:r>
    </w:p>
    <w:p>
      <w:pPr>
        <w:spacing w:before="120" w:after="160"/>
        <w:jc w:val="center"/>
      </w:pPr>
      <m:oMathPara>
        <m:oMath>
          <m:r>
            <m:t>5</m:t>
          </m:r>
          <m:r>
            <m:rPr>
              <m:nor/>
            </m:rPr>
            <m:t> bar</m:t>
          </m:r>
          <m:r>
            <m:t>×100=500</m:t>
          </m:r>
          <m:r>
            <m:rPr>
              <m:nor/>
            </m:rPr>
            <m:t> kPa</m:t>
          </m:r>
        </m:oMath>
      </m:oMathPara>
    </w:p>
    <w:p>
      <w:r>
        <w:t>For length:</w:t>
      </w:r>
    </w:p>
    <w:p>
      <w:pPr>
        <w:spacing w:before="120" w:after="160"/>
        <w:jc w:val="center"/>
      </w:pPr>
      <m:oMathPara>
        <m:oMath>
          <m:r>
            <m:t>1</m:t>
          </m:r>
          <m:r>
            <m:rPr>
              <m:nor/>
            </m:rPr>
            <m:t> m</m:t>
          </m:r>
          <m:r>
            <m:t>=1000</m:t>
          </m:r>
          <m:r>
            <m:rPr>
              <m:nor/>
            </m:rPr>
            <m:t> mm</m:t>
          </m:r>
        </m:oMath>
      </m:oMathPara>
    </w:p>
    <w:p>
      <w:r>
        <w:t>Therefore:</w:t>
      </w:r>
    </w:p>
    <w:p>
      <w:pPr>
        <w:spacing w:before="120" w:after="160"/>
        <w:jc w:val="center"/>
      </w:pPr>
      <m:oMathPara>
        <m:oMath>
          <m:r>
            <m:t>2.4</m:t>
          </m:r>
          <m:r>
            <m:rPr>
              <m:nor/>
            </m:rPr>
            <m:t> m</m:t>
          </m:r>
          <m:r>
            <m:t>×1000=2400</m:t>
          </m:r>
          <m:r>
            <m:rPr>
              <m:nor/>
            </m:rPr>
            <m:t> mm</m:t>
          </m:r>
        </m:oMath>
      </m:oMathPara>
    </w:p>
    <w:p>
      <w:r>
        <w:t>Always identify the source and target units before choosing the factor. Reversing a conversion factor is a common cause of values being wrong by a factor of 10, 100, or 1000.</w:t>
      </w:r>
    </w:p>
    <w:p>
      <w:pPr>
        <w:pStyle w:val="Heading3"/>
      </w:pPr>
      <w:r>
        <w:t>3.2 Conversion using a ratio</w:t>
      </w:r>
    </w:p>
    <w:p>
      <w:r>
        <w:t>For units related by a constant ratio:</w:t>
      </w:r>
    </w:p>
    <w:p>
      <w:pPr>
        <w:spacing w:before="120" w:after="160"/>
        <w:jc w:val="center"/>
      </w:pPr>
      <m:oMathPara>
        <m:oMath>
          <m:r>
            <m:t>Y=X×</m:t>
          </m:r>
          <m:f>
            <m:fPr>
              <m:type m:val="bar"/>
            </m:fPr>
            <m:num>
              <m:r>
                <m:rPr>
                  <m:nor/>
                </m:rPr>
                <m:t>target units</m:t>
              </m:r>
            </m:num>
            <m:den>
              <m:r>
                <m:rPr>
                  <m:nor/>
                </m:rPr>
                <m:t>source units</m:t>
              </m:r>
            </m:den>
          </m:f>
        </m:oMath>
      </m:oMathPara>
    </w:p>
    <w:p>
      <w:r>
        <w:t xml:space="preserve">For example, converting </w:t>
      </w:r>
      <w:r>
        <w:rPr>
          <w:rFonts w:ascii="Consolas" w:hAnsi="Consolas"/>
          <w:color w:val="333333"/>
          <w:sz w:val="19"/>
          <w:shd w:val="clear" w:color="auto" w:fill="EFEFEF"/>
        </w:rPr>
        <w:t>3.6 m³/h</w:t>
      </w:r>
      <w:r>
        <w:t xml:space="preserve"> to </w:t>
      </w:r>
      <w:r>
        <w:rPr>
          <w:rFonts w:ascii="Consolas" w:hAnsi="Consolas"/>
          <w:color w:val="333333"/>
          <w:sz w:val="19"/>
          <w:shd w:val="clear" w:color="auto" w:fill="EFEFEF"/>
        </w:rPr>
        <w:t>L/min</w:t>
      </w:r>
      <w:r>
        <w:t>:</w:t>
      </w:r>
    </w:p>
    <w:p>
      <w:pPr>
        <w:spacing w:before="120" w:after="160"/>
        <w:jc w:val="center"/>
      </w:pPr>
      <m:oMathPara>
        <m:oMath>
          <m:r>
            <m:t>3.6</m:t>
          </m:r>
          <m:f>
            <m:fPr>
              <m:type m:val="bar"/>
            </m:fPr>
            <m:num>
              <m:sSup>
                <m:e>
                  <m:r>
                    <m:rPr>
                      <m:nor/>
                    </m:rPr>
                    <m:t>m</m:t>
                  </m:r>
                </m:e>
                <m:sup>
                  <m:r>
                    <m:t>3</m:t>
                  </m:r>
                </m:sup>
              </m:sSup>
            </m:num>
            <m:den>
              <m:r>
                <m:rPr>
                  <m:nor/>
                </m:rPr>
                <m:t>h</m:t>
              </m:r>
            </m:den>
          </m:f>
          <m:r>
            <m:t>×</m:t>
          </m:r>
          <m:f>
            <m:fPr>
              <m:type m:val="bar"/>
            </m:fPr>
            <m:num>
              <m:r>
                <m:t>1000</m:t>
              </m:r>
              <m:r>
                <m:rPr>
                  <m:nor/>
                </m:rPr>
                <m:t> L</m:t>
              </m:r>
            </m:num>
            <m:den>
              <m:r>
                <m:t>1</m:t>
              </m:r>
              <m:sSup>
                <m:e>
                  <m:r>
                    <m:rPr>
                      <m:nor/>
                    </m:rPr>
                    <m:t> m</m:t>
                  </m:r>
                </m:e>
                <m:sup>
                  <m:r>
                    <m:t>3</m:t>
                  </m:r>
                </m:sup>
              </m:sSup>
            </m:den>
          </m:f>
          <m:r>
            <m:t>×</m:t>
          </m:r>
          <m:f>
            <m:fPr>
              <m:type m:val="bar"/>
            </m:fPr>
            <m:num>
              <m:r>
                <m:t>1</m:t>
              </m:r>
              <m:r>
                <m:rPr>
                  <m:nor/>
                </m:rPr>
                <m:t> h</m:t>
              </m:r>
            </m:num>
            <m:den>
              <m:r>
                <m:t>60</m:t>
              </m:r>
              <m:r>
                <m:rPr>
                  <m:nor/>
                </m:rPr>
                <m:t> min</m:t>
              </m:r>
            </m:den>
          </m:f>
        </m:oMath>
      </m:oMathPara>
    </w:p>
    <w:p>
      <w:pPr>
        <w:spacing w:before="120" w:after="160"/>
        <w:jc w:val="center"/>
      </w:pPr>
      <m:oMathPara>
        <m:oMath>
          <m:r>
            <m:t>=60</m:t>
          </m:r>
          <m:r>
            <m:rPr>
              <m:nor/>
            </m:rPr>
            <m:t> L/min</m:t>
          </m:r>
        </m:oMath>
      </m:oMathPara>
    </w:p>
    <w:p>
      <w:r>
        <w:t>The units cancel during the calculation. This is a useful way to check whether the conversion factor has been applied in the correct direction.</w:t>
      </w:r>
    </w:p>
    <w:p>
      <w:pPr>
        <w:pStyle w:val="Heading3"/>
      </w:pPr>
      <w:r>
        <w:t>3.3 Affine conversions</w:t>
      </w:r>
    </w:p>
    <w:p>
      <w:r>
        <w:t>Some conversions require both multiplication and addition or subtraction. Temperature conversions are the most common example.</w:t>
      </w:r>
    </w:p>
    <w:p>
      <w:r>
        <w:t>A general form is:</w:t>
      </w:r>
    </w:p>
    <w:p>
      <w:pPr>
        <w:spacing w:before="120" w:after="160"/>
        <w:jc w:val="center"/>
      </w:pPr>
      <m:oMathPara>
        <m:oMath>
          <m:r>
            <m:t>Y=aX+b</m:t>
          </m:r>
        </m:oMath>
      </m:oMathPara>
    </w:p>
    <w:p>
      <w:r>
        <w:t xml:space="preserve">Here, </w:t>
      </w:r>
      <m:oMath>
        <m:r>
          <m:t>a</m:t>
        </m:r>
      </m:oMath>
      <w:r>
        <w:t xml:space="preserve"> is the conversion multiplier and </w:t>
      </w:r>
      <m:oMath>
        <m:r>
          <m:t>b</m:t>
        </m:r>
      </m:oMath>
      <w:r>
        <w:t xml:space="preserve"> is the offset. The appropriate values depend on the source and target units.</w:t>
      </w:r>
    </w:p>
    <w:p>
      <w:r>
        <w:t>Not every unit conversion is a simple multiplication. Using a factor-only calculation for temperature between Celsius and Fahrenheit produces incorrect results.</w:t>
      </w:r>
    </w:p>
    <w:p>
      <w:pPr>
        <w:pStyle w:val="Heading2"/>
      </w:pPr>
      <w:r>
        <w:t>4. Common industrial unit conversions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Quantity</w:t>
            </w:r>
          </w:p>
        </w:tc>
        <w:tc>
          <w:tcPr>
            <w:tcW w:type="dxa" w:w="2700"/>
            <w:shd w:val="clear" w:color="auto" w:fill="EEF2F7"/>
          </w:tcPr>
          <w:p>
            <w:pPr>
              <w:spacing w:after="0" w:before="0" w:line="240" w:lineRule="auto"/>
              <w:jc w:val="left"/>
            </w:pPr>
            <w:r>
              <w:rPr>
                <w:b/>
                <w:color w:val="1A2E4A"/>
              </w:rPr>
              <w:t>Source unit</w:t>
            </w:r>
          </w:p>
        </w:tc>
        <w:tc>
          <w:tcPr>
            <w:tcW w:type="dxa" w:w="2700"/>
            <w:shd w:val="clear" w:color="auto" w:fill="EEF2F7"/>
          </w:tcPr>
          <w:p>
            <w:pPr>
              <w:spacing w:after="0" w:before="0" w:line="240" w:lineRule="auto"/>
              <w:jc w:val="left"/>
            </w:pPr>
            <w:r>
              <w:rPr>
                <w:b/>
                <w:color w:val="1A2E4A"/>
              </w:rPr>
              <w:t>Target unit</w:t>
            </w:r>
          </w:p>
        </w:tc>
        <w:tc>
          <w:tcPr>
            <w:tcW w:type="dxa" w:w="2700"/>
            <w:shd w:val="clear" w:color="auto" w:fill="EEF2F7"/>
          </w:tcPr>
          <w:p>
            <w:pPr>
              <w:spacing w:after="0" w:before="0" w:line="240" w:lineRule="auto"/>
              <w:jc w:val="left"/>
            </w:pPr>
            <w:r>
              <w:rPr>
                <w:b/>
                <w:color w:val="1A2E4A"/>
              </w:rPr>
              <w:t>Conversion</w:t>
            </w:r>
          </w:p>
        </w:tc>
      </w:tr>
      <w:tr>
        <w:tc>
          <w:tcPr>
            <w:tcW w:type="dxa" w:w="2700"/>
          </w:tcPr>
          <w:p>
            <w:pPr>
              <w:spacing w:after="0" w:before="0" w:line="240" w:lineRule="auto"/>
              <w:jc w:val="left"/>
            </w:pPr>
            <w:r>
              <w:t>Pressure</w:t>
            </w:r>
          </w:p>
        </w:tc>
        <w:tc>
          <w:tcPr>
            <w:tcW w:type="dxa" w:w="2700"/>
          </w:tcPr>
          <w:p>
            <w:pPr>
              <w:spacing w:after="0" w:before="0" w:line="240" w:lineRule="auto"/>
              <w:jc w:val="left"/>
            </w:pPr>
            <w:r>
              <w:t>bar</w:t>
            </w:r>
          </w:p>
        </w:tc>
        <w:tc>
          <w:tcPr>
            <w:tcW w:type="dxa" w:w="2700"/>
          </w:tcPr>
          <w:p>
            <w:pPr>
              <w:spacing w:after="0" w:before="0" w:line="240" w:lineRule="auto"/>
              <w:jc w:val="left"/>
            </w:pPr>
            <w:r>
              <w:t>kPa</w:t>
            </w:r>
          </w:p>
        </w:tc>
        <w:tc>
          <w:tcPr>
            <w:tcW w:type="dxa" w:w="2700"/>
          </w:tcPr>
          <w:p>
            <w:pPr>
              <w:spacing w:after="0" w:before="0" w:line="240" w:lineRule="auto"/>
              <w:jc w:val="left"/>
            </w:pPr>
            <w:r>
              <w:t>Multiply by 100</w:t>
            </w:r>
          </w:p>
        </w:tc>
      </w:tr>
      <w:tr>
        <w:tc>
          <w:tcPr>
            <w:tcW w:type="dxa" w:w="2700"/>
          </w:tcPr>
          <w:p>
            <w:pPr>
              <w:spacing w:after="0" w:before="0" w:line="240" w:lineRule="auto"/>
              <w:jc w:val="left"/>
            </w:pPr>
            <w:r>
              <w:t>Pressure</w:t>
            </w:r>
          </w:p>
        </w:tc>
        <w:tc>
          <w:tcPr>
            <w:tcW w:type="dxa" w:w="2700"/>
          </w:tcPr>
          <w:p>
            <w:pPr>
              <w:spacing w:after="0" w:before="0" w:line="240" w:lineRule="auto"/>
              <w:jc w:val="left"/>
            </w:pPr>
            <w:r>
              <w:t>MPa</w:t>
            </w:r>
          </w:p>
        </w:tc>
        <w:tc>
          <w:tcPr>
            <w:tcW w:type="dxa" w:w="2700"/>
          </w:tcPr>
          <w:p>
            <w:pPr>
              <w:spacing w:after="0" w:before="0" w:line="240" w:lineRule="auto"/>
              <w:jc w:val="left"/>
            </w:pPr>
            <w:r>
              <w:t>kPa</w:t>
            </w:r>
          </w:p>
        </w:tc>
        <w:tc>
          <w:tcPr>
            <w:tcW w:type="dxa" w:w="2700"/>
          </w:tcPr>
          <w:p>
            <w:pPr>
              <w:spacing w:after="0" w:before="0" w:line="240" w:lineRule="auto"/>
              <w:jc w:val="left"/>
            </w:pPr>
            <w:r>
              <w:t>Multiply by 1000</w:t>
            </w:r>
          </w:p>
        </w:tc>
      </w:tr>
      <w:tr>
        <w:tc>
          <w:tcPr>
            <w:tcW w:type="dxa" w:w="2700"/>
          </w:tcPr>
          <w:p>
            <w:pPr>
              <w:spacing w:after="0" w:before="0" w:line="240" w:lineRule="auto"/>
              <w:jc w:val="left"/>
            </w:pPr>
            <w:r>
              <w:t>Pressure</w:t>
            </w:r>
          </w:p>
        </w:tc>
        <w:tc>
          <w:tcPr>
            <w:tcW w:type="dxa" w:w="2700"/>
          </w:tcPr>
          <w:p>
            <w:pPr>
              <w:spacing w:after="0" w:before="0" w:line="240" w:lineRule="auto"/>
              <w:jc w:val="left"/>
            </w:pPr>
            <w:r>
              <w:t>psi</w:t>
            </w:r>
          </w:p>
        </w:tc>
        <w:tc>
          <w:tcPr>
            <w:tcW w:type="dxa" w:w="2700"/>
          </w:tcPr>
          <w:p>
            <w:pPr>
              <w:spacing w:after="0" w:before="0" w:line="240" w:lineRule="auto"/>
              <w:jc w:val="left"/>
            </w:pPr>
            <w:r>
              <w:t>kPa</w:t>
            </w:r>
          </w:p>
        </w:tc>
        <w:tc>
          <w:tcPr>
            <w:tcW w:type="dxa" w:w="2700"/>
          </w:tcPr>
          <w:p>
            <w:pPr>
              <w:spacing w:after="0" w:before="0" w:line="240" w:lineRule="auto"/>
              <w:jc w:val="left"/>
            </w:pPr>
            <w:r>
              <w:t>Multiply by approximately 6.89476</w:t>
            </w:r>
          </w:p>
        </w:tc>
      </w:tr>
      <w:tr>
        <w:tc>
          <w:tcPr>
            <w:tcW w:type="dxa" w:w="2700"/>
          </w:tcPr>
          <w:p>
            <w:pPr>
              <w:spacing w:after="0" w:before="0" w:line="240" w:lineRule="auto"/>
              <w:jc w:val="left"/>
            </w:pPr>
            <w:r>
              <w:t>Length</w:t>
            </w:r>
          </w:p>
        </w:tc>
        <w:tc>
          <w:tcPr>
            <w:tcW w:type="dxa" w:w="2700"/>
          </w:tcPr>
          <w:p>
            <w:pPr>
              <w:spacing w:after="0" w:before="0" w:line="240" w:lineRule="auto"/>
              <w:jc w:val="left"/>
            </w:pPr>
            <w:r>
              <w:t>m</w:t>
            </w:r>
          </w:p>
        </w:tc>
        <w:tc>
          <w:tcPr>
            <w:tcW w:type="dxa" w:w="2700"/>
          </w:tcPr>
          <w:p>
            <w:pPr>
              <w:spacing w:after="0" w:before="0" w:line="240" w:lineRule="auto"/>
              <w:jc w:val="left"/>
            </w:pPr>
            <w:r>
              <w:t>mm</w:t>
            </w:r>
          </w:p>
        </w:tc>
        <w:tc>
          <w:tcPr>
            <w:tcW w:type="dxa" w:w="2700"/>
          </w:tcPr>
          <w:p>
            <w:pPr>
              <w:spacing w:after="0" w:before="0" w:line="240" w:lineRule="auto"/>
              <w:jc w:val="left"/>
            </w:pPr>
            <w:r>
              <w:t>Multiply by 1000</w:t>
            </w:r>
          </w:p>
        </w:tc>
      </w:tr>
      <w:tr>
        <w:tc>
          <w:tcPr>
            <w:tcW w:type="dxa" w:w="2700"/>
          </w:tcPr>
          <w:p>
            <w:pPr>
              <w:spacing w:after="0" w:before="0" w:line="240" w:lineRule="auto"/>
              <w:jc w:val="left"/>
            </w:pPr>
            <w:r>
              <w:t>Length</w:t>
            </w:r>
          </w:p>
        </w:tc>
        <w:tc>
          <w:tcPr>
            <w:tcW w:type="dxa" w:w="2700"/>
          </w:tcPr>
          <w:p>
            <w:pPr>
              <w:spacing w:after="0" w:before="0" w:line="240" w:lineRule="auto"/>
              <w:jc w:val="left"/>
            </w:pPr>
            <w:r>
              <w:t>inch</w:t>
            </w:r>
          </w:p>
        </w:tc>
        <w:tc>
          <w:tcPr>
            <w:tcW w:type="dxa" w:w="2700"/>
          </w:tcPr>
          <w:p>
            <w:pPr>
              <w:spacing w:after="0" w:before="0" w:line="240" w:lineRule="auto"/>
              <w:jc w:val="left"/>
            </w:pPr>
            <w:r>
              <w:t>mm</w:t>
            </w:r>
          </w:p>
        </w:tc>
        <w:tc>
          <w:tcPr>
            <w:tcW w:type="dxa" w:w="2700"/>
          </w:tcPr>
          <w:p>
            <w:pPr>
              <w:spacing w:after="0" w:before="0" w:line="240" w:lineRule="auto"/>
              <w:jc w:val="left"/>
            </w:pPr>
            <w:r>
              <w:t>Multiply by 25.4</w:t>
            </w:r>
          </w:p>
        </w:tc>
      </w:tr>
      <w:tr>
        <w:tc>
          <w:tcPr>
            <w:tcW w:type="dxa" w:w="2700"/>
          </w:tcPr>
          <w:p>
            <w:pPr>
              <w:spacing w:after="0" w:before="0" w:line="240" w:lineRule="auto"/>
              <w:jc w:val="left"/>
            </w:pPr>
            <w:r>
              <w:t>Speed</w:t>
            </w:r>
          </w:p>
        </w:tc>
        <w:tc>
          <w:tcPr>
            <w:tcW w:type="dxa" w:w="2700"/>
          </w:tcPr>
          <w:p>
            <w:pPr>
              <w:spacing w:after="0" w:before="0" w:line="240" w:lineRule="auto"/>
              <w:jc w:val="left"/>
            </w:pPr>
            <w:r>
              <w:t>rpm</w:t>
            </w:r>
          </w:p>
        </w:tc>
        <w:tc>
          <w:tcPr>
            <w:tcW w:type="dxa" w:w="2700"/>
          </w:tcPr>
          <w:p>
            <w:pPr>
              <w:spacing w:after="0" w:before="0" w:line="240" w:lineRule="auto"/>
              <w:jc w:val="left"/>
            </w:pPr>
            <w:r>
              <w:t>revolutions per second</w:t>
            </w:r>
          </w:p>
        </w:tc>
        <w:tc>
          <w:tcPr>
            <w:tcW w:type="dxa" w:w="2700"/>
          </w:tcPr>
          <w:p>
            <w:pPr>
              <w:spacing w:after="0" w:before="0" w:line="240" w:lineRule="auto"/>
              <w:jc w:val="left"/>
            </w:pPr>
            <w:r>
              <w:t>Divide by 60</w:t>
            </w:r>
          </w:p>
        </w:tc>
      </w:tr>
      <w:tr>
        <w:tc>
          <w:tcPr>
            <w:tcW w:type="dxa" w:w="2700"/>
          </w:tcPr>
          <w:p>
            <w:pPr>
              <w:spacing w:after="0" w:before="0" w:line="240" w:lineRule="auto"/>
              <w:jc w:val="left"/>
            </w:pPr>
            <w:r>
              <w:t>Frequency</w:t>
            </w:r>
          </w:p>
        </w:tc>
        <w:tc>
          <w:tcPr>
            <w:tcW w:type="dxa" w:w="2700"/>
          </w:tcPr>
          <w:p>
            <w:pPr>
              <w:spacing w:after="0" w:before="0" w:line="240" w:lineRule="auto"/>
              <w:jc w:val="left"/>
            </w:pPr>
            <w:r>
              <w:t>Hz</w:t>
            </w:r>
          </w:p>
        </w:tc>
        <w:tc>
          <w:tcPr>
            <w:tcW w:type="dxa" w:w="2700"/>
          </w:tcPr>
          <w:p>
            <w:pPr>
              <w:spacing w:after="0" w:before="0" w:line="240" w:lineRule="auto"/>
              <w:jc w:val="left"/>
            </w:pPr>
            <w:r>
              <w:t>rpm for a rotating shaft</w:t>
            </w:r>
          </w:p>
        </w:tc>
        <w:tc>
          <w:tcPr>
            <w:tcW w:type="dxa" w:w="2700"/>
          </w:tcPr>
          <w:p>
            <w:pPr>
              <w:spacing w:after="0" w:before="0" w:line="240" w:lineRule="auto"/>
              <w:jc w:val="left"/>
            </w:pPr>
            <w:r>
              <w:t>Requires the appropriate speed relationship, not a universal direct conversion</w:t>
            </w:r>
          </w:p>
        </w:tc>
      </w:tr>
      <w:tr>
        <w:tc>
          <w:tcPr>
            <w:tcW w:type="dxa" w:w="2700"/>
          </w:tcPr>
          <w:p>
            <w:pPr>
              <w:spacing w:after="0" w:before="0" w:line="240" w:lineRule="auto"/>
              <w:jc w:val="left"/>
            </w:pPr>
            <w:r>
              <w:t>Flow</w:t>
            </w:r>
          </w:p>
        </w:tc>
        <w:tc>
          <w:tcPr>
            <w:tcW w:type="dxa" w:w="2700"/>
          </w:tcPr>
          <w:p>
            <w:pPr>
              <w:spacing w:after="0" w:before="0" w:line="240" w:lineRule="auto"/>
              <w:jc w:val="left"/>
            </w:pPr>
            <w:r>
              <w:t>m³/h</w:t>
            </w:r>
          </w:p>
        </w:tc>
        <w:tc>
          <w:tcPr>
            <w:tcW w:type="dxa" w:w="2700"/>
          </w:tcPr>
          <w:p>
            <w:pPr>
              <w:spacing w:after="0" w:before="0" w:line="240" w:lineRule="auto"/>
              <w:jc w:val="left"/>
            </w:pPr>
            <w:r>
              <w:t>L/min</w:t>
            </w:r>
          </w:p>
        </w:tc>
        <w:tc>
          <w:tcPr>
            <w:tcW w:type="dxa" w:w="2700"/>
          </w:tcPr>
          <w:p>
            <w:pPr>
              <w:spacing w:after="0" w:before="0" w:line="240" w:lineRule="auto"/>
              <w:jc w:val="left"/>
            </w:pPr>
            <w:r>
              <w:t xml:space="preserve">Multiply by </w:t>
            </w:r>
            <m:oMath>
              <m:f>
                <m:fPr>
                  <m:type m:val="lin"/>
                </m:fPr>
                <m:num>
                  <m:r>
                    <m:t>1000</m:t>
                  </m:r>
                </m:num>
                <m:den>
                  <m:r>
                    <m:t>60</m:t>
                  </m:r>
                </m:den>
              </m:f>
            </m:oMath>
          </w:p>
        </w:tc>
      </w:tr>
      <w:tr>
        <w:tc>
          <w:tcPr>
            <w:tcW w:type="dxa" w:w="2700"/>
          </w:tcPr>
          <w:p>
            <w:pPr>
              <w:spacing w:after="0" w:before="0" w:line="240" w:lineRule="auto"/>
              <w:jc w:val="left"/>
            </w:pPr>
            <w:r>
              <w:t>Power</w:t>
            </w:r>
          </w:p>
        </w:tc>
        <w:tc>
          <w:tcPr>
            <w:tcW w:type="dxa" w:w="2700"/>
          </w:tcPr>
          <w:p>
            <w:pPr>
              <w:spacing w:after="0" w:before="0" w:line="240" w:lineRule="auto"/>
              <w:jc w:val="left"/>
            </w:pPr>
            <w:r>
              <w:t>kW</w:t>
            </w:r>
          </w:p>
        </w:tc>
        <w:tc>
          <w:tcPr>
            <w:tcW w:type="dxa" w:w="2700"/>
          </w:tcPr>
          <w:p>
            <w:pPr>
              <w:spacing w:after="0" w:before="0" w:line="240" w:lineRule="auto"/>
              <w:jc w:val="left"/>
            </w:pPr>
            <w:r>
              <w:t>W</w:t>
            </w:r>
          </w:p>
        </w:tc>
        <w:tc>
          <w:tcPr>
            <w:tcW w:type="dxa" w:w="2700"/>
          </w:tcPr>
          <w:p>
            <w:pPr>
              <w:spacing w:after="0" w:before="0" w:line="240" w:lineRule="auto"/>
              <w:jc w:val="left"/>
            </w:pPr>
            <w:r>
              <w:t>Multiply by 1000</w:t>
            </w:r>
          </w:p>
        </w:tc>
      </w:tr>
      <w:tr>
        <w:tc>
          <w:tcPr>
            <w:tcW w:type="dxa" w:w="2700"/>
          </w:tcPr>
          <w:p>
            <w:pPr>
              <w:spacing w:after="0" w:before="0" w:line="240" w:lineRule="auto"/>
              <w:jc w:val="left"/>
            </w:pPr>
            <w:r>
              <w:t>Energy</w:t>
            </w:r>
          </w:p>
        </w:tc>
        <w:tc>
          <w:tcPr>
            <w:tcW w:type="dxa" w:w="2700"/>
          </w:tcPr>
          <w:p>
            <w:pPr>
              <w:spacing w:after="0" w:before="0" w:line="240" w:lineRule="auto"/>
              <w:jc w:val="left"/>
            </w:pPr>
            <w:r>
              <w:t>kWh</w:t>
            </w:r>
          </w:p>
        </w:tc>
        <w:tc>
          <w:tcPr>
            <w:tcW w:type="dxa" w:w="2700"/>
          </w:tcPr>
          <w:p>
            <w:pPr>
              <w:spacing w:after="0" w:before="0" w:line="240" w:lineRule="auto"/>
              <w:jc w:val="left"/>
            </w:pPr>
            <w:r>
              <w:t>Wh</w:t>
            </w:r>
          </w:p>
        </w:tc>
        <w:tc>
          <w:tcPr>
            <w:tcW w:type="dxa" w:w="2700"/>
          </w:tcPr>
          <w:p>
            <w:pPr>
              <w:spacing w:after="0" w:before="0" w:line="240" w:lineRule="auto"/>
              <w:jc w:val="left"/>
            </w:pPr>
            <w:r>
              <w:t>Multiply by 1000</w:t>
            </w:r>
          </w:p>
        </w:tc>
      </w:tr>
      <w:tr>
        <w:tc>
          <w:tcPr>
            <w:tcW w:type="dxa" w:w="2700"/>
          </w:tcPr>
          <w:p>
            <w:pPr>
              <w:spacing w:after="0" w:before="0" w:line="240" w:lineRule="auto"/>
              <w:jc w:val="left"/>
            </w:pPr>
            <w:r>
              <w:t>Current</w:t>
            </w:r>
          </w:p>
        </w:tc>
        <w:tc>
          <w:tcPr>
            <w:tcW w:type="dxa" w:w="2700"/>
          </w:tcPr>
          <w:p>
            <w:pPr>
              <w:spacing w:after="0" w:before="0" w:line="240" w:lineRule="auto"/>
              <w:jc w:val="left"/>
            </w:pPr>
            <w:r>
              <w:t>A</w:t>
            </w:r>
          </w:p>
        </w:tc>
        <w:tc>
          <w:tcPr>
            <w:tcW w:type="dxa" w:w="2700"/>
          </w:tcPr>
          <w:p>
            <w:pPr>
              <w:spacing w:after="0" w:before="0" w:line="240" w:lineRule="auto"/>
              <w:jc w:val="left"/>
            </w:pPr>
            <w:r>
              <w:t>mA</w:t>
            </w:r>
          </w:p>
        </w:tc>
        <w:tc>
          <w:tcPr>
            <w:tcW w:type="dxa" w:w="2700"/>
          </w:tcPr>
          <w:p>
            <w:pPr>
              <w:spacing w:after="0" w:before="0" w:line="240" w:lineRule="auto"/>
              <w:jc w:val="left"/>
            </w:pPr>
            <w:r>
              <w:t>Multiply by 1000</w:t>
            </w:r>
          </w:p>
        </w:tc>
      </w:tr>
      <w:tr>
        <w:tc>
          <w:tcPr>
            <w:tcW w:type="dxa" w:w="2700"/>
          </w:tcPr>
          <w:p>
            <w:pPr>
              <w:spacing w:after="0" w:before="0" w:line="240" w:lineRule="auto"/>
              <w:jc w:val="left"/>
            </w:pPr>
            <w:r>
              <w:t>Time</w:t>
            </w:r>
          </w:p>
        </w:tc>
        <w:tc>
          <w:tcPr>
            <w:tcW w:type="dxa" w:w="2700"/>
          </w:tcPr>
          <w:p>
            <w:pPr>
              <w:spacing w:after="0" w:before="0" w:line="240" w:lineRule="auto"/>
              <w:jc w:val="left"/>
            </w:pPr>
            <w:r>
              <w:t>s</w:t>
            </w:r>
          </w:p>
        </w:tc>
        <w:tc>
          <w:tcPr>
            <w:tcW w:type="dxa" w:w="2700"/>
          </w:tcPr>
          <w:p>
            <w:pPr>
              <w:spacing w:after="0" w:before="0" w:line="240" w:lineRule="auto"/>
              <w:jc w:val="left"/>
            </w:pPr>
            <w:r>
              <w:t>ms</w:t>
            </w:r>
          </w:p>
        </w:tc>
        <w:tc>
          <w:tcPr>
            <w:tcW w:type="dxa" w:w="2700"/>
          </w:tcPr>
          <w:p>
            <w:pPr>
              <w:spacing w:after="0" w:before="0" w:line="240" w:lineRule="auto"/>
              <w:jc w:val="left"/>
            </w:pPr>
            <w:r>
              <w:t>Multiply by 1000</w:t>
            </w:r>
          </w:p>
        </w:tc>
      </w:tr>
    </w:tbl>
    <w:p/>
    <w:p>
      <w:r>
        <w:t>These factors apply to the stated units. They do not account for additional machine-specific relationships such as gear ratios, motor slip, pressure compensation, or fluid density.</w:t>
      </w:r>
    </w:p>
    <w:p>
      <w:pPr>
        <w:pStyle w:val="Heading2"/>
      </w:pPr>
      <w:r>
        <w:t>5. Pressure conversion</w:t>
      </w:r>
    </w:p>
    <w:p>
      <w:r>
        <w:t>Pressure is a frequent source of unit mismatches in pneumatic systems, hydraulic systems, pumps, compressors, and pressure testing equipment.</w:t>
      </w:r>
    </w:p>
    <w:p>
      <w:r>
        <w:t>Useful relationships include:</w:t>
      </w:r>
    </w:p>
    <w:p>
      <w:pPr>
        <w:spacing w:before="120" w:after="160"/>
        <w:jc w:val="center"/>
      </w:pPr>
      <m:oMathPara>
        <m:oMath>
          <m:r>
            <m:t>1</m:t>
          </m:r>
          <m:r>
            <m:rPr>
              <m:nor/>
            </m:rPr>
            <m:t> bar</m:t>
          </m:r>
          <m:r>
            <m:t>=100</m:t>
          </m:r>
          <m:r>
            <m:rPr>
              <m:nor/>
            </m:rPr>
            <m:t> kPa</m:t>
          </m:r>
          <m:r>
            <m:t>=0.1</m:t>
          </m:r>
          <m:r>
            <m:rPr>
              <m:nor/>
            </m:rPr>
            <m:t> MPa</m:t>
          </m:r>
        </m:oMath>
      </m:oMathPara>
    </w:p>
    <w:p>
      <w:pPr>
        <w:spacing w:before="120" w:after="160"/>
        <w:jc w:val="center"/>
      </w:pPr>
      <m:oMathPara>
        <m:oMath>
          <m:r>
            <m:t>1</m:t>
          </m:r>
          <m:r>
            <m:rPr>
              <m:nor/>
            </m:rPr>
            <m:t> MPa</m:t>
          </m:r>
          <m:r>
            <m:t>=10</m:t>
          </m:r>
          <m:r>
            <m:rPr>
              <m:nor/>
            </m:rPr>
            <m:t> bar</m:t>
          </m:r>
        </m:oMath>
      </m:oMathPara>
    </w:p>
    <w:p>
      <w:pPr>
        <w:spacing w:before="120" w:after="160"/>
        <w:jc w:val="center"/>
      </w:pPr>
      <m:oMathPara>
        <m:oMath>
          <m:r>
            <m:t>1</m:t>
          </m:r>
          <m:r>
            <m:rPr>
              <m:nor/>
            </m:rPr>
            <m:t> psi</m:t>
          </m:r>
          <m:r>
            <m:t>≈6.89476</m:t>
          </m:r>
          <m:r>
            <m:rPr>
              <m:nor/>
            </m:rPr>
            <m:t> kPa</m:t>
          </m:r>
        </m:oMath>
      </m:oMathPara>
    </w:p>
    <w:p>
      <w:pPr>
        <w:pStyle w:val="Heading3"/>
      </w:pPr>
      <w:r>
        <w:t>Example: Hydraulic pressure</w:t>
      </w:r>
    </w:p>
    <w:p>
      <w:r>
        <w:t xml:space="preserve">A pressure sensor reports </w:t>
      </w:r>
      <w:r>
        <w:rPr>
          <w:rFonts w:ascii="Consolas" w:hAnsi="Consolas"/>
          <w:color w:val="333333"/>
          <w:sz w:val="19"/>
          <w:shd w:val="clear" w:color="auto" w:fill="EFEFEF"/>
        </w:rPr>
        <w:t>18 MPa</w:t>
      </w:r>
      <w:r>
        <w:t>. The HMI requires bar.</w:t>
      </w:r>
    </w:p>
    <w:p>
      <w:pPr>
        <w:spacing w:before="120" w:after="160"/>
        <w:jc w:val="center"/>
      </w:pPr>
      <m:oMathPara>
        <m:oMath>
          <m:r>
            <m:t>18</m:t>
          </m:r>
          <m:r>
            <m:rPr>
              <m:nor/>
            </m:rPr>
            <m:t> MPa</m:t>
          </m:r>
          <m:r>
            <m:t>×10=180</m:t>
          </m:r>
          <m:r>
            <m:rPr>
              <m:nor/>
            </m:rPr>
            <m:t> bar</m:t>
          </m:r>
        </m:oMath>
      </m:oMathPara>
    </w:p>
    <w:p>
      <w:r>
        <w:t xml:space="preserve">If the HMI displays </w:t>
      </w:r>
      <w:r>
        <w:rPr>
          <w:rFonts w:ascii="Consolas" w:hAnsi="Consolas"/>
          <w:color w:val="333333"/>
          <w:sz w:val="19"/>
          <w:shd w:val="clear" w:color="auto" w:fill="EFEFEF"/>
        </w:rPr>
        <w:t>18 bar</w:t>
      </w:r>
      <w:r>
        <w:t xml:space="preserve">, the unit conversion has not been applied. If it displays </w:t>
      </w:r>
      <w:r>
        <w:rPr>
          <w:rFonts w:ascii="Consolas" w:hAnsi="Consolas"/>
          <w:color w:val="333333"/>
          <w:sz w:val="19"/>
          <w:shd w:val="clear" w:color="auto" w:fill="EFEFEF"/>
        </w:rPr>
        <w:t>1800 bar</w:t>
      </w:r>
      <w:r>
        <w:t>, the conversion factor has probably been applied incorrectly.</w:t>
      </w:r>
    </w:p>
    <w:p>
      <w:pPr>
        <w:pStyle w:val="Heading3"/>
      </w:pPr>
      <w:r>
        <w:t>Gauge pressure versus absolute pressure</w:t>
      </w:r>
    </w:p>
    <w:p>
      <w:r>
        <w:t>Pressure units alone do not define the reference point.</w:t>
      </w:r>
    </w:p>
    <w:p>
      <w:pPr>
        <w:pStyle w:val="ListBullet"/>
      </w:pPr>
      <w:r>
        <w:t>Gauge pressure is measured relative to local atmospheric pressure.</w:t>
      </w:r>
    </w:p>
    <w:p>
      <w:pPr>
        <w:pStyle w:val="ListBullet"/>
      </w:pPr>
      <w:r>
        <w:t>Absolute pressure is measured relative to a vacuum.</w:t>
      </w:r>
    </w:p>
    <w:p>
      <w:pPr>
        <w:pStyle w:val="ListBullet"/>
      </w:pPr>
      <w:r>
        <w:t>Differential pressure is the difference between two pressure measurements.</w:t>
      </w:r>
    </w:p>
    <w:p>
      <w:r>
        <w:t xml:space="preserve">A reading of </w:t>
      </w:r>
      <w:r>
        <w:rPr>
          <w:rFonts w:ascii="Consolas" w:hAnsi="Consolas"/>
          <w:color w:val="333333"/>
          <w:sz w:val="19"/>
          <w:shd w:val="clear" w:color="auto" w:fill="EFEFEF"/>
        </w:rPr>
        <w:t>5 bar(g)</w:t>
      </w:r>
      <w:r>
        <w:t xml:space="preserve"> is not the same as </w:t>
      </w:r>
      <w:r>
        <w:rPr>
          <w:rFonts w:ascii="Consolas" w:hAnsi="Consolas"/>
          <w:color w:val="333333"/>
          <w:sz w:val="19"/>
          <w:shd w:val="clear" w:color="auto" w:fill="EFEFEF"/>
        </w:rPr>
        <w:t>5 bar(a)</w:t>
      </w:r>
      <w:r>
        <w:t>. The approximate relationship near standard atmospheric conditions is:</w:t>
      </w:r>
    </w:p>
    <w:p>
      <w:pPr>
        <w:spacing w:before="120" w:after="160"/>
        <w:jc w:val="center"/>
      </w:pPr>
      <m:oMathPara>
        <m:oMath>
          <m:sSub>
            <m:e>
              <m:r>
                <m:t>P</m:t>
              </m:r>
            </m:e>
            <m:sub>
              <m:r>
                <m:rPr>
                  <m:nor/>
                </m:rPr>
                <m:t>absolute</m:t>
              </m:r>
            </m:sub>
          </m:sSub>
          <m:r>
            <m:t>=</m:t>
          </m:r>
          <m:sSub>
            <m:e>
              <m:r>
                <m:t>P</m:t>
              </m:r>
            </m:e>
            <m:sub>
              <m:r>
                <m:rPr>
                  <m:nor/>
                </m:rPr>
                <m:t>gauge</m:t>
              </m:r>
            </m:sub>
          </m:sSub>
          <m:r>
            <m:t>+</m:t>
          </m:r>
          <m:sSub>
            <m:e>
              <m:r>
                <m:t>P</m:t>
              </m:r>
            </m:e>
            <m:sub>
              <m:r>
                <m:rPr>
                  <m:nor/>
                </m:rPr>
                <m:t>atmospheric</m:t>
              </m:r>
            </m:sub>
          </m:sSub>
        </m:oMath>
      </m:oMathPara>
    </w:p>
    <w:p>
      <w:r>
        <w:t>The atmospheric pressure used in the calculation should be appropriate for the application. Never convert gauge pressure to absolute pressure merely by changing the unit label.</w:t>
      </w:r>
    </w:p>
    <w:p>
      <w:pPr>
        <w:pStyle w:val="Heading2"/>
      </w:pPr>
      <w:r>
        <w:t>6. Temperature conversion</w:t>
      </w:r>
    </w:p>
    <w:p>
      <w:r>
        <w:t>Temperature requires special care because Celsius, Fahrenheit, and Kelvin have different zero points and different interval sizes.</w:t>
      </w:r>
    </w:p>
    <w:p>
      <w:pPr>
        <w:pStyle w:val="Heading3"/>
      </w:pPr>
      <w:r>
        <w:t>6.1 Celsius to Fahrenheit</w:t>
      </w:r>
    </w:p>
    <w:p>
      <w:pPr>
        <w:spacing w:before="120" w:after="160"/>
        <w:jc w:val="center"/>
      </w:pPr>
      <m:oMathPara>
        <m:oMath>
          <m:sSub>
            <m:e>
              <m:r>
                <m:t>T</m:t>
              </m:r>
            </m:e>
            <m:sub>
              <m:r>
                <m:t>F</m:t>
              </m:r>
            </m:sub>
          </m:sSub>
          <m:r>
            <m:t>=</m:t>
          </m:r>
          <m:f>
            <m:fPr>
              <m:type m:val="bar"/>
            </m:fPr>
            <m:num>
              <m:r>
                <m:t>9</m:t>
              </m:r>
            </m:num>
            <m:den>
              <m:r>
                <m:t>5</m:t>
              </m:r>
            </m:den>
          </m:f>
          <m:sSub>
            <m:e>
              <m:r>
                <m:t>T</m:t>
              </m:r>
            </m:e>
            <m:sub>
              <m:r>
                <m:t>C</m:t>
              </m:r>
            </m:sub>
          </m:sSub>
          <m:r>
            <m:t>+32</m:t>
          </m:r>
        </m:oMath>
      </m:oMathPara>
    </w:p>
    <w:p>
      <w:r>
        <w:t xml:space="preserve">For a temperature of </w:t>
      </w:r>
      <w:r>
        <w:rPr>
          <w:rFonts w:ascii="Consolas" w:hAnsi="Consolas"/>
          <w:color w:val="333333"/>
          <w:sz w:val="19"/>
          <w:shd w:val="clear" w:color="auto" w:fill="EFEFEF"/>
        </w:rPr>
        <w:t>80 °C</w:t>
      </w:r>
      <w:r>
        <w:t>:</w:t>
      </w:r>
    </w:p>
    <w:p>
      <w:pPr>
        <w:spacing w:before="120" w:after="160"/>
        <w:jc w:val="center"/>
      </w:pPr>
      <m:oMathPara>
        <m:oMath>
          <m:sSub>
            <m:e>
              <m:r>
                <m:t>T</m:t>
              </m:r>
            </m:e>
            <m:sub>
              <m:r>
                <m:t>F</m:t>
              </m:r>
            </m:sub>
          </m:sSub>
          <m:r>
            <m:t>=</m:t>
          </m:r>
          <m:f>
            <m:fPr>
              <m:type m:val="bar"/>
            </m:fPr>
            <m:num>
              <m:r>
                <m:t>9</m:t>
              </m:r>
            </m:num>
            <m:den>
              <m:r>
                <m:t>5</m:t>
              </m:r>
            </m:den>
          </m:f>
          <m:r>
            <m:t>(80)+32=</m:t>
          </m:r>
          <m:sSup>
            <m:e>
              <m:r>
                <m:t>176</m:t>
              </m:r>
            </m:e>
            <m:sup>
              <m:r>
                <m:t>∘</m:t>
              </m:r>
            </m:sup>
          </m:sSup>
          <m:r>
            <m:t>F</m:t>
          </m:r>
        </m:oMath>
      </m:oMathPara>
    </w:p>
    <w:p>
      <w:pPr>
        <w:pStyle w:val="Heading3"/>
      </w:pPr>
      <w:r>
        <w:t>6.2 Fahrenheit to Celsius</w:t>
      </w:r>
    </w:p>
    <w:p>
      <w:pPr>
        <w:spacing w:before="120" w:after="160"/>
        <w:jc w:val="center"/>
      </w:pPr>
      <m:oMathPara>
        <m:oMath>
          <m:sSub>
            <m:e>
              <m:r>
                <m:t>T</m:t>
              </m:r>
            </m:e>
            <m:sub>
              <m:r>
                <m:t>C</m:t>
              </m:r>
            </m:sub>
          </m:sSub>
          <m:r>
            <m:t>=</m:t>
          </m:r>
          <m:f>
            <m:fPr>
              <m:type m:val="bar"/>
            </m:fPr>
            <m:num>
              <m:r>
                <m:t>5</m:t>
              </m:r>
            </m:num>
            <m:den>
              <m:r>
                <m:t>9</m:t>
              </m:r>
            </m:den>
          </m:f>
          <m:r>
            <m:t>(</m:t>
          </m:r>
          <m:sSub>
            <m:e>
              <m:r>
                <m:t>T</m:t>
              </m:r>
            </m:e>
            <m:sub>
              <m:r>
                <m:t>F</m:t>
              </m:r>
            </m:sub>
          </m:sSub>
          <m:r>
            <m:t>−32)</m:t>
          </m:r>
        </m:oMath>
      </m:oMathPara>
    </w:p>
    <w:p>
      <w:r>
        <w:t xml:space="preserve">For </w:t>
      </w:r>
      <w:r>
        <w:rPr>
          <w:rFonts w:ascii="Consolas" w:hAnsi="Consolas"/>
          <w:color w:val="333333"/>
          <w:sz w:val="19"/>
          <w:shd w:val="clear" w:color="auto" w:fill="EFEFEF"/>
        </w:rPr>
        <w:t>212 °F</w:t>
      </w:r>
      <w:r>
        <w:t>:</w:t>
      </w:r>
    </w:p>
    <w:p>
      <w:pPr>
        <w:spacing w:before="120" w:after="160"/>
        <w:jc w:val="center"/>
      </w:pPr>
      <m:oMathPara>
        <m:oMath>
          <m:sSub>
            <m:e>
              <m:r>
                <m:t>T</m:t>
              </m:r>
            </m:e>
            <m:sub>
              <m:r>
                <m:t>C</m:t>
              </m:r>
            </m:sub>
          </m:sSub>
          <m:r>
            <m:t>=</m:t>
          </m:r>
          <m:f>
            <m:fPr>
              <m:type m:val="bar"/>
            </m:fPr>
            <m:num>
              <m:r>
                <m:t>5</m:t>
              </m:r>
            </m:num>
            <m:den>
              <m:r>
                <m:t>9</m:t>
              </m:r>
            </m:den>
          </m:f>
          <m:r>
            <m:t>(212−32)=</m:t>
          </m:r>
          <m:sSup>
            <m:e>
              <m:r>
                <m:t>100</m:t>
              </m:r>
            </m:e>
            <m:sup>
              <m:r>
                <m:t>∘</m:t>
              </m:r>
            </m:sup>
          </m:sSup>
          <m:r>
            <m:t>C</m:t>
          </m:r>
        </m:oMath>
      </m:oMathPara>
    </w:p>
    <w:p>
      <w:pPr>
        <w:pStyle w:val="Heading3"/>
      </w:pPr>
      <w:r>
        <w:t>6.3 Celsius to Kelvin</w:t>
      </w:r>
    </w:p>
    <w:p>
      <w:pPr>
        <w:spacing w:before="120" w:after="160"/>
        <w:jc w:val="center"/>
      </w:pPr>
      <m:oMathPara>
        <m:oMath>
          <m:sSub>
            <m:e>
              <m:r>
                <m:t>T</m:t>
              </m:r>
            </m:e>
            <m:sub>
              <m:r>
                <m:t>K</m:t>
              </m:r>
            </m:sub>
          </m:sSub>
          <m:r>
            <m:t>=</m:t>
          </m:r>
          <m:sSub>
            <m:e>
              <m:r>
                <m:t>T</m:t>
              </m:r>
            </m:e>
            <m:sub>
              <m:r>
                <m:t>C</m:t>
              </m:r>
            </m:sub>
          </m:sSub>
          <m:r>
            <m:t>+273.15</m:t>
          </m:r>
        </m:oMath>
      </m:oMathPara>
    </w:p>
    <w:p>
      <w:r>
        <w:t xml:space="preserve">For </w:t>
      </w:r>
      <w:r>
        <w:rPr>
          <w:rFonts w:ascii="Consolas" w:hAnsi="Consolas"/>
          <w:color w:val="333333"/>
          <w:sz w:val="19"/>
          <w:shd w:val="clear" w:color="auto" w:fill="EFEFEF"/>
        </w:rPr>
        <w:t>25 °C</w:t>
      </w:r>
      <w:r>
        <w:t>:</w:t>
      </w:r>
    </w:p>
    <w:p>
      <w:pPr>
        <w:spacing w:before="120" w:after="160"/>
        <w:jc w:val="center"/>
      </w:pPr>
      <m:oMathPara>
        <m:oMath>
          <m:sSub>
            <m:e>
              <m:r>
                <m:t>T</m:t>
              </m:r>
            </m:e>
            <m:sub>
              <m:r>
                <m:t>K</m:t>
              </m:r>
            </m:sub>
          </m:sSub>
          <m:r>
            <m:t>=25+273.15=298.15</m:t>
          </m:r>
          <m:r>
            <m:rPr>
              <m:nor/>
            </m:rPr>
            <m:t> K</m:t>
          </m:r>
        </m:oMath>
      </m:oMathPara>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Celsius</w:t>
            </w:r>
          </w:p>
        </w:tc>
        <w:tc>
          <w:tcPr>
            <w:tcW w:type="dxa" w:w="3600"/>
            <w:shd w:val="clear" w:color="auto" w:fill="EEF2F7"/>
          </w:tcPr>
          <w:p>
            <w:pPr>
              <w:spacing w:after="0" w:before="0" w:line="240" w:lineRule="auto"/>
              <w:jc w:val="left"/>
            </w:pPr>
            <w:r>
              <w:rPr>
                <w:b/>
                <w:color w:val="1A2E4A"/>
              </w:rPr>
              <w:t>Fahrenheit</w:t>
            </w:r>
          </w:p>
        </w:tc>
        <w:tc>
          <w:tcPr>
            <w:tcW w:type="dxa" w:w="3600"/>
            <w:shd w:val="clear" w:color="auto" w:fill="EEF2F7"/>
          </w:tcPr>
          <w:p>
            <w:pPr>
              <w:spacing w:after="0" w:before="0" w:line="240" w:lineRule="auto"/>
              <w:jc w:val="left"/>
            </w:pPr>
            <w:r>
              <w:rPr>
                <w:b/>
                <w:color w:val="1A2E4A"/>
              </w:rPr>
              <w:t>Kelvin</w:t>
            </w:r>
          </w:p>
        </w:tc>
      </w:tr>
      <w:tr>
        <w:tc>
          <w:tcPr>
            <w:tcW w:type="dxa" w:w="3600"/>
          </w:tcPr>
          <w:p>
            <w:pPr>
              <w:spacing w:after="0" w:before="0" w:line="240" w:lineRule="auto"/>
              <w:jc w:val="left"/>
            </w:pPr>
            <w:r>
              <w:t>0 °C</w:t>
            </w:r>
          </w:p>
        </w:tc>
        <w:tc>
          <w:tcPr>
            <w:tcW w:type="dxa" w:w="3600"/>
          </w:tcPr>
          <w:p>
            <w:pPr>
              <w:spacing w:after="0" w:before="0" w:line="240" w:lineRule="auto"/>
              <w:jc w:val="left"/>
            </w:pPr>
            <w:r>
              <w:t>32 °F</w:t>
            </w:r>
          </w:p>
        </w:tc>
        <w:tc>
          <w:tcPr>
            <w:tcW w:type="dxa" w:w="3600"/>
          </w:tcPr>
          <w:p>
            <w:pPr>
              <w:spacing w:after="0" w:before="0" w:line="240" w:lineRule="auto"/>
              <w:jc w:val="left"/>
            </w:pPr>
            <w:r>
              <w:t>273.15 K</w:t>
            </w:r>
          </w:p>
        </w:tc>
      </w:tr>
      <w:tr>
        <w:tc>
          <w:tcPr>
            <w:tcW w:type="dxa" w:w="3600"/>
          </w:tcPr>
          <w:p>
            <w:pPr>
              <w:spacing w:after="0" w:before="0" w:line="240" w:lineRule="auto"/>
              <w:jc w:val="left"/>
            </w:pPr>
            <w:r>
              <w:t>25 °C</w:t>
            </w:r>
          </w:p>
        </w:tc>
        <w:tc>
          <w:tcPr>
            <w:tcW w:type="dxa" w:w="3600"/>
          </w:tcPr>
          <w:p>
            <w:pPr>
              <w:spacing w:after="0" w:before="0" w:line="240" w:lineRule="auto"/>
              <w:jc w:val="left"/>
            </w:pPr>
            <w:r>
              <w:t>77 °F</w:t>
            </w:r>
          </w:p>
        </w:tc>
        <w:tc>
          <w:tcPr>
            <w:tcW w:type="dxa" w:w="3600"/>
          </w:tcPr>
          <w:p>
            <w:pPr>
              <w:spacing w:after="0" w:before="0" w:line="240" w:lineRule="auto"/>
              <w:jc w:val="left"/>
            </w:pPr>
            <w:r>
              <w:t>298.15 K</w:t>
            </w:r>
          </w:p>
        </w:tc>
      </w:tr>
      <w:tr>
        <w:tc>
          <w:tcPr>
            <w:tcW w:type="dxa" w:w="3600"/>
          </w:tcPr>
          <w:p>
            <w:pPr>
              <w:spacing w:after="0" w:before="0" w:line="240" w:lineRule="auto"/>
              <w:jc w:val="left"/>
            </w:pPr>
            <w:r>
              <w:t>100 °C</w:t>
            </w:r>
          </w:p>
        </w:tc>
        <w:tc>
          <w:tcPr>
            <w:tcW w:type="dxa" w:w="3600"/>
          </w:tcPr>
          <w:p>
            <w:pPr>
              <w:spacing w:after="0" w:before="0" w:line="240" w:lineRule="auto"/>
              <w:jc w:val="left"/>
            </w:pPr>
            <w:r>
              <w:t>212 °F</w:t>
            </w:r>
          </w:p>
        </w:tc>
        <w:tc>
          <w:tcPr>
            <w:tcW w:type="dxa" w:w="3600"/>
          </w:tcPr>
          <w:p>
            <w:pPr>
              <w:spacing w:after="0" w:before="0" w:line="240" w:lineRule="auto"/>
              <w:jc w:val="left"/>
            </w:pPr>
            <w:r>
              <w:t>373.15 K</w:t>
            </w:r>
          </w:p>
        </w:tc>
      </w:tr>
      <w:tr>
        <w:tc>
          <w:tcPr>
            <w:tcW w:type="dxa" w:w="3600"/>
          </w:tcPr>
          <w:p>
            <w:pPr>
              <w:spacing w:after="0" w:before="0" w:line="240" w:lineRule="auto"/>
              <w:jc w:val="left"/>
            </w:pPr>
            <w:r>
              <w:t>-40 °C</w:t>
            </w:r>
          </w:p>
        </w:tc>
        <w:tc>
          <w:tcPr>
            <w:tcW w:type="dxa" w:w="3600"/>
          </w:tcPr>
          <w:p>
            <w:pPr>
              <w:spacing w:after="0" w:before="0" w:line="240" w:lineRule="auto"/>
              <w:jc w:val="left"/>
            </w:pPr>
            <w:r>
              <w:t>-40 °F</w:t>
            </w:r>
          </w:p>
        </w:tc>
        <w:tc>
          <w:tcPr>
            <w:tcW w:type="dxa" w:w="3600"/>
          </w:tcPr>
          <w:p>
            <w:pPr>
              <w:spacing w:after="0" w:before="0" w:line="240" w:lineRule="auto"/>
              <w:jc w:val="left"/>
            </w:pPr>
            <w:r>
              <w:t>233.15 K</w:t>
            </w:r>
          </w:p>
        </w:tc>
      </w:tr>
    </w:tbl>
    <w:p/>
    <w:p>
      <w:r>
        <w:t>In industrial maintenance, temperature values may be used for motor winding monitoring, bearing temperatures, coolant systems, furnaces, ovens, and environmental monitoring.</w:t>
      </w:r>
    </w:p>
    <w:p>
      <w:r>
        <w:t xml:space="preserve">If a PLC or SCADA system displays an implausible temperature, check the source data type, scaling, and unit conversion independently. A sensor configured for Fahrenheit cannot be treated as Celsius simply because the display label says </w:t>
      </w:r>
      <w:r>
        <w:rPr>
          <w:rFonts w:ascii="Consolas" w:hAnsi="Consolas"/>
          <w:color w:val="333333"/>
          <w:sz w:val="19"/>
          <w:shd w:val="clear" w:color="auto" w:fill="EFEFEF"/>
        </w:rPr>
        <w:t>°C</w:t>
      </w:r>
      <w:r>
        <w:t>.</w:t>
      </w:r>
    </w:p>
    <w:p>
      <w:pPr>
        <w:pStyle w:val="Heading2"/>
      </w:pPr>
      <w:r>
        <w:t>7. Speed, frequency, and rotational units</w:t>
      </w:r>
    </w:p>
    <w:p>
      <w:r>
        <w:t>Speed conversion requires attention to what is actually being measured.</w:t>
      </w:r>
    </w:p>
    <w:p>
      <w:pPr>
        <w:pStyle w:val="Heading3"/>
      </w:pPr>
      <w:r>
        <w:t>7.1 RPM to revolutions per second</w:t>
      </w:r>
    </w:p>
    <w:p>
      <w:pPr>
        <w:spacing w:before="120" w:after="160"/>
        <w:jc w:val="center"/>
      </w:pPr>
      <m:oMathPara>
        <m:oMath>
          <m:r>
            <m:rPr>
              <m:nor/>
            </m:rPr>
            <m:t>rev/s</m:t>
          </m:r>
          <m:r>
            <m:t>=</m:t>
          </m:r>
          <m:f>
            <m:fPr>
              <m:type m:val="bar"/>
            </m:fPr>
            <m:num>
              <m:r>
                <m:rPr>
                  <m:nor/>
                </m:rPr>
                <m:t>rpm</m:t>
              </m:r>
            </m:num>
            <m:den>
              <m:r>
                <m:t>60</m:t>
              </m:r>
            </m:den>
          </m:f>
        </m:oMath>
      </m:oMathPara>
    </w:p>
    <w:p>
      <w:r>
        <w:t xml:space="preserve">For a shaft running at </w:t>
      </w:r>
      <w:r>
        <w:rPr>
          <w:rFonts w:ascii="Consolas" w:hAnsi="Consolas"/>
          <w:color w:val="333333"/>
          <w:sz w:val="19"/>
          <w:shd w:val="clear" w:color="auto" w:fill="EFEFEF"/>
        </w:rPr>
        <w:t>1500 rpm</w:t>
      </w:r>
      <w:r>
        <w:t>:</w:t>
      </w:r>
    </w:p>
    <w:p>
      <w:pPr>
        <w:spacing w:before="120" w:after="160"/>
        <w:jc w:val="center"/>
      </w:pPr>
      <m:oMathPara>
        <m:oMath>
          <m:f>
            <m:fPr>
              <m:type m:val="bar"/>
            </m:fPr>
            <m:num>
              <m:r>
                <m:t>1500</m:t>
              </m:r>
            </m:num>
            <m:den>
              <m:r>
                <m:t>60</m:t>
              </m:r>
            </m:den>
          </m:f>
          <m:r>
            <m:t>=25</m:t>
          </m:r>
          <m:r>
            <m:rPr>
              <m:nor/>
            </m:rPr>
            <m:t> rev/s</m:t>
          </m:r>
        </m:oMath>
      </m:oMathPara>
    </w:p>
    <w:p>
      <w:pPr>
        <w:pStyle w:val="Heading3"/>
      </w:pPr>
      <w:r>
        <w:t>7.2 RPM to angular velocity</w:t>
      </w:r>
    </w:p>
    <w:p>
      <w:r>
        <w:t>Angular velocity in radians per second is:</w:t>
      </w:r>
    </w:p>
    <w:p>
      <w:pPr>
        <w:spacing w:before="120" w:after="160"/>
        <w:jc w:val="center"/>
      </w:pPr>
      <m:oMathPara>
        <m:oMath>
          <m:r>
            <m:t>ω=</m:t>
          </m:r>
          <m:r>
            <m:rPr>
              <m:nor/>
            </m:rPr>
            <m:t>rpm</m:t>
          </m:r>
          <m:r>
            <m:t>×</m:t>
          </m:r>
          <m:f>
            <m:fPr>
              <m:type m:val="bar"/>
            </m:fPr>
            <m:num>
              <m:r>
                <m:t>2π</m:t>
              </m:r>
            </m:num>
            <m:den>
              <m:r>
                <m:t>60</m:t>
              </m:r>
            </m:den>
          </m:f>
        </m:oMath>
      </m:oMathPara>
    </w:p>
    <w:p>
      <w:r>
        <w:t xml:space="preserve">For </w:t>
      </w:r>
      <w:r>
        <w:rPr>
          <w:rFonts w:ascii="Consolas" w:hAnsi="Consolas"/>
          <w:color w:val="333333"/>
          <w:sz w:val="19"/>
          <w:shd w:val="clear" w:color="auto" w:fill="EFEFEF"/>
        </w:rPr>
        <w:t>1500 rpm</w:t>
      </w:r>
      <w:r>
        <w:t>:</w:t>
      </w:r>
    </w:p>
    <w:p>
      <w:pPr>
        <w:spacing w:before="120" w:after="160"/>
        <w:jc w:val="center"/>
      </w:pPr>
      <m:oMathPara>
        <m:oMath>
          <m:r>
            <m:t>ω=1500×</m:t>
          </m:r>
          <m:f>
            <m:fPr>
              <m:type m:val="bar"/>
            </m:fPr>
            <m:num>
              <m:r>
                <m:t>2π</m:t>
              </m:r>
            </m:num>
            <m:den>
              <m:r>
                <m:t>60</m:t>
              </m:r>
            </m:den>
          </m:f>
        </m:oMath>
      </m:oMathPara>
    </w:p>
    <w:p>
      <w:pPr>
        <w:spacing w:before="120" w:after="160"/>
        <w:jc w:val="center"/>
      </w:pPr>
      <m:oMathPara>
        <m:oMath>
          <m:r>
            <m:t>ω≈157.08</m:t>
          </m:r>
          <m:r>
            <m:rPr>
              <m:nor/>
            </m:rPr>
            <m:t> rad/s</m:t>
          </m:r>
        </m:oMath>
      </m:oMathPara>
    </w:p>
    <w:p>
      <w:pPr>
        <w:pStyle w:val="Heading3"/>
      </w:pPr>
      <w:r>
        <w:t>7.3 VFD frequency versus motor speed</w:t>
      </w:r>
    </w:p>
    <w:p>
      <w:r>
        <w:t>A VFD may display output frequency in Hz, while the PLC or SCADA screen displays motor speed in rpm. These are related, but they are not interchangeable.</w:t>
      </w:r>
    </w:p>
    <w:p>
      <w:r>
        <w:t>For a synchronous motor:</w:t>
      </w:r>
    </w:p>
    <w:p>
      <w:pPr>
        <w:spacing w:before="120" w:after="160"/>
        <w:jc w:val="center"/>
      </w:pPr>
      <m:oMathPara>
        <m:oMath>
          <m:sSub>
            <m:e>
              <m:r>
                <m:t>n</m:t>
              </m:r>
            </m:e>
            <m:sub>
              <m:r>
                <m:t>s</m:t>
              </m:r>
            </m:sub>
          </m:sSub>
          <m:r>
            <m:t>=</m:t>
          </m:r>
          <m:f>
            <m:fPr>
              <m:type m:val="bar"/>
            </m:fPr>
            <m:num>
              <m:r>
                <m:t>120f</m:t>
              </m:r>
            </m:num>
            <m:den>
              <m:r>
                <m:t>P</m:t>
              </m:r>
            </m:den>
          </m:f>
        </m:oMath>
      </m:oMathPara>
    </w:p>
    <w:p>
      <w:r>
        <w:t>Where:</w:t>
      </w:r>
    </w:p>
    <w:p>
      <w:pPr>
        <w:pStyle w:val="ListBullet"/>
      </w:pPr>
      <m:oMath>
        <m:sSub>
          <m:e>
            <m:r>
              <m:t>n</m:t>
            </m:r>
          </m:e>
          <m:sub>
            <m:r>
              <m:t>s</m:t>
            </m:r>
          </m:sub>
        </m:sSub>
      </m:oMath>
      <w:r>
        <w:t xml:space="preserve"> is synchronous speed in rpm.</w:t>
      </w:r>
    </w:p>
    <w:p>
      <w:pPr>
        <w:pStyle w:val="ListBullet"/>
      </w:pPr>
      <m:oMath>
        <m:r>
          <m:t>f</m:t>
        </m:r>
      </m:oMath>
      <w:r>
        <w:t xml:space="preserve"> is electrical frequency in Hz.</w:t>
      </w:r>
    </w:p>
    <w:p>
      <w:pPr>
        <w:pStyle w:val="ListBullet"/>
      </w:pPr>
      <m:oMath>
        <m:r>
          <m:t>P</m:t>
        </m:r>
      </m:oMath>
      <w:r>
        <w:t xml:space="preserve"> is the number of motor poles.</w:t>
      </w:r>
    </w:p>
    <w:p>
      <w:r>
        <w:t xml:space="preserve">For a four-pole motor at </w:t>
      </w:r>
      <w:r>
        <w:rPr>
          <w:rFonts w:ascii="Consolas" w:hAnsi="Consolas"/>
          <w:color w:val="333333"/>
          <w:sz w:val="19"/>
          <w:shd w:val="clear" w:color="auto" w:fill="EFEFEF"/>
        </w:rPr>
        <w:t>50 Hz</w:t>
      </w:r>
      <w:r>
        <w:t>:</w:t>
      </w:r>
    </w:p>
    <w:p>
      <w:pPr>
        <w:spacing w:before="120" w:after="160"/>
        <w:jc w:val="center"/>
      </w:pPr>
      <m:oMathPara>
        <m:oMath>
          <m:sSub>
            <m:e>
              <m:r>
                <m:t>n</m:t>
              </m:r>
            </m:e>
            <m:sub>
              <m:r>
                <m:t>s</m:t>
              </m:r>
            </m:sub>
          </m:sSub>
          <m:r>
            <m:t>=</m:t>
          </m:r>
          <m:f>
            <m:fPr>
              <m:type m:val="bar"/>
            </m:fPr>
            <m:num>
              <m:r>
                <m:t>120×50</m:t>
              </m:r>
            </m:num>
            <m:den>
              <m:r>
                <m:t>4</m:t>
              </m:r>
            </m:den>
          </m:f>
          <m:r>
            <m:t>=1500</m:t>
          </m:r>
          <m:r>
            <m:rPr>
              <m:nor/>
            </m:rPr>
            <m:t> rpm</m:t>
          </m:r>
        </m:oMath>
      </m:oMathPara>
    </w:p>
    <w:p>
      <w:r>
        <w:t>An induction motor's actual rotor speed under load is typically lower than synchronous speed because of slip. A gearbox can also change the output shaft speed.</w:t>
      </w:r>
    </w:p>
    <w:p>
      <w:r>
        <w:t xml:space="preserve">Therefore, converting VFD frequency to actual shaft rpm requires the motor characteristics and any relevant mechanical transmission ratios. Do not assume </w:t>
      </w:r>
      <w:r>
        <w:rPr>
          <w:rFonts w:ascii="Consolas" w:hAnsi="Consolas"/>
          <w:color w:val="333333"/>
          <w:sz w:val="19"/>
          <w:shd w:val="clear" w:color="auto" w:fill="EFEFEF"/>
        </w:rPr>
        <w:t>50 Hz = 1500 rpm</w:t>
      </w:r>
      <w:r>
        <w:t xml:space="preserve"> for every motor.</w:t>
      </w:r>
    </w:p>
    <w:p>
      <w:pPr>
        <w:pStyle w:val="Heading2"/>
      </w:pPr>
      <w:r>
        <w:t>8. Flow, volume, and mass-flow conversion</w:t>
      </w:r>
    </w:p>
    <w:p>
      <w:r>
        <w:t>Industrial flow measurements may represent volumetric flow or mass flow. These quantities are not equivalent without additional information.</w:t>
      </w:r>
    </w:p>
    <w:p>
      <w:pPr>
        <w:pStyle w:val="Heading3"/>
      </w:pPr>
      <w:r>
        <w:t>8.1 Volumetric flow</w:t>
      </w:r>
    </w:p>
    <w:p>
      <w:r>
        <w:t>Common units include:</w:t>
      </w:r>
    </w:p>
    <w:p>
      <w:pPr>
        <w:pStyle w:val="ListBullet"/>
      </w:pPr>
      <w:r>
        <w:t>L/min</w:t>
      </w:r>
    </w:p>
    <w:p>
      <w:pPr>
        <w:pStyle w:val="ListBullet"/>
      </w:pPr>
      <w:r>
        <w:t>L/h</w:t>
      </w:r>
    </w:p>
    <w:p>
      <w:pPr>
        <w:pStyle w:val="ListBullet"/>
      </w:pPr>
      <w:r>
        <w:t>m³/h</w:t>
      </w:r>
    </w:p>
    <w:p>
      <w:pPr>
        <w:pStyle w:val="ListBullet"/>
      </w:pPr>
      <w:r>
        <w:t>m³/s</w:t>
      </w:r>
    </w:p>
    <w:p>
      <w:r>
        <w:t xml:space="preserve">For example, converting </w:t>
      </w:r>
      <w:r>
        <w:rPr>
          <w:rFonts w:ascii="Consolas" w:hAnsi="Consolas"/>
          <w:color w:val="333333"/>
          <w:sz w:val="19"/>
          <w:shd w:val="clear" w:color="auto" w:fill="EFEFEF"/>
        </w:rPr>
        <w:t>120 L/min</w:t>
      </w:r>
      <w:r>
        <w:t xml:space="preserve"> to </w:t>
      </w:r>
      <w:r>
        <w:rPr>
          <w:rFonts w:ascii="Consolas" w:hAnsi="Consolas"/>
          <w:color w:val="333333"/>
          <w:sz w:val="19"/>
          <w:shd w:val="clear" w:color="auto" w:fill="EFEFEF"/>
        </w:rPr>
        <w:t>m³/h</w:t>
      </w:r>
      <w:r>
        <w:t>:</w:t>
      </w:r>
    </w:p>
    <w:p>
      <w:pPr>
        <w:spacing w:before="120" w:after="160"/>
        <w:jc w:val="center"/>
      </w:pPr>
      <m:oMathPara>
        <m:oMath>
          <m:r>
            <m:t>120</m:t>
          </m:r>
          <m:f>
            <m:fPr>
              <m:type m:val="bar"/>
            </m:fPr>
            <m:num>
              <m:r>
                <m:rPr>
                  <m:nor/>
                </m:rPr>
                <m:t>L</m:t>
              </m:r>
            </m:num>
            <m:den>
              <m:r>
                <m:rPr>
                  <m:nor/>
                </m:rPr>
                <m:t>min</m:t>
              </m:r>
            </m:den>
          </m:f>
          <m:r>
            <m:t>×</m:t>
          </m:r>
          <m:f>
            <m:fPr>
              <m:type m:val="bar"/>
            </m:fPr>
            <m:num>
              <m:r>
                <m:t>1</m:t>
              </m:r>
              <m:sSup>
                <m:e>
                  <m:r>
                    <m:rPr>
                      <m:nor/>
                    </m:rPr>
                    <m:t> m</m:t>
                  </m:r>
                </m:e>
                <m:sup>
                  <m:r>
                    <m:t>3</m:t>
                  </m:r>
                </m:sup>
              </m:sSup>
            </m:num>
            <m:den>
              <m:r>
                <m:t>1000</m:t>
              </m:r>
              <m:r>
                <m:rPr>
                  <m:nor/>
                </m:rPr>
                <m:t> L</m:t>
              </m:r>
            </m:den>
          </m:f>
          <m:r>
            <m:t>×</m:t>
          </m:r>
          <m:f>
            <m:fPr>
              <m:type m:val="bar"/>
            </m:fPr>
            <m:num>
              <m:r>
                <m:t>60</m:t>
              </m:r>
              <m:r>
                <m:rPr>
                  <m:nor/>
                </m:rPr>
                <m:t> min</m:t>
              </m:r>
            </m:num>
            <m:den>
              <m:r>
                <m:t>1</m:t>
              </m:r>
              <m:r>
                <m:rPr>
                  <m:nor/>
                </m:rPr>
                <m:t> h</m:t>
              </m:r>
            </m:den>
          </m:f>
          <m:r>
            <m:t>=7.2</m:t>
          </m:r>
          <m:sSup>
            <m:e>
              <m:r>
                <m:rPr>
                  <m:nor/>
                </m:rPr>
                <m:t> m</m:t>
              </m:r>
            </m:e>
            <m:sup>
              <m:r>
                <m:t>3</m:t>
              </m:r>
            </m:sup>
          </m:sSup>
          <m:r>
            <m:t>/</m:t>
          </m:r>
          <m:r>
            <m:rPr>
              <m:nor/>
            </m:rPr>
            <m:t>h</m:t>
          </m:r>
        </m:oMath>
      </m:oMathPara>
    </w:p>
    <w:p>
      <w:pPr>
        <w:pStyle w:val="Heading3"/>
      </w:pPr>
      <w:r>
        <w:t>8.2 Volumetric flow versus mass flow</w:t>
      </w:r>
    </w:p>
    <w:p>
      <w:r>
        <w:t>Volumetric flow measures volume per unit time. Mass flow measures mass per unit time.</w:t>
      </w:r>
    </w:p>
    <w:p>
      <w:r>
        <w:t>For a fluid with known density:</w:t>
      </w:r>
    </w:p>
    <w:p>
      <w:pPr>
        <w:spacing w:before="120" w:after="160"/>
        <w:jc w:val="center"/>
      </w:pPr>
      <m:oMathPara>
        <m:oMath>
          <m:limUpp>
            <m:e>
              <m:r>
                <m:t>m</m:t>
              </m:r>
            </m:e>
            <m:lim>
              <m:r>
                <m:t>˙</m:t>
              </m:r>
            </m:lim>
          </m:limUpp>
          <m:r>
            <m:t>=ρQ</m:t>
          </m:r>
        </m:oMath>
      </m:oMathPara>
    </w:p>
    <w:p>
      <w:r>
        <w:t>Where:</w:t>
      </w:r>
    </w:p>
    <w:p>
      <w:pPr>
        <w:pStyle w:val="ListBullet"/>
      </w:pPr>
      <m:oMath>
        <m:limUpp>
          <m:e>
            <m:r>
              <m:t>m</m:t>
            </m:r>
          </m:e>
          <m:lim>
            <m:r>
              <m:t>˙</m:t>
            </m:r>
          </m:lim>
        </m:limUpp>
      </m:oMath>
      <w:r>
        <w:t xml:space="preserve"> is mass flow.</w:t>
      </w:r>
    </w:p>
    <w:p>
      <w:pPr>
        <w:pStyle w:val="ListBullet"/>
      </w:pPr>
      <m:oMath>
        <m:r>
          <m:t>ρ</m:t>
        </m:r>
      </m:oMath>
      <w:r>
        <w:t xml:space="preserve"> is fluid density.</w:t>
      </w:r>
    </w:p>
    <w:p>
      <w:pPr>
        <w:pStyle w:val="ListBullet"/>
      </w:pPr>
      <m:oMath>
        <m:r>
          <m:t>Q</m:t>
        </m:r>
      </m:oMath>
      <w:r>
        <w:t xml:space="preserve"> is volumetric flow.</w:t>
      </w:r>
    </w:p>
    <w:p>
      <w:r>
        <w:t xml:space="preserve">For example, </w:t>
      </w:r>
      <w:r>
        <w:rPr>
          <w:rFonts w:ascii="Consolas" w:hAnsi="Consolas"/>
          <w:color w:val="333333"/>
          <w:sz w:val="19"/>
          <w:shd w:val="clear" w:color="auto" w:fill="EFEFEF"/>
        </w:rPr>
        <w:t>2 m³/h</w:t>
      </w:r>
      <w:r>
        <w:t xml:space="preserve"> of a fluid with a density of </w:t>
      </w:r>
      <w:r>
        <w:rPr>
          <w:rFonts w:ascii="Consolas" w:hAnsi="Consolas"/>
          <w:color w:val="333333"/>
          <w:sz w:val="19"/>
          <w:shd w:val="clear" w:color="auto" w:fill="EFEFEF"/>
        </w:rPr>
        <w:t>1000 kg/m³</w:t>
      </w:r>
      <w:r>
        <w:t xml:space="preserve"> corresponds to:</w:t>
      </w:r>
    </w:p>
    <w:p>
      <w:pPr>
        <w:spacing w:before="120" w:after="160"/>
        <w:jc w:val="center"/>
      </w:pPr>
      <m:oMathPara>
        <m:oMath>
          <m:limUpp>
            <m:e>
              <m:r>
                <m:t>m</m:t>
              </m:r>
            </m:e>
            <m:lim>
              <m:r>
                <m:t>˙</m:t>
              </m:r>
            </m:lim>
          </m:limUpp>
          <m:r>
            <m:t>=1000×2=2000</m:t>
          </m:r>
          <m:r>
            <m:rPr>
              <m:nor/>
            </m:rPr>
            <m:t> kg/h</m:t>
          </m:r>
        </m:oMath>
      </m:oMathPara>
    </w:p>
    <w:p>
      <w:r>
        <w:t>This example assumes the stated density applies under the measurement conditions. For gases, density can vary significantly with pressure and temperature, so the operating conditions and whether the flow is actual or standardized volume must be known.</w:t>
      </w:r>
    </w:p>
    <w:p>
      <w:pPr>
        <w:pStyle w:val="Heading2"/>
      </w:pPr>
      <w:r>
        <w:t>9. Power, energy, and electrical measurements</w:t>
      </w:r>
    </w:p>
    <w:p>
      <w:r>
        <w:t>Power and energy are often confused in PLC programs, energy meters, and production dashboards.</w:t>
      </w:r>
    </w:p>
    <w:p>
      <w:pPr>
        <w:pStyle w:val="ListBullet"/>
      </w:pPr>
      <w:r>
        <w:t>Power is the rate of energy transfer, commonly measured in W or kW.</w:t>
      </w:r>
    </w:p>
    <w:p>
      <w:pPr>
        <w:pStyle w:val="ListBullet"/>
      </w:pPr>
      <w:r>
        <w:t>Energy is accumulated consumption or production, commonly measured in Wh or kWh.</w:t>
      </w:r>
    </w:p>
    <w:p>
      <w:r>
        <w:t xml:space="preserve">For example, a machine operating at a constant power of </w:t>
      </w:r>
      <w:r>
        <w:rPr>
          <w:rFonts w:ascii="Consolas" w:hAnsi="Consolas"/>
          <w:color w:val="333333"/>
          <w:sz w:val="19"/>
          <w:shd w:val="clear" w:color="auto" w:fill="EFEFEF"/>
        </w:rPr>
        <w:t>10 kW</w:t>
      </w:r>
      <w:r>
        <w:t xml:space="preserve"> for </w:t>
      </w:r>
      <w:r>
        <w:rPr>
          <w:rFonts w:ascii="Consolas" w:hAnsi="Consolas"/>
          <w:color w:val="333333"/>
          <w:sz w:val="19"/>
          <w:shd w:val="clear" w:color="auto" w:fill="EFEFEF"/>
        </w:rPr>
        <w:t>3 hours</w:t>
      </w:r>
      <w:r>
        <w:t xml:space="preserve"> consumes:</w:t>
      </w:r>
    </w:p>
    <w:p>
      <w:pPr>
        <w:spacing w:before="120" w:after="160"/>
        <w:jc w:val="center"/>
      </w:pPr>
      <m:oMathPara>
        <m:oMath>
          <m:r>
            <m:t>E=P×t</m:t>
          </m:r>
        </m:oMath>
      </m:oMathPara>
    </w:p>
    <w:p>
      <w:pPr>
        <w:spacing w:before="120" w:after="160"/>
        <w:jc w:val="center"/>
      </w:pPr>
      <m:oMathPara>
        <m:oMath>
          <m:r>
            <m:t>E=10</m:t>
          </m:r>
          <m:r>
            <m:rPr>
              <m:nor/>
            </m:rPr>
            <m:t> kW</m:t>
          </m:r>
          <m:r>
            <m:t>×3</m:t>
          </m:r>
          <m:r>
            <m:rPr>
              <m:nor/>
            </m:rPr>
            <m:t> h</m:t>
          </m:r>
          <m:r>
            <m:t>=30</m:t>
          </m:r>
          <m:r>
            <m:rPr>
              <m:nor/>
            </m:rPr>
            <m:t> kWh</m:t>
          </m:r>
        </m:oMath>
      </m:oMathPara>
    </w:p>
    <w:p>
      <w:r>
        <w:t>This calculation assumes constant power over the three-hour interval.</w:t>
      </w:r>
    </w:p>
    <w:p>
      <w:r>
        <w:t xml:space="preserve">A power value of </w:t>
      </w:r>
      <w:r>
        <w:rPr>
          <w:rFonts w:ascii="Consolas" w:hAnsi="Consolas"/>
          <w:color w:val="333333"/>
          <w:sz w:val="19"/>
          <w:shd w:val="clear" w:color="auto" w:fill="EFEFEF"/>
        </w:rPr>
        <w:t>30 kW</w:t>
      </w:r>
      <w:r>
        <w:t xml:space="preserve"> is not the same as an energy total of </w:t>
      </w:r>
      <w:r>
        <w:rPr>
          <w:rFonts w:ascii="Consolas" w:hAnsi="Consolas"/>
          <w:color w:val="333333"/>
          <w:sz w:val="19"/>
          <w:shd w:val="clear" w:color="auto" w:fill="EFEFEF"/>
        </w:rPr>
        <w:t>30 kWh</w:t>
      </w:r>
      <w:r>
        <w:t>. They have different dimensions and cannot be converted by a simple unit label change.</w:t>
      </w:r>
    </w:p>
    <w:p>
      <w:r>
        <w:t>In energy-meter integration, confirm whether the register represents instantaneous power, accumulated energy, demand, or another quantity. Also verify the scaling factor and whether the device reports W, kW, Wh, or kWh.</w:t>
      </w:r>
    </w:p>
    <w:p>
      <w:pPr>
        <w:pStyle w:val="Heading2"/>
      </w:pPr>
      <w:r>
        <w:t>10. Dimensional analysis and validation</w:t>
      </w:r>
    </w:p>
    <w:p>
      <w:r>
        <w:t>Dimensional analysis checks that the units in a calculation are compatible and that the resulting unit is correct.</w:t>
      </w:r>
    </w:p>
    <w:p>
      <w:r>
        <w:t>For example:</w:t>
      </w:r>
    </w:p>
    <w:p>
      <w:pPr>
        <w:spacing w:before="120" w:after="160"/>
        <w:jc w:val="center"/>
      </w:pPr>
      <m:oMathPara>
        <m:oMath>
          <m:r>
            <m:rPr>
              <m:nor/>
            </m:rPr>
            <m:t>Distance</m:t>
          </m:r>
          <m:r>
            <m:t>=</m:t>
          </m:r>
          <m:r>
            <m:rPr>
              <m:nor/>
            </m:rPr>
            <m:t>Speed</m:t>
          </m:r>
          <m:r>
            <m:t>×</m:t>
          </m:r>
          <m:r>
            <m:rPr>
              <m:nor/>
            </m:rPr>
            <m:t>Time</m:t>
          </m:r>
        </m:oMath>
      </m:oMathPara>
    </w:p>
    <w:p>
      <w:r>
        <w:t>If speed is measured in m/s and time in seconds:</w:t>
      </w:r>
    </w:p>
    <w:p>
      <w:pPr>
        <w:spacing w:before="120" w:after="160"/>
        <w:jc w:val="center"/>
      </w:pPr>
      <m:oMathPara>
        <m:oMath>
          <m:f>
            <m:fPr>
              <m:type m:val="bar"/>
            </m:fPr>
            <m:num>
              <m:r>
                <m:rPr>
                  <m:nor/>
                </m:rPr>
                <m:t>m</m:t>
              </m:r>
            </m:num>
            <m:den>
              <m:r>
                <m:rPr>
                  <m:nor/>
                </m:rPr>
                <m:t>s</m:t>
              </m:r>
            </m:den>
          </m:f>
          <m:r>
            <m:t>×</m:t>
          </m:r>
          <m:r>
            <m:rPr>
              <m:nor/>
            </m:rPr>
            <m:t>s</m:t>
          </m:r>
          <m:r>
            <m:t>=</m:t>
          </m:r>
          <m:r>
            <m:rPr>
              <m:nor/>
            </m:rPr>
            <m:t>m</m:t>
          </m:r>
        </m:oMath>
      </m:oMathPara>
    </w:p>
    <w:p>
      <w:r>
        <w:t>The seconds cancel, leaving metres.</w:t>
      </w:r>
    </w:p>
    <w:p>
      <w:r>
        <w:t>Another example is power:</w:t>
      </w:r>
    </w:p>
    <w:p>
      <w:pPr>
        <w:spacing w:before="120" w:after="160"/>
        <w:jc w:val="center"/>
      </w:pPr>
      <m:oMathPara>
        <m:oMath>
          <m:r>
            <m:t>P=V×I</m:t>
          </m:r>
        </m:oMath>
      </m:oMathPara>
    </w:p>
    <w:p>
      <w:r>
        <w:t>For DC electrical power, voltage in volts multiplied by current in amperes gives watts:</w:t>
      </w:r>
    </w:p>
    <w:p>
      <w:pPr>
        <w:spacing w:before="120" w:after="160"/>
        <w:jc w:val="center"/>
      </w:pPr>
      <m:oMathPara>
        <m:oMath>
          <m:r>
            <m:rPr>
              <m:nor/>
            </m:rPr>
            <m:t>V</m:t>
          </m:r>
          <m:r>
            <m:t>×</m:t>
          </m:r>
          <m:r>
            <m:rPr>
              <m:nor/>
            </m:rPr>
            <m:t>A</m:t>
          </m:r>
          <m:r>
            <m:t>=</m:t>
          </m:r>
          <m:r>
            <m:rPr>
              <m:nor/>
            </m:rPr>
            <m:t>W</m:t>
          </m:r>
        </m:oMath>
      </m:oMathPara>
    </w:p>
    <w:p>
      <w:r>
        <w:t>For AC systems, real power calculations may additionally require power factor and, depending on the system, phase relationships. The simple DC relationship should not be applied indiscriminately to all AC measurements.</w:t>
      </w:r>
    </w:p>
    <w:p>
      <w:r>
        <w:t>Dimensional analysis is particularly useful when checking formulas copied between PLC programs, spreadsheets, SCADA expressions, and database queries.</w:t>
      </w:r>
    </w:p>
    <w:p>
      <w:pPr>
        <w:pStyle w:val="Heading2"/>
      </w:pPr>
      <w:r>
        <w:t>11. Unit conversion in PLC, SCADA, and communication gateways</w:t>
      </w:r>
    </w:p>
    <w:p>
      <w:r>
        <w:t>In an industrial data pipeline, unit conversion should happen at a clearly defined layer. If multiple components convert the same value, the result may be converted twice.</w:t>
      </w:r>
    </w:p>
    <w:p>
      <w:pPr>
        <w:shd w:val="clear" w:color="auto" w:fill="F4F4F4"/>
        <w:spacing w:before="0" w:after="0" w:line="240" w:lineRule="auto"/>
        <w:ind w:left="216" w:right="216"/>
        <w:jc w:val="left"/>
      </w:pPr>
      <w:r>
        <w:rPr>
          <w:rFonts w:ascii="Consolas" w:hAnsi="Consolas"/>
          <w:color w:val="202020"/>
          <w:sz w:val="18"/>
        </w:rPr>
        <w:t>Field instrument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communication driver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Raw value and source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Scaling and data validation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Canonical engineering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Optional target-unit conversion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 SCADA / OPC UA / SQL / Grafana</w:t>
      </w:r>
    </w:p>
    <w:p/>
    <w:p>
      <w:r>
        <w:t>A practical design is to define a canonical unit for each measurement inside the system. The HMI can display a different unit if required, while the underlying tag retains a consistent representation.</w:t>
      </w:r>
    </w:p>
    <w:p>
      <w:r>
        <w:t>For example: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System layer</w:t>
            </w:r>
          </w:p>
        </w:tc>
        <w:tc>
          <w:tcPr>
            <w:tcW w:type="dxa" w:w="5400"/>
            <w:shd w:val="clear" w:color="auto" w:fill="EEF2F7"/>
          </w:tcPr>
          <w:p>
            <w:pPr>
              <w:spacing w:after="0" w:before="0" w:line="240" w:lineRule="auto"/>
              <w:jc w:val="left"/>
            </w:pPr>
            <w:r>
              <w:rPr>
                <w:b/>
                <w:color w:val="1A2E4A"/>
              </w:rPr>
              <w:t>Pressure representation</w:t>
            </w:r>
          </w:p>
        </w:tc>
      </w:tr>
      <w:tr>
        <w:tc>
          <w:tcPr>
            <w:tcW w:type="dxa" w:w="5400"/>
          </w:tcPr>
          <w:p>
            <w:pPr>
              <w:spacing w:after="0" w:before="0" w:line="240" w:lineRule="auto"/>
              <w:jc w:val="left"/>
            </w:pPr>
            <w:r>
              <w:t>Instrument</w:t>
            </w:r>
          </w:p>
        </w:tc>
        <w:tc>
          <w:tcPr>
            <w:tcW w:type="dxa" w:w="5400"/>
          </w:tcPr>
          <w:p>
            <w:pPr>
              <w:spacing w:after="0" w:before="0" w:line="240" w:lineRule="auto"/>
              <w:jc w:val="left"/>
            </w:pPr>
            <w:r>
              <w:rPr>
                <w:rFonts w:ascii="Consolas" w:hAnsi="Consolas"/>
                <w:color w:val="333333"/>
                <w:sz w:val="19"/>
                <w:shd w:val="clear" w:color="auto" w:fill="EFEFEF"/>
              </w:rPr>
              <w:t>5 bar</w:t>
            </w:r>
          </w:p>
        </w:tc>
      </w:tr>
      <w:tr>
        <w:tc>
          <w:tcPr>
            <w:tcW w:type="dxa" w:w="5400"/>
          </w:tcPr>
          <w:p>
            <w:pPr>
              <w:spacing w:after="0" w:before="0" w:line="240" w:lineRule="auto"/>
              <w:jc w:val="left"/>
            </w:pPr>
            <w:r>
              <w:t>PLC internal tag</w:t>
            </w:r>
          </w:p>
        </w:tc>
        <w:tc>
          <w:tcPr>
            <w:tcW w:type="dxa" w:w="5400"/>
          </w:tcPr>
          <w:p>
            <w:pPr>
              <w:spacing w:after="0" w:before="0" w:line="240" w:lineRule="auto"/>
              <w:jc w:val="left"/>
            </w:pPr>
            <w:r>
              <w:rPr>
                <w:rFonts w:ascii="Consolas" w:hAnsi="Consolas"/>
                <w:color w:val="333333"/>
                <w:sz w:val="19"/>
                <w:shd w:val="clear" w:color="auto" w:fill="EFEFEF"/>
              </w:rPr>
              <w:t>500 kPa</w:t>
            </w:r>
          </w:p>
        </w:tc>
      </w:tr>
      <w:tr>
        <w:tc>
          <w:tcPr>
            <w:tcW w:type="dxa" w:w="5400"/>
          </w:tcPr>
          <w:p>
            <w:pPr>
              <w:spacing w:after="0" w:before="0" w:line="240" w:lineRule="auto"/>
              <w:jc w:val="left"/>
            </w:pPr>
            <w:r>
              <w:t>SCADA display</w:t>
            </w:r>
          </w:p>
        </w:tc>
        <w:tc>
          <w:tcPr>
            <w:tcW w:type="dxa" w:w="5400"/>
          </w:tcPr>
          <w:p>
            <w:pPr>
              <w:spacing w:after="0" w:before="0" w:line="240" w:lineRule="auto"/>
              <w:jc w:val="left"/>
            </w:pPr>
            <w:r>
              <w:rPr>
                <w:rFonts w:ascii="Consolas" w:hAnsi="Consolas"/>
                <w:color w:val="333333"/>
                <w:sz w:val="19"/>
                <w:shd w:val="clear" w:color="auto" w:fill="EFEFEF"/>
              </w:rPr>
              <w:t>5 bar</w:t>
            </w:r>
          </w:p>
        </w:tc>
      </w:tr>
      <w:tr>
        <w:tc>
          <w:tcPr>
            <w:tcW w:type="dxa" w:w="5400"/>
          </w:tcPr>
          <w:p>
            <w:pPr>
              <w:spacing w:after="0" w:before="0" w:line="240" w:lineRule="auto"/>
              <w:jc w:val="left"/>
            </w:pPr>
            <w:r>
              <w:t>SQL historian</w:t>
            </w:r>
          </w:p>
        </w:tc>
        <w:tc>
          <w:tcPr>
            <w:tcW w:type="dxa" w:w="5400"/>
          </w:tcPr>
          <w:p>
            <w:pPr>
              <w:spacing w:after="0" w:before="0" w:line="240" w:lineRule="auto"/>
              <w:jc w:val="left"/>
            </w:pPr>
            <w:r>
              <w:rPr>
                <w:rFonts w:ascii="Consolas" w:hAnsi="Consolas"/>
                <w:color w:val="333333"/>
                <w:sz w:val="19"/>
                <w:shd w:val="clear" w:color="auto" w:fill="EFEFEF"/>
              </w:rPr>
              <w:t>500 kPa</w:t>
            </w:r>
          </w:p>
        </w:tc>
      </w:tr>
      <w:tr>
        <w:tc>
          <w:tcPr>
            <w:tcW w:type="dxa" w:w="5400"/>
          </w:tcPr>
          <w:p>
            <w:pPr>
              <w:spacing w:after="0" w:before="0" w:line="240" w:lineRule="auto"/>
              <w:jc w:val="left"/>
            </w:pPr>
            <w:r>
              <w:t>Maintenance report</w:t>
            </w:r>
          </w:p>
        </w:tc>
        <w:tc>
          <w:tcPr>
            <w:tcW w:type="dxa" w:w="5400"/>
          </w:tcPr>
          <w:p>
            <w:pPr>
              <w:spacing w:after="0" w:before="0" w:line="240" w:lineRule="auto"/>
              <w:jc w:val="left"/>
            </w:pPr>
            <w:r>
              <w:rPr>
                <w:rFonts w:ascii="Consolas" w:hAnsi="Consolas"/>
                <w:color w:val="333333"/>
                <w:sz w:val="19"/>
                <w:shd w:val="clear" w:color="auto" w:fill="EFEFEF"/>
              </w:rPr>
              <w:t>0.5 MPa</w:t>
            </w:r>
          </w:p>
        </w:tc>
      </w:tr>
    </w:tbl>
    <w:p/>
    <w:p>
      <w:r>
        <w:t>All of these values represent the same pressure. The system must clearly record which unit is used at each layer.</w:t>
      </w:r>
    </w:p>
    <w:p>
      <w:pPr>
        <w:pStyle w:val="Heading3"/>
      </w:pPr>
      <w:r>
        <w:t>11.1 Tag naming and metadata</w:t>
      </w:r>
    </w:p>
    <w:p>
      <w:r>
        <w:t>A tag name should not be the only place where the unit is recorded. Maintain the unit in tag metadata, engineering documentation, or a controlled data dictionary.</w:t>
      </w:r>
    </w:p>
    <w:p>
      <w:r>
        <w:t>Example:</w:t>
      </w:r>
    </w:p>
    <w:p>
      <w:pPr>
        <w:shd w:val="clear" w:color="auto" w:fill="F4F4F4"/>
        <w:spacing w:before="0" w:after="0" w:line="240" w:lineRule="auto"/>
        <w:ind w:left="216" w:right="216"/>
        <w:jc w:val="left"/>
      </w:pPr>
      <w:r>
        <w:rPr>
          <w:rFonts w:ascii="Consolas" w:hAnsi="Consolas"/>
          <w:color w:val="202020"/>
          <w:sz w:val="18"/>
        </w:rPr>
        <w:t>Tag:          HYD_PRESSURE</w:t>
      </w:r>
    </w:p>
    <w:p>
      <w:pPr>
        <w:shd w:val="clear" w:color="auto" w:fill="F4F4F4"/>
        <w:spacing w:before="0" w:after="0" w:line="240" w:lineRule="auto"/>
        <w:ind w:left="216" w:right="216"/>
        <w:jc w:val="left"/>
      </w:pPr>
      <w:r>
        <w:rPr>
          <w:rFonts w:ascii="Consolas" w:hAnsi="Consolas"/>
          <w:color w:val="202020"/>
          <w:sz w:val="18"/>
        </w:rPr>
        <w:t>Data type:    REAL</w:t>
      </w:r>
    </w:p>
    <w:p>
      <w:pPr>
        <w:shd w:val="clear" w:color="auto" w:fill="F4F4F4"/>
        <w:spacing w:before="0" w:after="0" w:line="240" w:lineRule="auto"/>
        <w:ind w:left="216" w:right="216"/>
        <w:jc w:val="left"/>
      </w:pPr>
      <w:r>
        <w:rPr>
          <w:rFonts w:ascii="Consolas" w:hAnsi="Consolas"/>
          <w:color w:val="202020"/>
          <w:sz w:val="18"/>
        </w:rPr>
        <w:t>Value:        500.0</w:t>
      </w:r>
    </w:p>
    <w:p>
      <w:pPr>
        <w:shd w:val="clear" w:color="auto" w:fill="F4F4F4"/>
        <w:spacing w:before="0" w:after="0" w:line="240" w:lineRule="auto"/>
        <w:ind w:left="216" w:right="216"/>
        <w:jc w:val="left"/>
      </w:pPr>
      <w:r>
        <w:rPr>
          <w:rFonts w:ascii="Consolas" w:hAnsi="Consolas"/>
          <w:color w:val="202020"/>
          <w:sz w:val="18"/>
        </w:rPr>
        <w:t>Unit:         kPa</w:t>
      </w:r>
    </w:p>
    <w:p>
      <w:pPr>
        <w:shd w:val="clear" w:color="auto" w:fill="F4F4F4"/>
        <w:spacing w:before="0" w:after="0" w:line="240" w:lineRule="auto"/>
        <w:ind w:left="216" w:right="216"/>
        <w:jc w:val="left"/>
      </w:pPr>
      <w:r>
        <w:rPr>
          <w:rFonts w:ascii="Consolas" w:hAnsi="Consolas"/>
          <w:color w:val="202020"/>
          <w:sz w:val="18"/>
        </w:rPr>
        <w:t>Source unit:  bar</w:t>
      </w:r>
    </w:p>
    <w:p>
      <w:pPr>
        <w:shd w:val="clear" w:color="auto" w:fill="F4F4F4"/>
        <w:spacing w:before="0" w:after="0" w:line="240" w:lineRule="auto"/>
        <w:ind w:left="216" w:right="216"/>
        <w:jc w:val="left"/>
      </w:pPr>
      <w:r>
        <w:rPr>
          <w:rFonts w:ascii="Consolas" w:hAnsi="Consolas"/>
          <w:color w:val="202020"/>
          <w:sz w:val="18"/>
        </w:rPr>
        <w:t>Conversion:   bar × 100</w:t>
      </w:r>
    </w:p>
    <w:p>
      <w:pPr>
        <w:shd w:val="clear" w:color="auto" w:fill="F4F4F4"/>
        <w:spacing w:before="0" w:after="0" w:line="240" w:lineRule="auto"/>
        <w:ind w:left="216" w:right="216"/>
        <w:jc w:val="left"/>
      </w:pPr>
      <w:r>
        <w:rPr>
          <w:rFonts w:ascii="Consolas" w:hAnsi="Consolas"/>
          <w:color w:val="202020"/>
          <w:sz w:val="18"/>
        </w:rPr>
        <w:t>Quality:      Good</w:t>
      </w:r>
    </w:p>
    <w:p/>
    <w:p>
      <w:r>
        <w:t>This example assumes the source value has already been correctly acquired and scaled. The actual metadata structure depends on the PLC, SCADA, or data platform.</w:t>
      </w:r>
    </w:p>
    <w:p>
      <w:pPr>
        <w:pStyle w:val="Heading3"/>
      </w:pPr>
      <w:r>
        <w:t>11.2 OPC UA and database integration</w:t>
      </w:r>
    </w:p>
    <w:p>
      <w:r>
        <w:t>OPC UA information models can carry engineering units as metadata for supported data types. Where that metadata is available, preserve it through the integration path rather than stripping the unit and relying on a human to remember it.</w:t>
      </w:r>
    </w:p>
    <w:p>
      <w:r>
        <w:t xml:space="preserve">In SQL Server, a numeric column usually stores a number, not the full meaning of that number. A value of </w:t>
      </w:r>
      <w:r>
        <w:rPr>
          <w:rFonts w:ascii="Consolas" w:hAnsi="Consolas"/>
          <w:color w:val="333333"/>
          <w:sz w:val="19"/>
          <w:shd w:val="clear" w:color="auto" w:fill="EFEFEF"/>
        </w:rPr>
        <w:t>500</w:t>
      </w:r>
      <w:r>
        <w:t xml:space="preserve"> could mean </w:t>
      </w:r>
      <w:r>
        <w:rPr>
          <w:rFonts w:ascii="Consolas" w:hAnsi="Consolas"/>
          <w:color w:val="333333"/>
          <w:sz w:val="19"/>
          <w:shd w:val="clear" w:color="auto" w:fill="EFEFEF"/>
        </w:rPr>
        <w:t>500 kPa</w:t>
      </w:r>
      <w:r>
        <w:t xml:space="preserve">, </w:t>
      </w:r>
      <w:r>
        <w:rPr>
          <w:rFonts w:ascii="Consolas" w:hAnsi="Consolas"/>
          <w:color w:val="333333"/>
          <w:sz w:val="19"/>
          <w:shd w:val="clear" w:color="auto" w:fill="EFEFEF"/>
        </w:rPr>
        <w:t>500 bar</w:t>
      </w:r>
      <w:r>
        <w:t>, or something unrelated. The schema or tag metadata must establish its meaning.</w:t>
      </w:r>
    </w:p>
    <w:p>
      <w:r>
        <w:t>For historian and dashboard systems:</w:t>
      </w:r>
    </w:p>
    <w:p>
      <w:pPr>
        <w:pStyle w:val="ListBullet"/>
      </w:pPr>
      <w:r>
        <w:t>Use consistent units for comparable measurements.</w:t>
      </w:r>
    </w:p>
    <w:p>
      <w:pPr>
        <w:pStyle w:val="ListBullet"/>
      </w:pPr>
      <w:r>
        <w:t>Store or associate units with the tag definition.</w:t>
      </w:r>
    </w:p>
    <w:p>
      <w:pPr>
        <w:pStyle w:val="ListBullet"/>
      </w:pPr>
      <w:r>
        <w:t>Record timestamps and quality status separately from the numerical value.</w:t>
      </w:r>
    </w:p>
    <w:p>
      <w:pPr>
        <w:pStyle w:val="ListBullet"/>
      </w:pPr>
      <w:r>
        <w:t>Avoid silently changing the unit definition of historical tags.</w:t>
      </w:r>
    </w:p>
    <w:p>
      <w:pPr>
        <w:pStyle w:val="ListBullet"/>
      </w:pPr>
      <w:r>
        <w:t>Document conversions applied by gateways, drivers, and application code.</w:t>
      </w:r>
    </w:p>
    <w:p>
      <w:pPr>
        <w:pStyle w:val="Heading2"/>
      </w:pPr>
      <w:r>
        <w:t>12. Precision, rounding, and numerical limits</w:t>
      </w:r>
    </w:p>
    <w:p>
      <w:r>
        <w:t>Unit conversion can introduce rounding because a destination data type may not represent every converted value exactly.</w:t>
      </w:r>
    </w:p>
    <w:p>
      <w:r>
        <w:t xml:space="preserve">For example, converting </w:t>
      </w:r>
      <w:r>
        <w:rPr>
          <w:rFonts w:ascii="Consolas" w:hAnsi="Consolas"/>
          <w:color w:val="333333"/>
          <w:sz w:val="19"/>
          <w:shd w:val="clear" w:color="auto" w:fill="EFEFEF"/>
        </w:rPr>
        <w:t>1 psi</w:t>
      </w:r>
      <w:r>
        <w:t xml:space="preserve"> to kPa gives approximately:</w:t>
      </w:r>
    </w:p>
    <w:p>
      <w:pPr>
        <w:spacing w:before="120" w:after="160"/>
        <w:jc w:val="center"/>
      </w:pPr>
      <m:oMathPara>
        <m:oMath>
          <m:r>
            <m:t>1</m:t>
          </m:r>
          <m:r>
            <m:rPr>
              <m:nor/>
            </m:rPr>
            <m:t> psi</m:t>
          </m:r>
          <m:r>
            <m:t>≈6.89476</m:t>
          </m:r>
          <m:r>
            <m:rPr>
              <m:nor/>
            </m:rPr>
            <m:t> kPa</m:t>
          </m:r>
        </m:oMath>
      </m:oMathPara>
    </w:p>
    <w:p>
      <w:r>
        <w:t xml:space="preserve">A system that stores only one decimal place may display </w:t>
      </w:r>
      <w:r>
        <w:rPr>
          <w:rFonts w:ascii="Consolas" w:hAnsi="Consolas"/>
          <w:color w:val="333333"/>
          <w:sz w:val="19"/>
          <w:shd w:val="clear" w:color="auto" w:fill="EFEFEF"/>
        </w:rPr>
        <w:t>6.9 kPa</w:t>
      </w:r>
      <w:r>
        <w:t xml:space="preserve">. A system storing more precision may retain </w:t>
      </w:r>
      <w:r>
        <w:rPr>
          <w:rFonts w:ascii="Consolas" w:hAnsi="Consolas"/>
          <w:color w:val="333333"/>
          <w:sz w:val="19"/>
          <w:shd w:val="clear" w:color="auto" w:fill="EFEFEF"/>
        </w:rPr>
        <w:t>6.89476 kPa</w:t>
      </w:r>
      <w:r>
        <w:t>.</w:t>
      </w:r>
    </w:p>
    <w:p>
      <w:r>
        <w:t>Both can be reasonable, depending on the instrument's accuracy, the application's needs, and the reporting standard.</w:t>
      </w:r>
    </w:p>
    <w:p>
      <w:pPr>
        <w:pStyle w:val="Heading3"/>
      </w:pPr>
      <w:r>
        <w:t>12.1 Avoid unnecessary rounding</w:t>
      </w:r>
    </w:p>
    <w:p>
      <w:pPr>
        <w:pStyle w:val="ListBullet"/>
      </w:pPr>
      <w:r>
        <w:t>Preserve sufficient internal precision for calculations.</w:t>
      </w:r>
    </w:p>
    <w:p>
      <w:pPr>
        <w:pStyle w:val="ListBullet"/>
      </w:pPr>
      <w:r>
        <w:t>Round at the display or reporting layer when appropriate.</w:t>
      </w:r>
    </w:p>
    <w:p>
      <w:pPr>
        <w:pStyle w:val="ListBullet"/>
      </w:pPr>
      <w:r>
        <w:t>Follow the instrument's documented resolution and accuracy.</w:t>
      </w:r>
    </w:p>
    <w:p>
      <w:pPr>
        <w:pStyle w:val="ListBullet"/>
      </w:pPr>
      <w:r>
        <w:t>Avoid repeated conversion between units if each conversion also rounds the value.</w:t>
      </w:r>
    </w:p>
    <w:p>
      <w:pPr>
        <w:pStyle w:val="ListBullet"/>
      </w:pPr>
      <w:r>
        <w:t>Use suitable numeric data types for large counters, small increments, and high-resolution measurements.</w:t>
      </w:r>
    </w:p>
    <w:p>
      <w:r>
        <w:t>A display with many decimal places does not guarantee measurement accuracy. Conversely, a display with fewer decimals does not necessarily mean the internal value has lost precision.</w:t>
      </w:r>
    </w:p>
    <w:p>
      <w:pPr>
        <w:pStyle w:val="Heading3"/>
      </w:pPr>
      <w:r>
        <w:t>12.2 Integer and floating-point conversion</w:t>
      </w:r>
    </w:p>
    <w:p>
      <w:r>
        <w:t>If an integer value is converted into another unit, determine whether the result may contain fractions.</w:t>
      </w:r>
    </w:p>
    <w:p>
      <w:r>
        <w:t xml:space="preserve">For example, converting </w:t>
      </w:r>
      <w:r>
        <w:rPr>
          <w:rFonts w:ascii="Consolas" w:hAnsi="Consolas"/>
          <w:color w:val="333333"/>
          <w:sz w:val="19"/>
          <w:shd w:val="clear" w:color="auto" w:fill="EFEFEF"/>
        </w:rPr>
        <w:t>1 rpm</w:t>
      </w:r>
      <w:r>
        <w:t xml:space="preserve"> to revolutions per second gives:</w:t>
      </w:r>
    </w:p>
    <w:p>
      <w:pPr>
        <w:spacing w:before="120" w:after="160"/>
        <w:jc w:val="center"/>
      </w:pPr>
      <m:oMathPara>
        <m:oMath>
          <m:f>
            <m:fPr>
              <m:type m:val="bar"/>
            </m:fPr>
            <m:num>
              <m:r>
                <m:t>1</m:t>
              </m:r>
            </m:num>
            <m:den>
              <m:r>
                <m:t>60</m:t>
              </m:r>
            </m:den>
          </m:f>
          <m:r>
            <m:t>≈0.01667</m:t>
          </m:r>
          <m:r>
            <m:rPr>
              <m:nor/>
            </m:rPr>
            <m:t> rev/s</m:t>
          </m:r>
        </m:oMath>
      </m:oMathPara>
    </w:p>
    <w:p>
      <w:r>
        <w:t>An integer destination cannot represent this fractional result. Use an appropriate floating-point or scaled-integer representation, depending on the system requirements.</w:t>
      </w:r>
    </w:p>
    <w:p>
      <w:pPr>
        <w:pStyle w:val="Heading2"/>
      </w:pPr>
      <w:r>
        <w:t>13. Common engineering-unit conversion faults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Verification</w:t>
            </w:r>
          </w:p>
        </w:tc>
      </w:tr>
      <w:tr>
        <w:tc>
          <w:tcPr>
            <w:tcW w:type="dxa" w:w="3600"/>
          </w:tcPr>
          <w:p>
            <w:pPr>
              <w:spacing w:after="0" w:before="0" w:line="240" w:lineRule="auto"/>
              <w:jc w:val="left"/>
            </w:pPr>
            <w:r>
              <w:t>Value is wrong by a factor of 10 or 1000</w:t>
            </w:r>
          </w:p>
        </w:tc>
        <w:tc>
          <w:tcPr>
            <w:tcW w:type="dxa" w:w="3600"/>
          </w:tcPr>
          <w:p>
            <w:pPr>
              <w:spacing w:after="0" w:before="0" w:line="240" w:lineRule="auto"/>
              <w:jc w:val="left"/>
            </w:pPr>
            <w:r>
              <w:t>Incorrect conversion factor</w:t>
            </w:r>
          </w:p>
        </w:tc>
        <w:tc>
          <w:tcPr>
            <w:tcW w:type="dxa" w:w="3600"/>
          </w:tcPr>
          <w:p>
            <w:pPr>
              <w:spacing w:after="0" w:before="0" w:line="240" w:lineRule="auto"/>
              <w:jc w:val="left"/>
            </w:pPr>
            <w:r>
              <w:t>Check source and target units</w:t>
            </w:r>
          </w:p>
        </w:tc>
      </w:tr>
      <w:tr>
        <w:tc>
          <w:tcPr>
            <w:tcW w:type="dxa" w:w="3600"/>
          </w:tcPr>
          <w:p>
            <w:pPr>
              <w:spacing w:after="0" w:before="0" w:line="240" w:lineRule="auto"/>
              <w:jc w:val="left"/>
            </w:pPr>
            <w:r>
              <w:t>Temperature has a consistent offset</w:t>
            </w:r>
          </w:p>
        </w:tc>
        <w:tc>
          <w:tcPr>
            <w:tcW w:type="dxa" w:w="3600"/>
          </w:tcPr>
          <w:p>
            <w:pPr>
              <w:spacing w:after="0" w:before="0" w:line="240" w:lineRule="auto"/>
              <w:jc w:val="left"/>
            </w:pPr>
            <w:r>
              <w:t>Celsius/Fahrenheit formula applied incorrectly</w:t>
            </w:r>
          </w:p>
        </w:tc>
        <w:tc>
          <w:tcPr>
            <w:tcW w:type="dxa" w:w="3600"/>
          </w:tcPr>
          <w:p>
            <w:pPr>
              <w:spacing w:after="0" w:before="0" w:line="240" w:lineRule="auto"/>
              <w:jc w:val="left"/>
            </w:pPr>
            <w:r>
              <w:t>Verify multiplier and offset</w:t>
            </w:r>
          </w:p>
        </w:tc>
      </w:tr>
      <w:tr>
        <w:tc>
          <w:tcPr>
            <w:tcW w:type="dxa" w:w="3600"/>
          </w:tcPr>
          <w:p>
            <w:pPr>
              <w:spacing w:after="0" w:before="0" w:line="240" w:lineRule="auto"/>
              <w:jc w:val="left"/>
            </w:pPr>
            <w:r>
              <w:t>Pressure appears correct locally but wrong in SCADA</w:t>
            </w:r>
          </w:p>
        </w:tc>
        <w:tc>
          <w:tcPr>
            <w:tcW w:type="dxa" w:w="3600"/>
          </w:tcPr>
          <w:p>
            <w:pPr>
              <w:spacing w:after="0" w:before="0" w:line="240" w:lineRule="auto"/>
              <w:jc w:val="left"/>
            </w:pPr>
            <w:r>
              <w:t>Unit conversion missing or duplicated</w:t>
            </w:r>
          </w:p>
        </w:tc>
        <w:tc>
          <w:tcPr>
            <w:tcW w:type="dxa" w:w="3600"/>
          </w:tcPr>
          <w:p>
            <w:pPr>
              <w:spacing w:after="0" w:before="0" w:line="240" w:lineRule="auto"/>
              <w:jc w:val="left"/>
            </w:pPr>
            <w:r>
              <w:t>Compare values at each system boundary</w:t>
            </w:r>
          </w:p>
        </w:tc>
      </w:tr>
      <w:tr>
        <w:tc>
          <w:tcPr>
            <w:tcW w:type="dxa" w:w="3600"/>
          </w:tcPr>
          <w:p>
            <w:pPr>
              <w:spacing w:after="0" w:before="0" w:line="240" w:lineRule="auto"/>
              <w:jc w:val="left"/>
            </w:pPr>
            <w:r>
              <w:t>Dashboard mixes bar and kPa</w:t>
            </w:r>
          </w:p>
        </w:tc>
        <w:tc>
          <w:tcPr>
            <w:tcW w:type="dxa" w:w="3600"/>
          </w:tcPr>
          <w:p>
            <w:pPr>
              <w:spacing w:after="0" w:before="0" w:line="240" w:lineRule="auto"/>
              <w:jc w:val="left"/>
            </w:pPr>
            <w:r>
              <w:t>Inconsistent canonical units or missing metadata</w:t>
            </w:r>
          </w:p>
        </w:tc>
        <w:tc>
          <w:tcPr>
            <w:tcW w:type="dxa" w:w="3600"/>
          </w:tcPr>
          <w:p>
            <w:pPr>
              <w:spacing w:after="0" w:before="0" w:line="240" w:lineRule="auto"/>
              <w:jc w:val="left"/>
            </w:pPr>
            <w:r>
              <w:t>Audit tag definitions and dashboard queries</w:t>
            </w:r>
          </w:p>
        </w:tc>
      </w:tr>
      <w:tr>
        <w:tc>
          <w:tcPr>
            <w:tcW w:type="dxa" w:w="3600"/>
          </w:tcPr>
          <w:p>
            <w:pPr>
              <w:spacing w:after="0" w:before="0" w:line="240" w:lineRule="auto"/>
              <w:jc w:val="left"/>
            </w:pPr>
            <w:r>
              <w:t>Energy total grows incorrectly</w:t>
            </w:r>
          </w:p>
        </w:tc>
        <w:tc>
          <w:tcPr>
            <w:tcW w:type="dxa" w:w="3600"/>
          </w:tcPr>
          <w:p>
            <w:pPr>
              <w:spacing w:after="0" w:before="0" w:line="240" w:lineRule="auto"/>
              <w:jc w:val="left"/>
            </w:pPr>
            <w:r>
              <w:t>Confusion between power and accumulated energy</w:t>
            </w:r>
          </w:p>
        </w:tc>
        <w:tc>
          <w:tcPr>
            <w:tcW w:type="dxa" w:w="3600"/>
          </w:tcPr>
          <w:p>
            <w:pPr>
              <w:spacing w:after="0" w:before="0" w:line="240" w:lineRule="auto"/>
              <w:jc w:val="left"/>
            </w:pPr>
            <w:r>
              <w:t>Check the parameter's physical meaning and unit</w:t>
            </w:r>
          </w:p>
        </w:tc>
      </w:tr>
      <w:tr>
        <w:tc>
          <w:tcPr>
            <w:tcW w:type="dxa" w:w="3600"/>
          </w:tcPr>
          <w:p>
            <w:pPr>
              <w:spacing w:after="0" w:before="0" w:line="240" w:lineRule="auto"/>
              <w:jc w:val="left"/>
            </w:pPr>
            <w:r>
              <w:t>Motor rpm does not match VFD frequency</w:t>
            </w:r>
          </w:p>
        </w:tc>
        <w:tc>
          <w:tcPr>
            <w:tcW w:type="dxa" w:w="3600"/>
          </w:tcPr>
          <w:p>
            <w:pPr>
              <w:spacing w:after="0" w:before="0" w:line="240" w:lineRule="auto"/>
              <w:jc w:val="left"/>
            </w:pPr>
            <w:r>
              <w:t>Pole count, slip, or gearbox ratio ignored</w:t>
            </w:r>
          </w:p>
        </w:tc>
        <w:tc>
          <w:tcPr>
            <w:tcW w:type="dxa" w:w="3600"/>
          </w:tcPr>
          <w:p>
            <w:pPr>
              <w:spacing w:after="0" w:before="0" w:line="240" w:lineRule="auto"/>
              <w:jc w:val="left"/>
            </w:pPr>
            <w:r>
              <w:t>Verify motor and transmission characteristics</w:t>
            </w:r>
          </w:p>
        </w:tc>
      </w:tr>
      <w:tr>
        <w:tc>
          <w:tcPr>
            <w:tcW w:type="dxa" w:w="3600"/>
          </w:tcPr>
          <w:p>
            <w:pPr>
              <w:spacing w:after="0" w:before="0" w:line="240" w:lineRule="auto"/>
              <w:jc w:val="left"/>
            </w:pPr>
            <w:r>
              <w:t>Flow conversion is inconsistent</w:t>
            </w:r>
          </w:p>
        </w:tc>
        <w:tc>
          <w:tcPr>
            <w:tcW w:type="dxa" w:w="3600"/>
          </w:tcPr>
          <w:p>
            <w:pPr>
              <w:spacing w:after="0" w:before="0" w:line="240" w:lineRule="auto"/>
              <w:jc w:val="left"/>
            </w:pPr>
            <w:r>
              <w:t>L/min, m³/h, mass flow, or standard-volume conventions confused</w:t>
            </w:r>
          </w:p>
        </w:tc>
        <w:tc>
          <w:tcPr>
            <w:tcW w:type="dxa" w:w="3600"/>
          </w:tcPr>
          <w:p>
            <w:pPr>
              <w:spacing w:after="0" w:before="0" w:line="240" w:lineRule="auto"/>
              <w:jc w:val="left"/>
            </w:pPr>
            <w:r>
              <w:t>Verify quantity type, units, density, and reference conditions</w:t>
            </w:r>
          </w:p>
        </w:tc>
      </w:tr>
      <w:tr>
        <w:tc>
          <w:tcPr>
            <w:tcW w:type="dxa" w:w="3600"/>
          </w:tcPr>
          <w:p>
            <w:pPr>
              <w:spacing w:after="0" w:before="0" w:line="240" w:lineRule="auto"/>
              <w:jc w:val="left"/>
            </w:pPr>
            <w:r>
              <w:t>Small differences appear after conversion</w:t>
            </w:r>
          </w:p>
        </w:tc>
        <w:tc>
          <w:tcPr>
            <w:tcW w:type="dxa" w:w="3600"/>
          </w:tcPr>
          <w:p>
            <w:pPr>
              <w:spacing w:after="0" w:before="0" w:line="240" w:lineRule="auto"/>
              <w:jc w:val="left"/>
            </w:pPr>
            <w:r>
              <w:t>Rounding or data-type limitations</w:t>
            </w:r>
          </w:p>
        </w:tc>
        <w:tc>
          <w:tcPr>
            <w:tcW w:type="dxa" w:w="3600"/>
          </w:tcPr>
          <w:p>
            <w:pPr>
              <w:spacing w:after="0" w:before="0" w:line="240" w:lineRule="auto"/>
              <w:jc w:val="left"/>
            </w:pPr>
            <w:r>
              <w:t>Compare internal precision and display formatting</w:t>
            </w:r>
          </w:p>
        </w:tc>
      </w:tr>
      <w:tr>
        <w:tc>
          <w:tcPr>
            <w:tcW w:type="dxa" w:w="3600"/>
          </w:tcPr>
          <w:p>
            <w:pPr>
              <w:spacing w:after="0" w:before="0" w:line="240" w:lineRule="auto"/>
              <w:jc w:val="left"/>
            </w:pPr>
            <w:r>
              <w:t>Negative or implausible value appears</w:t>
            </w:r>
          </w:p>
        </w:tc>
        <w:tc>
          <w:tcPr>
            <w:tcW w:type="dxa" w:w="3600"/>
          </w:tcPr>
          <w:p>
            <w:pPr>
              <w:spacing w:after="0" w:before="0" w:line="240" w:lineRule="auto"/>
              <w:jc w:val="left"/>
            </w:pPr>
            <w:r>
              <w:t>Upstream data type, byte order, scaling, or source quality problem</w:t>
            </w:r>
          </w:p>
        </w:tc>
        <w:tc>
          <w:tcPr>
            <w:tcW w:type="dxa" w:w="3600"/>
          </w:tcPr>
          <w:p>
            <w:pPr>
              <w:spacing w:after="0" w:before="0" w:line="240" w:lineRule="auto"/>
              <w:jc w:val="left"/>
            </w:pPr>
            <w:r>
              <w:t>Verify raw data before unit conversion</w:t>
            </w:r>
          </w:p>
        </w:tc>
      </w:tr>
      <w:tr>
        <w:tc>
          <w:tcPr>
            <w:tcW w:type="dxa" w:w="3600"/>
          </w:tcPr>
          <w:p>
            <w:pPr>
              <w:spacing w:after="0" w:before="0" w:line="240" w:lineRule="auto"/>
              <w:jc w:val="left"/>
            </w:pPr>
            <w:r>
              <w:t>Historical trend changes after a software update</w:t>
            </w:r>
          </w:p>
        </w:tc>
        <w:tc>
          <w:tcPr>
            <w:tcW w:type="dxa" w:w="3600"/>
          </w:tcPr>
          <w:p>
            <w:pPr>
              <w:spacing w:after="0" w:before="0" w:line="240" w:lineRule="auto"/>
              <w:jc w:val="left"/>
            </w:pPr>
            <w:r>
              <w:t>Unit definition or conversion logic changed</w:t>
            </w:r>
          </w:p>
        </w:tc>
        <w:tc>
          <w:tcPr>
            <w:tcW w:type="dxa" w:w="3600"/>
          </w:tcPr>
          <w:p>
            <w:pPr>
              <w:spacing w:after="0" w:before="0" w:line="240" w:lineRule="auto"/>
              <w:jc w:val="left"/>
            </w:pPr>
            <w:r>
              <w:t>Compare old and new configuration and tag metadata</w:t>
            </w:r>
          </w:p>
        </w:tc>
      </w:tr>
    </w:tbl>
    <w:p/>
    <w:p>
      <w:pPr>
        <w:pStyle w:val="Heading2"/>
      </w:pPr>
      <w:r>
        <w:t>14. Commissioning and maintenance checklist</w:t>
      </w:r>
    </w:p>
    <w:p>
      <w:r>
        <w:t>Use this checklist when commissioning a new instrument, replacing a sensor, integrating a VFD, modifying a gateway, or changing SCADA calculations.</w:t>
      </w:r>
    </w:p>
    <w:p>
      <w:pPr>
        <w:pStyle w:val="ListBullet"/>
      </w:pPr>
      <w:r>
        <w:t>Identify the physical quantity being measured.</w:t>
      </w:r>
    </w:p>
    <w:p>
      <w:pPr>
        <w:pStyle w:val="ListBullet"/>
      </w:pPr>
      <w:r>
        <w:t>Confirm the source unit in the device manual.</w:t>
      </w:r>
    </w:p>
    <w:p>
      <w:pPr>
        <w:pStyle w:val="ListBullet"/>
      </w:pPr>
      <w:r>
        <w:t>Confirm raw data type, byte order, word order, and scaling.</w:t>
      </w:r>
    </w:p>
    <w:p>
      <w:pPr>
        <w:pStyle w:val="ListBullet"/>
      </w:pPr>
      <w:r>
        <w:t>Identify the engineering unit after scaling.</w:t>
      </w:r>
    </w:p>
    <w:p>
      <w:pPr>
        <w:pStyle w:val="ListBullet"/>
      </w:pPr>
      <w:r>
        <w:t>Define the target unit and conversion formula.</w:t>
      </w:r>
    </w:p>
    <w:p>
      <w:pPr>
        <w:pStyle w:val="ListBullet"/>
      </w:pPr>
      <w:r>
        <w:t>Verify whether an offset is required.</w:t>
      </w:r>
    </w:p>
    <w:p>
      <w:pPr>
        <w:pStyle w:val="ListBullet"/>
      </w:pPr>
      <w:r>
        <w:t>Check signedness, numeric range, and precision.</w:t>
      </w:r>
    </w:p>
    <w:p>
      <w:pPr>
        <w:pStyle w:val="ListBullet"/>
      </w:pPr>
      <w:r>
        <w:t>Test a known value at low, intermediate, and high points where practical.</w:t>
      </w:r>
    </w:p>
    <w:p>
      <w:pPr>
        <w:pStyle w:val="ListBullet"/>
      </w:pPr>
      <w:r>
        <w:t>Verify the result against a trusted reference.</w:t>
      </w:r>
    </w:p>
    <w:p>
      <w:pPr>
        <w:pStyle w:val="ListBullet"/>
      </w:pPr>
      <w:r>
        <w:t>Confirm HMI labels, alarm thresholds, and control logic use the intended unit.</w:t>
      </w:r>
    </w:p>
    <w:p>
      <w:pPr>
        <w:pStyle w:val="ListBullet"/>
      </w:pPr>
      <w:r>
        <w:t>Verify SQL, historian, and dashboard tag metadata.</w:t>
      </w:r>
    </w:p>
    <w:p>
      <w:pPr>
        <w:pStyle w:val="ListBullet"/>
      </w:pPr>
      <w:r>
        <w:t>Record the conversion logic and configuration version.</w:t>
      </w:r>
    </w:p>
    <w:p>
      <w:pPr>
        <w:pStyle w:val="ListBullet"/>
      </w:pPr>
      <w:r>
        <w:t>Confirm that no other layer applies the same conversion again.</w:t>
      </w:r>
    </w:p>
    <w:p>
      <w:r>
        <w:t>When modifying a live control system, back up the existing configuration and test changes under an approved procedure. Unit conversion changes can affect control limits, alarm thresholds, recipes, and reports even when the communication connection remains unchanged.</w:t>
      </w:r>
    </w:p>
    <w:p>
      <w:pPr>
        <w:pStyle w:val="Heading2"/>
      </w:pPr>
      <w:r>
        <w:t>15. Interview questions and answers</w:t>
      </w:r>
    </w:p>
    <w:p>
      <w:r>
        <w:t>Q1. What is engineering-unit conversion?</w:t>
      </w:r>
    </w:p>
    <w:p>
      <w:r>
        <w:t>It expresses a physical quantity in another unit using an appropriate conversion factor or formula.</w:t>
      </w:r>
    </w:p>
    <w:p>
      <w:r>
        <w:t>Q2. How does it differ from scaling?</w:t>
      </w:r>
    </w:p>
    <w:p>
      <w:r>
        <w:t>Scaling maps raw numerical values into an engineering range. Unit conversion changes the unit used to express an engineering value.</w:t>
      </w:r>
    </w:p>
    <w:p>
      <w:r>
        <w:t>Q3. Why is Celsius-to-Fahrenheit conversion not a simple multiplication?</w:t>
      </w:r>
    </w:p>
    <w:p>
      <w:r>
        <w:t>The two scales have different zero points, so the conversion requires both a multiplier and an offset.</w:t>
      </w:r>
    </w:p>
    <w:p>
      <w:r>
        <w:t>Q4. What is a canonical engineering unit?</w:t>
      </w:r>
    </w:p>
    <w:p>
      <w:r>
        <w:t>It is the agreed unit used internally for a measurement so that calculations, storage, and comparisons remain consistent.</w:t>
      </w:r>
    </w:p>
    <w:p>
      <w:r>
        <w:t>Q5. Why should a database store or associate units with measurements?</w:t>
      </w:r>
    </w:p>
    <w:p>
      <w:r>
        <w:t>A numeric value alone does not specify its physical meaning. Unit metadata prevents ambiguous interpretation and incorrect comparisons.</w:t>
      </w:r>
    </w:p>
    <w:p>
      <w:r>
        <w:t>Q6. What is dimensional analysis?</w:t>
      </w:r>
    </w:p>
    <w:p>
      <w:r>
        <w:t>It checks the physical dimensions and units in a calculation to determine whether the formula is consistent.</w:t>
      </w:r>
    </w:p>
    <w:p>
      <w:r>
        <w:t>Q7. Why is power different from energy?</w:t>
      </w:r>
    </w:p>
    <w:p>
      <w:r>
        <w:t>Power measures the rate of energy transfer, while energy represents an accumulated quantity over time.</w:t>
      </w:r>
    </w:p>
    <w:p>
      <w:r>
        <w:t>Q8. Can a correct unit conversion fix a wrong raw value?</w:t>
      </w:r>
    </w:p>
    <w:p>
      <w:r>
        <w:t>No. Data acquisition, data type, register mapping, byte/word order, and scaling must be correct before the converted value can be trusted.</w:t>
      </w:r>
    </w:p>
    <w:p>
      <w:r>
        <w:t>Q9. Why can converting a value to an integer cause an error?</w:t>
      </w:r>
    </w:p>
    <w:p>
      <w:r>
        <w:t>The destination type may discard the fractional portion or overflow if the value exceeds its range.</w:t>
      </w:r>
    </w:p>
    <w:p>
      <w:r>
        <w:t>Q10. What should be checked after changing a unit conversion?</w:t>
      </w:r>
    </w:p>
    <w:p>
      <w:r>
        <w:t>Verify the engineering value, display labels, alarm thresholds, control logic, historical data interpretation, and any downstream calculations.</w:t>
      </w:r>
    </w:p>
    <w:p>
      <w:pPr>
        <w:pStyle w:val="Heading2"/>
      </w:pPr>
      <w:r>
        <w:t>16. Practical exercises</w:t>
      </w:r>
    </w:p>
    <w:p>
      <w:pPr>
        <w:pStyle w:val="Heading3"/>
      </w:pPr>
      <w:r>
        <w:t>Exercise 1: Pressure</w:t>
      </w:r>
    </w:p>
    <w:p>
      <w:r>
        <w:t xml:space="preserve">A sensor reports </w:t>
      </w:r>
      <w:r>
        <w:rPr>
          <w:rFonts w:ascii="Consolas" w:hAnsi="Consolas"/>
          <w:color w:val="333333"/>
          <w:sz w:val="19"/>
          <w:shd w:val="clear" w:color="auto" w:fill="EFEFEF"/>
        </w:rPr>
        <w:t>2.5 MPa</w:t>
      </w:r>
      <w:r>
        <w:t>. Convert it to kPa and bar.</w:t>
      </w:r>
    </w:p>
    <w:p>
      <w:pPr>
        <w:pStyle w:val="Heading3"/>
      </w:pPr>
      <w:r>
        <w:t>Exercise 2: Temperature</w:t>
      </w:r>
    </w:p>
    <w:p>
      <w:r>
        <w:t xml:space="preserve">A thermal process measures </w:t>
      </w:r>
      <w:r>
        <w:rPr>
          <w:rFonts w:ascii="Consolas" w:hAnsi="Consolas"/>
          <w:color w:val="333333"/>
          <w:sz w:val="19"/>
          <w:shd w:val="clear" w:color="auto" w:fill="EFEFEF"/>
        </w:rPr>
        <w:t>150 °C</w:t>
      </w:r>
      <w:r>
        <w:t>. Convert it to Fahrenheit and Kelvin.</w:t>
      </w:r>
    </w:p>
    <w:p>
      <w:pPr>
        <w:pStyle w:val="Heading3"/>
      </w:pPr>
      <w:r>
        <w:t>Exercise 3: Flow</w:t>
      </w:r>
    </w:p>
    <w:p>
      <w:r>
        <w:t xml:space="preserve">A flowmeter reports </w:t>
      </w:r>
      <w:r>
        <w:rPr>
          <w:rFonts w:ascii="Consolas" w:hAnsi="Consolas"/>
          <w:color w:val="333333"/>
          <w:sz w:val="19"/>
          <w:shd w:val="clear" w:color="auto" w:fill="EFEFEF"/>
        </w:rPr>
        <w:t>900 L/min</w:t>
      </w:r>
      <w:r>
        <w:t>. Convert it to m³/h.</w:t>
      </w:r>
    </w:p>
    <w:p>
      <w:pPr>
        <w:pStyle w:val="Heading3"/>
      </w:pPr>
      <w:r>
        <w:t>Exercise 4: Rotational speed</w:t>
      </w:r>
    </w:p>
    <w:p>
      <w:r>
        <w:t xml:space="preserve">A shaft runs at </w:t>
      </w:r>
      <w:r>
        <w:rPr>
          <w:rFonts w:ascii="Consolas" w:hAnsi="Consolas"/>
          <w:color w:val="333333"/>
          <w:sz w:val="19"/>
          <w:shd w:val="clear" w:color="auto" w:fill="EFEFEF"/>
        </w:rPr>
        <w:t>1800 rpm</w:t>
      </w:r>
      <w:r>
        <w:t>. Convert it to revolutions per second and radians per second.</w:t>
      </w:r>
    </w:p>
    <w:p>
      <w:pPr>
        <w:pStyle w:val="Heading3"/>
      </w:pPr>
      <w:r>
        <w:t>Exercise 5: Power and energy</w:t>
      </w:r>
    </w:p>
    <w:p>
      <w:r>
        <w:t xml:space="preserve">A machine operates at a constant </w:t>
      </w:r>
      <w:r>
        <w:rPr>
          <w:rFonts w:ascii="Consolas" w:hAnsi="Consolas"/>
          <w:color w:val="333333"/>
          <w:sz w:val="19"/>
          <w:shd w:val="clear" w:color="auto" w:fill="EFEFEF"/>
        </w:rPr>
        <w:t>15 kW</w:t>
      </w:r>
      <w:r>
        <w:t xml:space="preserve"> for </w:t>
      </w:r>
      <w:r>
        <w:rPr>
          <w:rFonts w:ascii="Consolas" w:hAnsi="Consolas"/>
          <w:color w:val="333333"/>
          <w:sz w:val="19"/>
          <w:shd w:val="clear" w:color="auto" w:fill="EFEFEF"/>
        </w:rPr>
        <w:t>4 hours</w:t>
      </w:r>
      <w:r>
        <w:t>. Calculate the energy consumption in kWh and Wh.</w:t>
      </w:r>
    </w:p>
    <w:p>
      <w:pPr>
        <w:pStyle w:val="Heading3"/>
      </w:pPr>
      <w:r>
        <w:t>Exercise 6: Integration fault</w:t>
      </w:r>
    </w:p>
    <w:p>
      <w:r>
        <w:t>A PLC tag stores pressure in kPa, but the SCADA screen labels the value as bar without applying a conversion. Explain the symptom and propose a correction that does not change the PLC's internal unit convention.</w:t>
      </w:r>
    </w:p>
    <w:p>
      <w:pPr>
        <w:pStyle w:val="Heading2"/>
      </w:pPr>
      <w:r>
        <w:t>17. Final mental model</w:t>
      </w:r>
    </w:p>
    <w:p>
      <w:pPr>
        <w:shd w:val="clear" w:color="auto" w:fill="F4F4F4"/>
        <w:spacing w:before="0" w:after="0" w:line="240" w:lineRule="auto"/>
        <w:ind w:left="216" w:right="216"/>
        <w:jc w:val="left"/>
      </w:pPr>
      <w:r>
        <w:rPr>
          <w:rFonts w:ascii="Consolas" w:hAnsi="Consolas"/>
          <w:color w:val="202020"/>
          <w:sz w:val="18"/>
        </w:rPr>
        <w:t>Acquire the correct source data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Interpret data type and representation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Scale raw data into an engineering value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Identify the current unit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Apply the correct unit-conversion formula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Validate range, precision, and quality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Store and display the value with its unit</w:t>
      </w:r>
    </w:p>
    <w:p/>
    <w:p>
      <w:r>
        <w:t>The central rule is one quantity, one clearly defined unit at each system boundary. Keep scaling, unit conversion, and data interpretation separate in the design and documentation. This makes PLC-to-SCADA integration easier to troubleshoot and prevents silent errors in alarms, machine control, energy reports, and historical trends.</w:t>
      </w:r>
    </w:p>
    <w:p>
      <w:pPr>
        <w:pStyle w:val="Heading2"/>
      </w:pPr>
      <w:r>
        <w:t>NEXT TOPIC</w:t>
      </w:r>
    </w:p>
    <w:p>
      <w:r>
        <w:rPr>
          <w:rFonts w:ascii="Consolas" w:hAnsi="Consolas"/>
          <w:color w:val="333333"/>
          <w:sz w:val="19"/>
          <w:shd w:val="clear" w:color="auto" w:fill="EFEFEF"/>
        </w:rPr>
        <w:t>02_PLAN_WISE_2026\02_INDUSTRY3_0\03_Comms\05_Industrial_Ethernet\01_IP_Addressing - IP addressing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02_PLAN_WISE_2026\02_INDUSTRY3_0\03_Comms\04_Conversion\08_Engineering_Unit - Engineering-unit conversion</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