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02_PLAN_WISE_2026\02_INDUSTRY3_0\05_Cabinet_Eng\21_Panel_Standards\02_Wire_Colours_Marking - Wire colours &amp; marking: Standard colour codes</w:t>
      </w:r>
    </w:p>
    <w:p>
      <w:pPr>
        <w:pStyle w:val="Heading2"/>
      </w:pPr>
      <w:r>
        <w:t>1. Purpose of Wire Colours and Marking</w:t>
      </w:r>
    </w:p>
    <w:p>
      <w:r>
        <w:t>Wire colours and wire identification are fundamental parts of electrical panel engineering. They help technicians identify electrical functions, trace circuits, perform maintenance, diagnose faults, and work safely.</w:t>
      </w:r>
    </w:p>
    <w:p>
      <w:r>
        <w:t>In an industrial control panel, correct wire identification helps distinguish:</w:t>
      </w:r>
    </w:p>
    <w:p>
      <w:pPr>
        <w:pStyle w:val="ListBullet"/>
      </w:pPr>
      <w:r>
        <w:t>AC power conductors.</w:t>
      </w:r>
    </w:p>
    <w:p>
      <w:pPr>
        <w:pStyle w:val="ListBullet"/>
      </w:pPr>
      <w:r>
        <w:t>DC control power and return conductors.</w:t>
      </w:r>
    </w:p>
    <w:p>
      <w:pPr>
        <w:pStyle w:val="ListBullet"/>
      </w:pPr>
      <w:r>
        <w:t>Protective earth (PE).</w:t>
      </w:r>
    </w:p>
    <w:p>
      <w:pPr>
        <w:pStyle w:val="ListBullet"/>
      </w:pPr>
      <w:r>
        <w:t>Neutral conductors.</w:t>
      </w:r>
    </w:p>
    <w:p>
      <w:pPr>
        <w:pStyle w:val="ListBullet"/>
      </w:pPr>
      <w:r>
        <w:t>PLC digital and analog signals.</w:t>
      </w:r>
    </w:p>
    <w:p>
      <w:pPr>
        <w:pStyle w:val="ListBullet"/>
      </w:pPr>
      <w:r>
        <w:t>Safety circuits.</w:t>
      </w:r>
    </w:p>
    <w:p>
      <w:pPr>
        <w:pStyle w:val="ListBullet"/>
      </w:pPr>
      <w:r>
        <w:t>External power supplies.</w:t>
      </w:r>
    </w:p>
    <w:p>
      <w:pPr>
        <w:pStyle w:val="ListBullet"/>
      </w:pPr>
      <w:r>
        <w:t>Conductors that remain energized after the main isolator is switched off.</w:t>
      </w:r>
    </w:p>
    <w:p>
      <w:pPr>
        <w:pStyle w:val="ListBullet"/>
      </w:pPr>
      <w:r>
        <w:t>Different voltage levels and separate electrical sources.</w:t>
      </w:r>
    </w:p>
    <w:p>
      <w:r>
        <w:t>Wire colour and wire marking serve different purposes.</w:t>
      </w:r>
    </w:p>
    <w:p>
      <w:pPr>
        <w:pStyle w:val="ListBullet"/>
      </w:pPr>
      <w:r>
        <w:t>Wire colour provides a quick visual indication of a conductor's intended function under the applicable wiring standard.</w:t>
      </w:r>
    </w:p>
    <w:p>
      <w:pPr>
        <w:pStyle w:val="ListBullet"/>
      </w:pPr>
      <w:r>
        <w:t>Wire marking identifies the conductor's electrical connection, circuit, terminal, or signal.</w:t>
      </w:r>
    </w:p>
    <w:p>
      <w:pPr>
        <w:pStyle w:val="ListBullet"/>
      </w:pPr>
      <w:r>
        <w:t>Electrical drawings establish how the conductor is connected and how it functions in the overall circuit.</w:t>
      </w:r>
    </w:p>
    <w:p>
      <w:r>
        <w:t>Colour alone is not sufficient to identify a wire safely. Existing installations may contain legacy wiring, nonstandard modifications, or incorrect colours. Always verify the circuit using drawings, suitable test equipment, and the approved isolation procedure.</w:t>
      </w:r>
    </w:p>
    <w:p>
      <w:pPr>
        <w:pStyle w:val="Heading2"/>
      </w:pPr>
      <w:r>
        <w:t>2. Standards Governing Wire Colours</w:t>
      </w:r>
    </w:p>
    <w:p>
      <w:r>
        <w:t>Wire colours are not universal across every country, industry, or machine. The correct colour scheme depends on the applicable standard, supply system, machine builder's requirements, and project specifications.</w:t>
      </w:r>
    </w:p>
    <w:p>
      <w:r>
        <w:t>Important standards and frameworks include:</w:t>
      </w:r>
    </w:p>
    <w:p>
      <w:pPr>
        <w:pStyle w:val="ListBullet"/>
      </w:pPr>
      <w:r>
        <w:t>IEC 60445: Identification of equipment terminals, conductor terminations, and conductors.</w:t>
      </w:r>
    </w:p>
    <w:p>
      <w:pPr>
        <w:pStyle w:val="ListBullet"/>
      </w:pPr>
      <w:r>
        <w:t>IEC 60204-1: Electrical equipment of machines, including conductor identification and wiring practices.</w:t>
      </w:r>
    </w:p>
    <w:p>
      <w:pPr>
        <w:pStyle w:val="ListBullet"/>
      </w:pPr>
      <w:r>
        <w:t>IEC 60364: Low-voltage electrical installations, including conductor identification requirements.</w:t>
      </w:r>
    </w:p>
    <w:p>
      <w:pPr>
        <w:pStyle w:val="ListBullet"/>
      </w:pPr>
      <w:r>
        <w:t>NFPA 79: Electrical standard for industrial machinery in relevant North American applications.</w:t>
      </w:r>
    </w:p>
    <w:p>
      <w:pPr>
        <w:pStyle w:val="ListBullet"/>
      </w:pPr>
      <w:r>
        <w:t>NFPA 70 (NEC): Electrical installation requirements in the United States.</w:t>
      </w:r>
    </w:p>
    <w:p>
      <w:pPr>
        <w:pStyle w:val="ListBullet"/>
      </w:pPr>
      <w:r>
        <w:t>UL 508A: Requirements for industrial control panels in its applicable scope, including construction and wiring considerations.</w:t>
      </w:r>
    </w:p>
    <w:p>
      <w:r>
        <w:t>These documents have different scopes. A colour convention used for a machine control circuit should not automatically be applied to building wiring or another jurisdiction's installation.</w:t>
      </w:r>
    </w:p>
    <w:p>
      <w:r>
        <w:t>For a panel built in India, establish the applicable Indian regulations, adopted standards, customer specifications, and any contractual requirements before finalizing the colour schedule.</w:t>
      </w:r>
    </w:p>
    <w:p>
      <w:pPr>
        <w:pStyle w:val="Heading2"/>
      </w:pPr>
      <w:r>
        <w:t>3. Common IEC-Based Conductor Colours</w:t>
      </w:r>
    </w:p>
    <w:p>
      <w:r>
        <w:t>The following are common conventions used in IEC-based installations. They are not a substitute for checking the applicable standard and project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Conductor function</w:t>
            </w:r>
          </w:p>
        </w:tc>
        <w:tc>
          <w:tcPr>
            <w:tcW w:type="dxa" w:w="3600"/>
            <w:shd w:val="clear" w:color="auto" w:fill="EEF2F7"/>
          </w:tcPr>
          <w:p>
            <w:pPr>
              <w:spacing w:after="0" w:before="0" w:line="240" w:lineRule="auto"/>
              <w:jc w:val="left"/>
            </w:pPr>
            <w:r>
              <w:rPr>
                <w:b/>
                <w:color w:val="1A2E4A"/>
              </w:rPr>
              <w:t>Common colour</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Protective earth (PE)</w:t>
            </w:r>
          </w:p>
        </w:tc>
        <w:tc>
          <w:tcPr>
            <w:tcW w:type="dxa" w:w="3600"/>
          </w:tcPr>
          <w:p>
            <w:pPr>
              <w:spacing w:after="0" w:before="0" w:line="240" w:lineRule="auto"/>
              <w:jc w:val="left"/>
            </w:pPr>
            <w:r>
              <w:t>Green/yellow</w:t>
            </w:r>
          </w:p>
        </w:tc>
        <w:tc>
          <w:tcPr>
            <w:tcW w:type="dxa" w:w="3600"/>
          </w:tcPr>
          <w:p>
            <w:pPr>
              <w:spacing w:after="0" w:before="0" w:line="240" w:lineRule="auto"/>
              <w:jc w:val="left"/>
            </w:pPr>
            <w:r>
              <w:t>Reserved for protective conductor identification</w:t>
            </w:r>
          </w:p>
        </w:tc>
      </w:tr>
      <w:tr>
        <w:tc>
          <w:tcPr>
            <w:tcW w:type="dxa" w:w="3600"/>
          </w:tcPr>
          <w:p>
            <w:pPr>
              <w:spacing w:after="0" w:before="0" w:line="240" w:lineRule="auto"/>
              <w:jc w:val="left"/>
            </w:pPr>
            <w:r>
              <w:t>Neutral (N)</w:t>
            </w:r>
          </w:p>
        </w:tc>
        <w:tc>
          <w:tcPr>
            <w:tcW w:type="dxa" w:w="3600"/>
          </w:tcPr>
          <w:p>
            <w:pPr>
              <w:spacing w:after="0" w:before="0" w:line="240" w:lineRule="auto"/>
              <w:jc w:val="left"/>
            </w:pPr>
            <w:r>
              <w:t>Blue, commonly light blue</w:t>
            </w:r>
          </w:p>
        </w:tc>
        <w:tc>
          <w:tcPr>
            <w:tcW w:type="dxa" w:w="3600"/>
          </w:tcPr>
          <w:p>
            <w:pPr>
              <w:spacing w:after="0" w:before="0" w:line="240" w:lineRule="auto"/>
              <w:jc w:val="left"/>
            </w:pPr>
            <w:r>
              <w:t>Used for neutral identification where the applicable scheme specifies it</w:t>
            </w:r>
          </w:p>
        </w:tc>
      </w:tr>
      <w:tr>
        <w:tc>
          <w:tcPr>
            <w:tcW w:type="dxa" w:w="3600"/>
          </w:tcPr>
          <w:p>
            <w:pPr>
              <w:spacing w:after="0" w:before="0" w:line="240" w:lineRule="auto"/>
              <w:jc w:val="left"/>
            </w:pPr>
            <w:r>
              <w:t>AC line conductor L1</w:t>
            </w:r>
          </w:p>
        </w:tc>
        <w:tc>
          <w:tcPr>
            <w:tcW w:type="dxa" w:w="3600"/>
          </w:tcPr>
          <w:p>
            <w:pPr>
              <w:spacing w:after="0" w:before="0" w:line="240" w:lineRule="auto"/>
              <w:jc w:val="left"/>
            </w:pPr>
            <w:r>
              <w:t>Brown</w:t>
            </w:r>
          </w:p>
        </w:tc>
        <w:tc>
          <w:tcPr>
            <w:tcW w:type="dxa" w:w="3600"/>
          </w:tcPr>
          <w:p>
            <w:pPr>
              <w:spacing w:after="0" w:before="0" w:line="240" w:lineRule="auto"/>
              <w:jc w:val="left"/>
            </w:pPr>
            <w:r>
              <w:t>Common IEC-based single-phase and three-phase convention</w:t>
            </w:r>
          </w:p>
        </w:tc>
      </w:tr>
      <w:tr>
        <w:tc>
          <w:tcPr>
            <w:tcW w:type="dxa" w:w="3600"/>
          </w:tcPr>
          <w:p>
            <w:pPr>
              <w:spacing w:after="0" w:before="0" w:line="240" w:lineRule="auto"/>
              <w:jc w:val="left"/>
            </w:pPr>
            <w:r>
              <w:t>AC line conductor L2</w:t>
            </w:r>
          </w:p>
        </w:tc>
        <w:tc>
          <w:tcPr>
            <w:tcW w:type="dxa" w:w="3600"/>
          </w:tcPr>
          <w:p>
            <w:pPr>
              <w:spacing w:after="0" w:before="0" w:line="240" w:lineRule="auto"/>
              <w:jc w:val="left"/>
            </w:pPr>
            <w:r>
              <w:t>Black</w:t>
            </w:r>
          </w:p>
        </w:tc>
        <w:tc>
          <w:tcPr>
            <w:tcW w:type="dxa" w:w="3600"/>
          </w:tcPr>
          <w:p>
            <w:pPr>
              <w:spacing w:after="0" w:before="0" w:line="240" w:lineRule="auto"/>
              <w:jc w:val="left"/>
            </w:pPr>
            <w:r>
              <w:t>Verify the applicable phase identification scheme</w:t>
            </w:r>
          </w:p>
        </w:tc>
      </w:tr>
      <w:tr>
        <w:tc>
          <w:tcPr>
            <w:tcW w:type="dxa" w:w="3600"/>
          </w:tcPr>
          <w:p>
            <w:pPr>
              <w:spacing w:after="0" w:before="0" w:line="240" w:lineRule="auto"/>
              <w:jc w:val="left"/>
            </w:pPr>
            <w:r>
              <w:t>AC line conductor L3</w:t>
            </w:r>
          </w:p>
        </w:tc>
        <w:tc>
          <w:tcPr>
            <w:tcW w:type="dxa" w:w="3600"/>
          </w:tcPr>
          <w:p>
            <w:pPr>
              <w:spacing w:after="0" w:before="0" w:line="240" w:lineRule="auto"/>
              <w:jc w:val="left"/>
            </w:pPr>
            <w:r>
              <w:t>Grey</w:t>
            </w:r>
          </w:p>
        </w:tc>
        <w:tc>
          <w:tcPr>
            <w:tcW w:type="dxa" w:w="3600"/>
          </w:tcPr>
          <w:p>
            <w:pPr>
              <w:spacing w:after="0" w:before="0" w:line="240" w:lineRule="auto"/>
              <w:jc w:val="left"/>
            </w:pPr>
            <w:r>
              <w:t>Verify the applicable phase identification scheme</w:t>
            </w:r>
          </w:p>
        </w:tc>
      </w:tr>
      <w:tr>
        <w:tc>
          <w:tcPr>
            <w:tcW w:type="dxa" w:w="3600"/>
          </w:tcPr>
          <w:p>
            <w:pPr>
              <w:spacing w:after="0" w:before="0" w:line="240" w:lineRule="auto"/>
              <w:jc w:val="left"/>
            </w:pPr>
            <w:r>
              <w:t>DC positive or selected positive control conductor</w:t>
            </w:r>
          </w:p>
        </w:tc>
        <w:tc>
          <w:tcPr>
            <w:tcW w:type="dxa" w:w="3600"/>
          </w:tcPr>
          <w:p>
            <w:pPr>
              <w:spacing w:after="0" w:before="0" w:line="240" w:lineRule="auto"/>
              <w:jc w:val="left"/>
            </w:pPr>
            <w:r>
              <w:t>Application-dependent</w:t>
            </w:r>
          </w:p>
        </w:tc>
        <w:tc>
          <w:tcPr>
            <w:tcW w:type="dxa" w:w="3600"/>
          </w:tcPr>
          <w:p>
            <w:pPr>
              <w:spacing w:after="0" w:before="0" w:line="240" w:lineRule="auto"/>
              <w:jc w:val="left"/>
            </w:pPr>
            <w:r>
              <w:t>Follow the relevant machine and project convention</w:t>
            </w:r>
          </w:p>
        </w:tc>
      </w:tr>
      <w:tr>
        <w:tc>
          <w:tcPr>
            <w:tcW w:type="dxa" w:w="3600"/>
          </w:tcPr>
          <w:p>
            <w:pPr>
              <w:spacing w:after="0" w:before="0" w:line="240" w:lineRule="auto"/>
              <w:jc w:val="left"/>
            </w:pPr>
            <w:r>
              <w:t>DC negative or 0 V return</w:t>
            </w:r>
          </w:p>
        </w:tc>
        <w:tc>
          <w:tcPr>
            <w:tcW w:type="dxa" w:w="3600"/>
          </w:tcPr>
          <w:p>
            <w:pPr>
              <w:spacing w:after="0" w:before="0" w:line="240" w:lineRule="auto"/>
              <w:jc w:val="left"/>
            </w:pPr>
            <w:r>
              <w:t>Application-dependent</w:t>
            </w:r>
          </w:p>
        </w:tc>
        <w:tc>
          <w:tcPr>
            <w:tcW w:type="dxa" w:w="3600"/>
          </w:tcPr>
          <w:p>
            <w:pPr>
              <w:spacing w:after="0" w:before="0" w:line="240" w:lineRule="auto"/>
              <w:jc w:val="left"/>
            </w:pPr>
            <w:r>
              <w:t>Do not assume a universal colour across all industrial panels</w:t>
            </w:r>
          </w:p>
        </w:tc>
      </w:tr>
      <w:tr>
        <w:tc>
          <w:tcPr>
            <w:tcW w:type="dxa" w:w="3600"/>
          </w:tcPr>
          <w:p>
            <w:pPr>
              <w:spacing w:after="0" w:before="0" w:line="240" w:lineRule="auto"/>
              <w:jc w:val="left"/>
            </w:pPr>
            <w:r>
              <w:t>Functional earth (FE)</w:t>
            </w:r>
          </w:p>
        </w:tc>
        <w:tc>
          <w:tcPr>
            <w:tcW w:type="dxa" w:w="3600"/>
          </w:tcPr>
          <w:p>
            <w:pPr>
              <w:spacing w:after="0" w:before="0" w:line="240" w:lineRule="auto"/>
              <w:jc w:val="left"/>
            </w:pPr>
            <w:r>
              <w:t>Application-dependent</w:t>
            </w:r>
          </w:p>
        </w:tc>
        <w:tc>
          <w:tcPr>
            <w:tcW w:type="dxa" w:w="3600"/>
          </w:tcPr>
          <w:p>
            <w:pPr>
              <w:spacing w:after="0" w:before="0" w:line="240" w:lineRule="auto"/>
              <w:jc w:val="left"/>
            </w:pPr>
            <w:r>
              <w:t>Must be distinguished from protective earth according to the applicable requirements</w:t>
            </w:r>
          </w:p>
        </w:tc>
      </w:tr>
      <w:tr>
        <w:tc>
          <w:tcPr>
            <w:tcW w:type="dxa" w:w="3600"/>
          </w:tcPr>
          <w:p>
            <w:pPr>
              <w:spacing w:after="0" w:before="0" w:line="240" w:lineRule="auto"/>
              <w:jc w:val="left"/>
            </w:pPr>
            <w:r>
              <w:t>Safety circuit conductor</w:t>
            </w:r>
          </w:p>
        </w:tc>
        <w:tc>
          <w:tcPr>
            <w:tcW w:type="dxa" w:w="3600"/>
          </w:tcPr>
          <w:p>
            <w:pPr>
              <w:spacing w:after="0" w:before="0" w:line="240" w:lineRule="auto"/>
              <w:jc w:val="left"/>
            </w:pPr>
            <w:r>
              <w:t>Application-dependent</w:t>
            </w:r>
          </w:p>
        </w:tc>
        <w:tc>
          <w:tcPr>
            <w:tcW w:type="dxa" w:w="3600"/>
          </w:tcPr>
          <w:p>
            <w:pPr>
              <w:spacing w:after="0" w:before="0" w:line="240" w:lineRule="auto"/>
              <w:jc w:val="left"/>
            </w:pPr>
            <w:r>
              <w:t>Safety function must be identified through the design and required marking, not colour alone</w:t>
            </w:r>
          </w:p>
        </w:tc>
      </w:tr>
    </w:tbl>
    <w:p/>
    <w:p>
      <w:r>
        <w:t>Important: Brown, black, and grey are common IEC line-conductor colours, but some installations use other documented phase identification schemes. Never infer the applicable phase sequence or voltage solely from wire colour.</w:t>
      </w:r>
    </w:p>
    <w:p>
      <w:r>
        <w:t>Green/yellow identification is reserved for protective-conductor functions under the applicable requirements. Do not use it for ordinary control signals.</w:t>
      </w:r>
    </w:p>
    <w:p>
      <w:r>
        <w:t>Blue identification also needs care. Its meaning depends on the circuit and applicable scheme. In particular, do not assume that every blue conductor is a neutral, or that blue can be used freely for every DC circuit in an installation that also contains neutral conductors.</w:t>
      </w:r>
    </w:p>
    <w:p>
      <w:pPr>
        <w:pStyle w:val="Heading2"/>
      </w:pPr>
      <w:r>
        <w:t>4. AC Power Wiring</w:t>
      </w:r>
    </w:p>
    <w:p>
      <w:r>
        <w:t>AC power circuits may supply:</w:t>
      </w:r>
    </w:p>
    <w:p>
      <w:pPr>
        <w:pStyle w:val="ListBullet"/>
      </w:pPr>
      <w:r>
        <w:t>Main panel incomers.</w:t>
      </w:r>
    </w:p>
    <w:p>
      <w:pPr>
        <w:pStyle w:val="ListBullet"/>
      </w:pPr>
      <w:r>
        <w:t>Transformers.</w:t>
      </w:r>
    </w:p>
    <w:p>
      <w:pPr>
        <w:pStyle w:val="ListBullet"/>
      </w:pPr>
      <w:r>
        <w:t>AC-to-DC power supplies.</w:t>
      </w:r>
    </w:p>
    <w:p>
      <w:pPr>
        <w:pStyle w:val="ListBullet"/>
      </w:pPr>
      <w:r>
        <w:t>VFDs and servo drives.</w:t>
      </w:r>
    </w:p>
    <w:p>
      <w:pPr>
        <w:pStyle w:val="ListBullet"/>
      </w:pPr>
      <w:r>
        <w:t>Contactors and motor starters.</w:t>
      </w:r>
    </w:p>
    <w:p>
      <w:pPr>
        <w:pStyle w:val="ListBullet"/>
      </w:pPr>
      <w:r>
        <w:t>Heaters, fans, and auxiliary loads.</w:t>
      </w:r>
    </w:p>
    <w:p>
      <w:pPr>
        <w:pStyle w:val="ListBullet"/>
      </w:pPr>
      <w:r>
        <w:t>Control transformers and other distribution equipment.</w:t>
      </w:r>
    </w:p>
    <w:p>
      <w:r>
        <w:t>For a three-phase supply, the designer must identify the phase conductors consistently throughout the drawings, terminal blocks, and physical wiring.</w:t>
      </w:r>
    </w:p>
    <w:p>
      <w:r>
        <w:t>Example of a common IEC-based arrangement:</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L1: Brown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L2: Black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L3: Grey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N: Blue,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PE: Green/yellow</w:t>
      </w:r>
    </w:p>
    <w:p/>
    <w:p>
      <w:r>
        <w:t>This is an identification example, not a wiring instruction. The actual conductor colours and connection arrangement must match the applicable installation standard.</w:t>
      </w:r>
    </w:p>
    <w:p>
      <w:pPr>
        <w:pStyle w:val="Heading3"/>
      </w:pPr>
      <w:r>
        <w:t>4.1 Phase identification</w:t>
      </w:r>
    </w:p>
    <w:p>
      <w:r>
        <w:t>Correct phase identification supports:</w:t>
      </w:r>
    </w:p>
    <w:p>
      <w:pPr>
        <w:pStyle w:val="ListBullet"/>
      </w:pPr>
      <w:r>
        <w:t>Consistent wiring from incomer to distribution points.</w:t>
      </w:r>
    </w:p>
    <w:p>
      <w:pPr>
        <w:pStyle w:val="ListBullet"/>
      </w:pPr>
      <w:r>
        <w:t>Maintenance and troubleshooting.</w:t>
      </w:r>
    </w:p>
    <w:p>
      <w:pPr>
        <w:pStyle w:val="ListBullet"/>
      </w:pPr>
      <w:r>
        <w:t>Phase-sequence verification.</w:t>
      </w:r>
    </w:p>
    <w:p>
      <w:pPr>
        <w:pStyle w:val="ListBullet"/>
      </w:pPr>
      <w:r>
        <w:t>Safe isolation and testing.</w:t>
      </w:r>
    </w:p>
    <w:p>
      <w:pPr>
        <w:pStyle w:val="ListBullet"/>
      </w:pPr>
      <w:r>
        <w:t>Accurate electrical drawing interpretation.</w:t>
      </w:r>
    </w:p>
    <w:p>
      <w:r>
        <w:t>Colour identification does not prove phase sequence. Use a suitable phase-sequence instrument where phase rotation matters.</w:t>
      </w:r>
    </w:p>
    <w:p>
      <w:pPr>
        <w:pStyle w:val="Heading3"/>
      </w:pPr>
      <w:r>
        <w:t>4.2 Neutral versus protective earth</w:t>
      </w:r>
    </w:p>
    <w:p>
      <w:r>
        <w:t>Neutral and protective earth have different electrical functions.</w:t>
      </w:r>
    </w:p>
    <w:p>
      <w:pPr>
        <w:pStyle w:val="ListBullet"/>
      </w:pPr>
      <w:r>
        <w:t>Neutral (N): A circuit conductor that may carry current during normal operation.</w:t>
      </w:r>
    </w:p>
    <w:p>
      <w:pPr>
        <w:pStyle w:val="ListBullet"/>
      </w:pPr>
      <w:r>
        <w:t>Protective earth (PE): A protective conductor intended to provide a path for fault current and support automatic disconnection or other protective measures.</w:t>
      </w:r>
    </w:p>
    <w:p>
      <w:r>
        <w:t>They must not be treated as interchangeable conductors. Neutral-to-earth bonding is permitted only at the locations and under the conditions established by the supply system and applicable electrical rules.</w:t>
      </w:r>
    </w:p>
    <w:p>
      <w:r>
        <w:t>Never use the protective-earth conductor as a normal current return.</w:t>
      </w:r>
    </w:p>
    <w:p>
      <w:pPr>
        <w:pStyle w:val="Heading2"/>
      </w:pPr>
      <w:r>
        <w:t>5. DC Control Wiring</w:t>
      </w:r>
    </w:p>
    <w:p>
      <w:r>
        <w:t>Industrial control panels frequently use 24 VDC for PLCs, sensors, relays, communication devices, and control interfaces.</w:t>
      </w:r>
    </w:p>
    <w:p>
      <w:r>
        <w:t>The DC wiring convention must be documented because colours vary among machine builders and standards.</w:t>
      </w:r>
    </w:p>
    <w:p>
      <w:r>
        <w:t>A project may specify a dedicated colour for:</w:t>
      </w:r>
    </w:p>
    <w:p>
      <w:pPr>
        <w:pStyle w:val="ListBullet"/>
      </w:pPr>
      <w:r>
        <w:t>+24 VDC.</w:t>
      </w:r>
    </w:p>
    <w:p>
      <w:pPr>
        <w:pStyle w:val="ListBullet"/>
      </w:pPr>
      <w:r>
        <w:t>0 VDC return.</w:t>
      </w:r>
    </w:p>
    <w:p>
      <w:pPr>
        <w:pStyle w:val="ListBullet"/>
      </w:pPr>
      <w:r>
        <w:t>Switched positive supply.</w:t>
      </w:r>
    </w:p>
    <w:p>
      <w:pPr>
        <w:pStyle w:val="ListBullet"/>
      </w:pPr>
      <w:r>
        <w:t>Switched negative supply.</w:t>
      </w:r>
    </w:p>
    <w:p>
      <w:pPr>
        <w:pStyle w:val="ListBullet"/>
      </w:pPr>
      <w:r>
        <w:t>External 24 VDC.</w:t>
      </w:r>
    </w:p>
    <w:p>
      <w:pPr>
        <w:pStyle w:val="ListBullet"/>
      </w:pPr>
      <w:r>
        <w:t>Separately supplied control circuits.</w:t>
      </w:r>
    </w:p>
    <w:p>
      <w:r>
        <w:t>The exact colours must be taken from the approved drawing standard.</w:t>
      </w:r>
    </w:p>
    <w:p>
      <w:pPr>
        <w:pStyle w:val="Heading3"/>
      </w:pPr>
      <w:r>
        <w:t>5.1 Why 0 VDC is not automatically PE</w:t>
      </w:r>
    </w:p>
    <w:p>
      <w:r>
        <w:t>The 0 VDC conductor is the functional return for the DC circuit. Protective earth is a safety conductor.</w:t>
      </w:r>
    </w:p>
    <w:p>
      <w:r>
        <w:t>Depending on the system design, the DC 0 V reference may be bonded to earth at a defined point, or it may be intentionally isolated. The wiring convention and grounding design must reflect the actual arrangement.</w:t>
      </w:r>
    </w:p>
    <w:p>
      <w:r>
        <w:t>Do not connect 0 VDC to PE merely because a signal is unstable or because a technician expects them to be equivalent.</w:t>
      </w:r>
    </w:p>
    <w:p>
      <w:pPr>
        <w:pStyle w:val="Heading3"/>
      </w:pPr>
      <w:r>
        <w:t>5.2 External DC supplies</w:t>
      </w:r>
    </w:p>
    <w:p>
      <w:r>
        <w:t>A control panel may contain both internal and externally supplied 24 VDC circuits. These circuits can remain energized even after the panel's main isolator is switched off.</w:t>
      </w:r>
    </w:p>
    <w:p>
      <w:r>
        <w:t>Where multiple sources exist:</w:t>
      </w:r>
    </w:p>
    <w:p>
      <w:pPr>
        <w:pStyle w:val="ListBullet"/>
      </w:pPr>
      <w:r>
        <w:t>Identify each source on the drawings.</w:t>
      </w:r>
    </w:p>
    <w:p>
      <w:pPr>
        <w:pStyle w:val="ListBullet"/>
      </w:pPr>
      <w:r>
        <w:t>Mark terminals and conductors consistently.</w:t>
      </w:r>
    </w:p>
    <w:p>
      <w:pPr>
        <w:pStyle w:val="ListBullet"/>
      </w:pPr>
      <w:r>
        <w:t>Label external supplies.</w:t>
      </w:r>
    </w:p>
    <w:p>
      <w:pPr>
        <w:pStyle w:val="ListBullet"/>
      </w:pPr>
      <w:r>
        <w:t>Identify circuits that remain live during isolation.</w:t>
      </w:r>
    </w:p>
    <w:p>
      <w:pPr>
        <w:pStyle w:val="ListBullet"/>
      </w:pPr>
      <w:r>
        <w:t>Document the correct isolation points.</w:t>
      </w:r>
    </w:p>
    <w:p>
      <w:pPr>
        <w:pStyle w:val="ListBullet"/>
      </w:pPr>
      <w:r>
        <w:t>Prevent unintended cross-connection between supplies.</w:t>
      </w:r>
    </w:p>
    <w:p>
      <w:r>
        <w:t>This is especially important when PLC remote I/O, sensors, network devices, or machine interfaces receive power from separate panels.</w:t>
      </w:r>
    </w:p>
    <w:p>
      <w:pPr>
        <w:pStyle w:val="Heading2"/>
      </w:pPr>
      <w:r>
        <w:t>6. Control Circuit Colour Identification</w:t>
      </w:r>
    </w:p>
    <w:p>
      <w:r>
        <w:t>Control circuits may include pushbuttons, selector switches, interlocks, relay coils, contactor coils, PLC outputs, and machine permissives.</w:t>
      </w:r>
    </w:p>
    <w:p>
      <w:r>
        <w:t>Some machine wiring conventions distinguish conductors by their circuit function or power source. For example, a project may define colours for ordinary control wiring, externally supplied control circuits, or circuits that remain energized when the main isolator is off.</w:t>
      </w:r>
    </w:p>
    <w:p>
      <w:r>
        <w:t>Do not apply one universal colour table to all these functions without checking the governing standard.</w:t>
      </w:r>
    </w:p>
    <w:p>
      <w:r>
        <w:t>A practical control-panel colour schedule should specify: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Circuit category</w:t>
            </w:r>
          </w:p>
        </w:tc>
        <w:tc>
          <w:tcPr>
            <w:tcW w:type="dxa" w:w="5400"/>
            <w:shd w:val="clear" w:color="auto" w:fill="EEF2F7"/>
          </w:tcPr>
          <w:p>
            <w:pPr>
              <w:spacing w:after="0" w:before="0" w:line="240" w:lineRule="auto"/>
              <w:jc w:val="left"/>
            </w:pPr>
            <w:r>
              <w:rPr>
                <w:b/>
                <w:color w:val="1A2E4A"/>
              </w:rPr>
              <w:t>Required identification</w:t>
            </w:r>
          </w:p>
        </w:tc>
      </w:tr>
      <w:tr>
        <w:tc>
          <w:tcPr>
            <w:tcW w:type="dxa" w:w="5400"/>
          </w:tcPr>
          <w:p>
            <w:pPr>
              <w:spacing w:after="0" w:before="0" w:line="240" w:lineRule="auto"/>
              <w:jc w:val="left"/>
            </w:pPr>
            <w:r>
              <w:t>Main AC power</w:t>
            </w:r>
          </w:p>
        </w:tc>
        <w:tc>
          <w:tcPr>
            <w:tcW w:type="dxa" w:w="5400"/>
          </w:tcPr>
          <w:p>
            <w:pPr>
              <w:spacing w:after="0" w:before="0" w:line="240" w:lineRule="auto"/>
              <w:jc w:val="left"/>
            </w:pPr>
            <w:r>
              <w:t>Phase and conductor identification per the applicable standard</w:t>
            </w:r>
          </w:p>
        </w:tc>
      </w:tr>
      <w:tr>
        <w:tc>
          <w:tcPr>
            <w:tcW w:type="dxa" w:w="5400"/>
          </w:tcPr>
          <w:p>
            <w:pPr>
              <w:spacing w:after="0" w:before="0" w:line="240" w:lineRule="auto"/>
              <w:jc w:val="left"/>
            </w:pPr>
            <w:r>
              <w:t>Neutral circuit</w:t>
            </w:r>
          </w:p>
        </w:tc>
        <w:tc>
          <w:tcPr>
            <w:tcW w:type="dxa" w:w="5400"/>
          </w:tcPr>
          <w:p>
            <w:pPr>
              <w:spacing w:after="0" w:before="0" w:line="240" w:lineRule="auto"/>
              <w:jc w:val="left"/>
            </w:pPr>
            <w:r>
              <w:t>Neutral identification where a neutral is present</w:t>
            </w:r>
          </w:p>
        </w:tc>
      </w:tr>
      <w:tr>
        <w:tc>
          <w:tcPr>
            <w:tcW w:type="dxa" w:w="5400"/>
          </w:tcPr>
          <w:p>
            <w:pPr>
              <w:spacing w:after="0" w:before="0" w:line="240" w:lineRule="auto"/>
              <w:jc w:val="left"/>
            </w:pPr>
            <w:r>
              <w:t>Protective earth</w:t>
            </w:r>
          </w:p>
        </w:tc>
        <w:tc>
          <w:tcPr>
            <w:tcW w:type="dxa" w:w="5400"/>
          </w:tcPr>
          <w:p>
            <w:pPr>
              <w:spacing w:after="0" w:before="0" w:line="240" w:lineRule="auto"/>
              <w:jc w:val="left"/>
            </w:pPr>
            <w:r>
              <w:t>Green/yellow protective-conductor identification</w:t>
            </w:r>
          </w:p>
        </w:tc>
      </w:tr>
      <w:tr>
        <w:tc>
          <w:tcPr>
            <w:tcW w:type="dxa" w:w="5400"/>
          </w:tcPr>
          <w:p>
            <w:pPr>
              <w:spacing w:after="0" w:before="0" w:line="240" w:lineRule="auto"/>
              <w:jc w:val="left"/>
            </w:pPr>
            <w:r>
              <w:t>Internal DC control</w:t>
            </w:r>
          </w:p>
        </w:tc>
        <w:tc>
          <w:tcPr>
            <w:tcW w:type="dxa" w:w="5400"/>
          </w:tcPr>
          <w:p>
            <w:pPr>
              <w:spacing w:after="0" w:before="0" w:line="240" w:lineRule="auto"/>
              <w:jc w:val="left"/>
            </w:pPr>
            <w:r>
              <w:t>Approved positive and return colour scheme</w:t>
            </w:r>
          </w:p>
        </w:tc>
      </w:tr>
      <w:tr>
        <w:tc>
          <w:tcPr>
            <w:tcW w:type="dxa" w:w="5400"/>
          </w:tcPr>
          <w:p>
            <w:pPr>
              <w:spacing w:after="0" w:before="0" w:line="240" w:lineRule="auto"/>
              <w:jc w:val="left"/>
            </w:pPr>
            <w:r>
              <w:t>External control supply</w:t>
            </w:r>
          </w:p>
        </w:tc>
        <w:tc>
          <w:tcPr>
            <w:tcW w:type="dxa" w:w="5400"/>
          </w:tcPr>
          <w:p>
            <w:pPr>
              <w:spacing w:after="0" w:before="0" w:line="240" w:lineRule="auto"/>
              <w:jc w:val="left"/>
            </w:pPr>
            <w:r>
              <w:t>Distinct, documented identification where required</w:t>
            </w:r>
          </w:p>
        </w:tc>
      </w:tr>
      <w:tr>
        <w:tc>
          <w:tcPr>
            <w:tcW w:type="dxa" w:w="5400"/>
          </w:tcPr>
          <w:p>
            <w:pPr>
              <w:spacing w:after="0" w:before="0" w:line="240" w:lineRule="auto"/>
              <w:jc w:val="left"/>
            </w:pPr>
            <w:r>
              <w:t>Safety-related circuit</w:t>
            </w:r>
          </w:p>
        </w:tc>
        <w:tc>
          <w:tcPr>
            <w:tcW w:type="dxa" w:w="5400"/>
          </w:tcPr>
          <w:p>
            <w:pPr>
              <w:spacing w:after="0" w:before="0" w:line="240" w:lineRule="auto"/>
              <w:jc w:val="left"/>
            </w:pPr>
            <w:r>
              <w:t>Identification according to the applicable machine standard and project design</w:t>
            </w:r>
          </w:p>
        </w:tc>
      </w:tr>
      <w:tr>
        <w:tc>
          <w:tcPr>
            <w:tcW w:type="dxa" w:w="5400"/>
          </w:tcPr>
          <w:p>
            <w:pPr>
              <w:spacing w:after="0" w:before="0" w:line="240" w:lineRule="auto"/>
              <w:jc w:val="left"/>
            </w:pPr>
            <w:r>
              <w:t>Analog instrumentation</w:t>
            </w:r>
          </w:p>
        </w:tc>
        <w:tc>
          <w:tcPr>
            <w:tcW w:type="dxa" w:w="5400"/>
          </w:tcPr>
          <w:p>
            <w:pPr>
              <w:spacing w:after="0" w:before="0" w:line="240" w:lineRule="auto"/>
              <w:jc w:val="left"/>
            </w:pPr>
            <w:r>
              <w:t>Documented signal type, polarity, and terminal identification</w:t>
            </w:r>
          </w:p>
        </w:tc>
      </w:tr>
      <w:tr>
        <w:tc>
          <w:tcPr>
            <w:tcW w:type="dxa" w:w="5400"/>
          </w:tcPr>
          <w:p>
            <w:pPr>
              <w:spacing w:after="0" w:before="0" w:line="240" w:lineRule="auto"/>
              <w:jc w:val="left"/>
            </w:pPr>
            <w:r>
              <w:t>Communication wiring</w:t>
            </w:r>
          </w:p>
        </w:tc>
        <w:tc>
          <w:tcPr>
            <w:tcW w:type="dxa" w:w="5400"/>
          </w:tcPr>
          <w:p>
            <w:pPr>
              <w:spacing w:after="0" w:before="0" w:line="240" w:lineRule="auto"/>
              <w:jc w:val="left"/>
            </w:pPr>
            <w:r>
              <w:t>Cable type, port or node identity, and terminal or connector designation</w:t>
            </w:r>
          </w:p>
        </w:tc>
      </w:tr>
      <w:tr>
        <w:tc>
          <w:tcPr>
            <w:tcW w:type="dxa" w:w="5400"/>
          </w:tcPr>
          <w:p>
            <w:pPr>
              <w:spacing w:after="0" w:before="0" w:line="240" w:lineRule="auto"/>
              <w:jc w:val="left"/>
            </w:pPr>
            <w:r>
              <w:t>Unswitched live circuit</w:t>
            </w:r>
          </w:p>
        </w:tc>
        <w:tc>
          <w:tcPr>
            <w:tcW w:type="dxa" w:w="5400"/>
          </w:tcPr>
          <w:p>
            <w:pPr>
              <w:spacing w:after="0" w:before="0" w:line="240" w:lineRule="auto"/>
              <w:jc w:val="left"/>
            </w:pPr>
            <w:r>
              <w:t>Clear marking and drawing identification to support safe isolation</w:t>
            </w:r>
          </w:p>
        </w:tc>
      </w:tr>
    </w:tbl>
    <w:p/>
    <w:p>
      <w:r>
        <w:t>Colour is only one part of the identification system. Circuit labels and drawings must provide the information required for maintenance.</w:t>
      </w:r>
    </w:p>
    <w:p>
      <w:pPr>
        <w:pStyle w:val="Heading2"/>
      </w:pPr>
      <w:r>
        <w:t>7. Protective Earth and Functional Earth</w:t>
      </w:r>
    </w:p>
    <w:p>
      <w:r>
        <w:t>Protective earth and functional earth must not be confused.</w:t>
      </w:r>
    </w:p>
    <w:p>
      <w:pPr>
        <w:pStyle w:val="Heading3"/>
      </w:pPr>
      <w:r>
        <w:t>7.1 Protective earth (PE)</w:t>
      </w:r>
    </w:p>
    <w:p>
      <w:r>
        <w:t>Protective earth is used for electrical safety. It connects exposed conductive parts to the protective earthing system as required by the design.</w:t>
      </w:r>
    </w:p>
    <w:p>
      <w:r>
        <w:t>Examples include:</w:t>
      </w:r>
    </w:p>
    <w:p>
      <w:pPr>
        <w:pStyle w:val="ListBullet"/>
      </w:pPr>
      <w:r>
        <w:t>Metal control-panel enclosure.</w:t>
      </w:r>
    </w:p>
    <w:p>
      <w:pPr>
        <w:pStyle w:val="ListBullet"/>
      </w:pPr>
      <w:r>
        <w:t>Mounting plate where bonding is required.</w:t>
      </w:r>
    </w:p>
    <w:p>
      <w:pPr>
        <w:pStyle w:val="ListBullet"/>
      </w:pPr>
      <w:r>
        <w:t>Metal doors where protective bonding is necessary.</w:t>
      </w:r>
    </w:p>
    <w:p>
      <w:pPr>
        <w:pStyle w:val="ListBullet"/>
      </w:pPr>
      <w:r>
        <w:t>Equipment chassis.</w:t>
      </w:r>
    </w:p>
    <w:p>
      <w:pPr>
        <w:pStyle w:val="ListBullet"/>
      </w:pPr>
      <w:r>
        <w:t>Specified cable armour or other protective elements.</w:t>
      </w:r>
    </w:p>
    <w:p>
      <w:r>
        <w:t>The exact bonding arrangement must follow the applicable standard and equipment instructions.</w:t>
      </w:r>
    </w:p>
    <w:p>
      <w:pPr>
        <w:pStyle w:val="Heading3"/>
      </w:pPr>
      <w:r>
        <w:t>7.2 Functional earth (FE)</w:t>
      </w:r>
    </w:p>
    <w:p>
      <w:r>
        <w:t>Functional earth supports equipment operation or electromagnetic compatibility.</w:t>
      </w:r>
    </w:p>
    <w:p>
      <w:r>
        <w:t>Examples may include:</w:t>
      </w:r>
    </w:p>
    <w:p>
      <w:pPr>
        <w:pStyle w:val="ListBullet"/>
      </w:pPr>
      <w:r>
        <w:t>EMC bonding arrangements.</w:t>
      </w:r>
    </w:p>
    <w:p>
      <w:pPr>
        <w:pStyle w:val="ListBullet"/>
      </w:pPr>
      <w:r>
        <w:t>Reference connections specified by electronic equipment manufacturers.</w:t>
      </w:r>
    </w:p>
    <w:p>
      <w:pPr>
        <w:pStyle w:val="ListBullet"/>
      </w:pPr>
      <w:r>
        <w:t>Functional grounding terminals on instrumentation or control equipment.</w:t>
      </w:r>
    </w:p>
    <w:p>
      <w:r>
        <w:t>Functional earth does not automatically replace PE. A functional connection must not compromise protective earthing requirements.</w:t>
      </w:r>
    </w:p>
    <w:p>
      <w:pPr>
        <w:pStyle w:val="Heading3"/>
      </w:pPr>
      <w:r>
        <w:t>7.3 Green/yellow conductor use</w:t>
      </w:r>
    </w:p>
    <w:p>
      <w:r>
        <w:t>Use green/yellow identification for the protective conductor where required by the applicable standard.</w:t>
      </w:r>
    </w:p>
    <w:p>
      <w:r>
        <w:t>Do not repurpose a green/yellow conductor as a signal wire, ordinary DC return, or switched control conductor.</w:t>
      </w:r>
    </w:p>
    <w:p>
      <w:r>
        <w:t>Protective conductors must have suitable sizing, termination, continuity, and mechanical protection.</w:t>
      </w:r>
    </w:p>
    <w:p>
      <w:pPr>
        <w:pStyle w:val="Heading2"/>
      </w:pPr>
      <w:r>
        <w:t>8. PLC I/O and Instrumentation Wire Identification</w:t>
      </w:r>
    </w:p>
    <w:p>
      <w:r>
        <w:t>PLC I/O wiring should be traceable from the field device to the terminal block and PLC channel.</w:t>
      </w:r>
    </w:p>
    <w:p>
      <w:r>
        <w:t>Examples include:</w:t>
      </w:r>
    </w:p>
    <w:p>
      <w:pPr>
        <w:pStyle w:val="ListBullet"/>
      </w:pPr>
      <w:r>
        <w:t>Digital input from a proximity sensor.</w:t>
      </w:r>
    </w:p>
    <w:p>
      <w:pPr>
        <w:pStyle w:val="ListBullet"/>
      </w:pPr>
      <w:r>
        <w:t>Digital output to a solenoid valve.</w:t>
      </w:r>
    </w:p>
    <w:p>
      <w:pPr>
        <w:pStyle w:val="ListBullet"/>
      </w:pPr>
      <w:r>
        <w:t>Analog input from a pressure transmitter.</w:t>
      </w:r>
    </w:p>
    <w:p>
      <w:pPr>
        <w:pStyle w:val="ListBullet"/>
      </w:pPr>
      <w:r>
        <w:t>Analog output to a proportional valve.</w:t>
      </w:r>
    </w:p>
    <w:p>
      <w:pPr>
        <w:pStyle w:val="ListBullet"/>
      </w:pPr>
      <w:r>
        <w:t>Encoder signals.</w:t>
      </w:r>
    </w:p>
    <w:p>
      <w:pPr>
        <w:pStyle w:val="ListBullet"/>
      </w:pPr>
      <w:r>
        <w:t>Safety input from a guard switch.</w:t>
      </w:r>
    </w:p>
    <w:p>
      <w:pPr>
        <w:pStyle w:val="ListBullet"/>
      </w:pPr>
      <w:r>
        <w:t>Communication connections to remote I/O.</w:t>
      </w:r>
    </w:p>
    <w:p>
      <w:r>
        <w:t>A well-designed identification system combines wire numbers, terminal numbers, device tags, and PLC addresses.</w:t>
      </w:r>
    </w:p>
    <w:p>
      <w:r>
        <w:t>Example:</w:t>
      </w:r>
    </w:p>
    <w:p>
      <w:pPr>
        <w:shd w:val="clear" w:color="auto" w:fill="F4F4F4"/>
        <w:spacing w:before="0" w:after="0" w:line="240" w:lineRule="auto"/>
        <w:ind w:left="216" w:right="216"/>
        <w:jc w:val="left"/>
      </w:pPr>
      <w:r>
        <w:rPr>
          <w:rFonts w:ascii="Consolas" w:hAnsi="Consolas"/>
          <w:color w:val="202020"/>
          <w:sz w:val="18"/>
        </w:rPr>
        <w:t>Field Device: B1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Wire: 1204</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Terminal: X1:14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Wire: 1204</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I0.3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Tag: Part_Present</w:t>
      </w:r>
    </w:p>
    <w:p/>
    <w:p>
      <w:r>
        <w:t>The device tag and PLC address are illustrative. Use the actual I/O addressing and naming rules of the project.</w:t>
      </w:r>
    </w:p>
    <w:p>
      <w:pPr>
        <w:pStyle w:val="Heading3"/>
      </w:pPr>
      <w:r>
        <w:t>8.1 Digital inputs</w:t>
      </w:r>
    </w:p>
    <w:p>
      <w:r>
        <w:t>A digital input circuit may include a sensor, supply, return, terminal block, and PLC input channel.</w:t>
      </w:r>
    </w:p>
    <w:p>
      <w:r>
        <w:t>Record:</w:t>
      </w:r>
    </w:p>
    <w:p>
      <w:pPr>
        <w:pStyle w:val="ListBullet"/>
      </w:pPr>
      <w:r>
        <w:t>Sensor tag.</w:t>
      </w:r>
    </w:p>
    <w:p>
      <w:pPr>
        <w:pStyle w:val="ListBullet"/>
      </w:pPr>
      <w:r>
        <w:t>Supply voltage.</w:t>
      </w:r>
    </w:p>
    <w:p>
      <w:pPr>
        <w:pStyle w:val="ListBullet"/>
      </w:pPr>
      <w:r>
        <w:t>PNP or NPN output type, where applicable.</w:t>
      </w:r>
    </w:p>
    <w:p>
      <w:pPr>
        <w:pStyle w:val="ListBullet"/>
      </w:pPr>
      <w:r>
        <w:t>Input terminal.</w:t>
      </w:r>
    </w:p>
    <w:p>
      <w:pPr>
        <w:pStyle w:val="ListBullet"/>
      </w:pPr>
      <w:r>
        <w:t>Wire number.</w:t>
      </w:r>
    </w:p>
    <w:p>
      <w:pPr>
        <w:pStyle w:val="ListBullet"/>
      </w:pPr>
      <w:r>
        <w:t>PLC rack, slot, and channel or equivalent address.</w:t>
      </w:r>
    </w:p>
    <w:p>
      <w:pPr>
        <w:pStyle w:val="ListBullet"/>
      </w:pPr>
      <w:r>
        <w:t>Signal name and expected state.</w:t>
      </w:r>
    </w:p>
    <w:p>
      <w:r>
        <w:t>Do not assume that a particular wire colour establishes PNP or NPN logic. The circuit diagram and device specifications define the connection.</w:t>
      </w:r>
    </w:p>
    <w:p>
      <w:pPr>
        <w:pStyle w:val="Heading3"/>
      </w:pPr>
      <w:r>
        <w:t>8.2 Analog signals</w:t>
      </w:r>
    </w:p>
    <w:p>
      <w:r>
        <w:t>Analog wiring requires clear identification of signal type and polarity.</w:t>
      </w:r>
    </w:p>
    <w:p>
      <w:r>
        <w:t>For a 4–20 mA transmitter, record:</w:t>
      </w:r>
    </w:p>
    <w:p>
      <w:pPr>
        <w:pStyle w:val="ListBullet"/>
      </w:pPr>
      <w:r>
        <w:t>Loop supply source.</w:t>
      </w:r>
    </w:p>
    <w:p>
      <w:pPr>
        <w:pStyle w:val="ListBullet"/>
      </w:pPr>
      <w:r>
        <w:t>Transmitter positive and negative terminals.</w:t>
      </w:r>
    </w:p>
    <w:p>
      <w:pPr>
        <w:pStyle w:val="ListBullet"/>
      </w:pPr>
      <w:r>
        <w:t>Signal path.</w:t>
      </w:r>
    </w:p>
    <w:p>
      <w:pPr>
        <w:pStyle w:val="ListBullet"/>
      </w:pPr>
      <w:r>
        <w:t>PLC analog input terminals.</w:t>
      </w:r>
    </w:p>
    <w:p>
      <w:pPr>
        <w:pStyle w:val="ListBullet"/>
      </w:pPr>
      <w:r>
        <w:t>Shield termination arrangement.</w:t>
      </w:r>
    </w:p>
    <w:p>
      <w:pPr>
        <w:pStyle w:val="ListBullet"/>
      </w:pPr>
      <w:r>
        <w:t>Signal scaling and engineering units.</w:t>
      </w:r>
    </w:p>
    <w:p>
      <w:r>
        <w:t>A wire colour alone cannot establish whether a circuit is a current loop, voltage signal, or isolated analog interface.</w:t>
      </w:r>
    </w:p>
    <w:p>
      <w:pPr>
        <w:pStyle w:val="Heading3"/>
      </w:pPr>
      <w:r>
        <w:t>8.3 Safety-related wiring</w:t>
      </w:r>
    </w:p>
    <w:p>
      <w:r>
        <w:t>Safety circuits require traceability and adherence to the applicable safety design.</w:t>
      </w:r>
    </w:p>
    <w:p>
      <w:r>
        <w:t>Identify the safety device, terminals, cable, and receiving safety input consistently. Wire colours do not establish a safety integrity level or performance level.</w:t>
      </w:r>
    </w:p>
    <w:p>
      <w:r>
        <w:t>Do not modify a safety circuit based on colour assumptions. Follow the approved schematic, risk assessment, and validation procedure.</w:t>
      </w:r>
    </w:p>
    <w:p>
      <w:pPr>
        <w:pStyle w:val="Heading2"/>
      </w:pPr>
      <w:r>
        <w:t>9. Wire Numbering and Marking</w:t>
      </w:r>
    </w:p>
    <w:p>
      <w:r>
        <w:t>Wire numbering identifies individual conductors or electrical connections according to the project's numbering convention.</w:t>
      </w:r>
    </w:p>
    <w:p>
      <w:r>
        <w:t>A good marking system helps technicians trace a conductor through a panel without relying on colour or physical location.</w:t>
      </w:r>
    </w:p>
    <w:p>
      <w:r>
        <w:t>Common approaches include:</w:t>
      </w:r>
    </w:p>
    <w:p>
      <w:pPr>
        <w:pStyle w:val="ListBullet"/>
      </w:pPr>
      <w:r>
        <w:t>Sequential wire numbering.</w:t>
      </w:r>
    </w:p>
    <w:p>
      <w:pPr>
        <w:pStyle w:val="ListBullet"/>
      </w:pPr>
      <w:r>
        <w:t>Potential-based numbering.</w:t>
      </w:r>
    </w:p>
    <w:p>
      <w:pPr>
        <w:pStyle w:val="ListBullet"/>
      </w:pPr>
      <w:r>
        <w:t>Connection-based numbering.</w:t>
      </w:r>
    </w:p>
    <w:p>
      <w:pPr>
        <w:pStyle w:val="ListBullet"/>
      </w:pPr>
      <w:r>
        <w:t>Device- and terminal-referenced identification.</w:t>
      </w:r>
    </w:p>
    <w:p>
      <w:pPr>
        <w:pStyle w:val="ListBullet"/>
      </w:pPr>
      <w:r>
        <w:t>Manufacturer-specific or CAD-generated wire identifiers.</w:t>
      </w:r>
    </w:p>
    <w:p>
      <w:r>
        <w:t>The project must define the selected method and use it consistently.</w:t>
      </w:r>
    </w:p>
    <w:p>
      <w:pPr>
        <w:pStyle w:val="Heading3"/>
      </w:pPr>
      <w:r>
        <w:t>9.1 Sequential numbering</w:t>
      </w:r>
    </w:p>
    <w:p>
      <w:r>
        <w:t>Example:</w:t>
      </w:r>
    </w:p>
    <w:p>
      <w:pPr>
        <w:shd w:val="clear" w:color="auto" w:fill="F4F4F4"/>
        <w:spacing w:before="0" w:after="0" w:line="240" w:lineRule="auto"/>
        <w:ind w:left="216" w:right="216"/>
        <w:jc w:val="left"/>
      </w:pPr>
      <w:r>
        <w:rPr>
          <w:rFonts w:ascii="Consolas" w:hAnsi="Consolas"/>
          <w:color w:val="202020"/>
          <w:sz w:val="18"/>
        </w:rPr>
        <w:t>1001</w:t>
      </w:r>
    </w:p>
    <w:p>
      <w:pPr>
        <w:shd w:val="clear" w:color="auto" w:fill="F4F4F4"/>
        <w:spacing w:before="0" w:after="0" w:line="240" w:lineRule="auto"/>
        <w:ind w:left="216" w:right="216"/>
        <w:jc w:val="left"/>
      </w:pPr>
      <w:r>
        <w:rPr>
          <w:rFonts w:ascii="Consolas" w:hAnsi="Consolas"/>
          <w:color w:val="202020"/>
          <w:sz w:val="18"/>
        </w:rPr>
        <w:t>1002</w:t>
      </w:r>
    </w:p>
    <w:p>
      <w:pPr>
        <w:shd w:val="clear" w:color="auto" w:fill="F4F4F4"/>
        <w:spacing w:before="0" w:after="0" w:line="240" w:lineRule="auto"/>
        <w:ind w:left="216" w:right="216"/>
        <w:jc w:val="left"/>
      </w:pPr>
      <w:r>
        <w:rPr>
          <w:rFonts w:ascii="Consolas" w:hAnsi="Consolas"/>
          <w:color w:val="202020"/>
          <w:sz w:val="18"/>
        </w:rPr>
        <w:t>1003</w:t>
      </w:r>
    </w:p>
    <w:p>
      <w:pPr>
        <w:shd w:val="clear" w:color="auto" w:fill="F4F4F4"/>
        <w:spacing w:before="0" w:after="0" w:line="240" w:lineRule="auto"/>
        <w:ind w:left="216" w:right="216"/>
        <w:jc w:val="left"/>
      </w:pPr>
      <w:r>
        <w:rPr>
          <w:rFonts w:ascii="Consolas" w:hAnsi="Consolas"/>
          <w:color w:val="202020"/>
          <w:sz w:val="18"/>
        </w:rPr>
        <w:t>1004</w:t>
      </w:r>
    </w:p>
    <w:p/>
    <w:p>
      <w:r>
        <w:t>Advantages:</w:t>
      </w:r>
    </w:p>
    <w:p>
      <w:pPr>
        <w:pStyle w:val="ListBullet"/>
      </w:pPr>
      <w:r>
        <w:t>Easy to generate.</w:t>
      </w:r>
    </w:p>
    <w:p>
      <w:pPr>
        <w:pStyle w:val="ListBullet"/>
      </w:pPr>
      <w:r>
        <w:t>Suitable for simple projects.</w:t>
      </w:r>
    </w:p>
    <w:p>
      <w:pPr>
        <w:pStyle w:val="ListBullet"/>
      </w:pPr>
      <w:r>
        <w:t>Easy to track during assembly.</w:t>
      </w:r>
    </w:p>
    <w:p>
      <w:r>
        <w:t>Limitations:</w:t>
      </w:r>
    </w:p>
    <w:p>
      <w:pPr>
        <w:pStyle w:val="ListBullet"/>
      </w:pPr>
      <w:r>
        <w:t>The number alone does not describe the circuit function.</w:t>
      </w:r>
    </w:p>
    <w:p>
      <w:pPr>
        <w:pStyle w:val="ListBullet"/>
      </w:pPr>
      <w:r>
        <w:t>Changes may require updating drawings and wire lists.</w:t>
      </w:r>
    </w:p>
    <w:p>
      <w:pPr>
        <w:pStyle w:val="ListBullet"/>
      </w:pPr>
      <w:r>
        <w:t>Troubleshooting depends on cross-referencing documentation.</w:t>
      </w:r>
    </w:p>
    <w:p>
      <w:pPr>
        <w:pStyle w:val="Heading3"/>
      </w:pPr>
      <w:r>
        <w:t>9.2 Potential-based identification</w:t>
      </w:r>
    </w:p>
    <w:p>
      <w:r>
        <w:t>A potential-based system identifies conductors by their electrical potential or circuit node, where permitted by the selected scheme.</w:t>
      </w:r>
    </w:p>
    <w:p>
      <w:r>
        <w:t>Conductors electrically connected to the same node may share an identifier. However, different numbering conventions have different rules, and identical potential does not automatically mean that every conductor should have the same wire number.</w:t>
      </w:r>
    </w:p>
    <w:p>
      <w:r>
        <w:t>The approved drawing and numbering standard determine the correct practice.</w:t>
      </w:r>
    </w:p>
    <w:p>
      <w:pPr>
        <w:pStyle w:val="Heading3"/>
      </w:pPr>
      <w:r>
        <w:t>9.3 Device-based identification</w:t>
      </w:r>
    </w:p>
    <w:p>
      <w:r>
        <w:t>A device-based scheme relates a conductor to a device, terminal, or connection reference.</w:t>
      </w:r>
    </w:p>
    <w:p>
      <w:r>
        <w:t>This can help when tracing field devices and multi-terminal components. However, it must be designed carefully to avoid ambiguous or excessively long identifiers.</w:t>
      </w:r>
    </w:p>
    <w:p>
      <w:pPr>
        <w:pStyle w:val="Heading3"/>
      </w:pPr>
      <w:r>
        <w:t>9.4 Wire number versus terminal number</w:t>
      </w:r>
    </w:p>
    <w:p>
      <w:r>
        <w:t>These are not the same thing.</w:t>
      </w:r>
    </w:p>
    <w:p>
      <w:pPr>
        <w:pStyle w:val="ListBullet"/>
      </w:pPr>
      <w:r>
        <w:t>Wire number: Identifies the conductor or connection according to the drawing convention.</w:t>
      </w:r>
    </w:p>
    <w:p>
      <w:pPr>
        <w:pStyle w:val="ListBullet"/>
      </w:pPr>
      <w:r>
        <w:t>Terminal number: Identifies a connection point on a terminal block or device.</w:t>
      </w:r>
    </w:p>
    <w:p>
      <w:pPr>
        <w:pStyle w:val="ListBullet"/>
      </w:pPr>
      <w:r>
        <w:t>Device tag: Identifies the component.</w:t>
      </w:r>
    </w:p>
    <w:p>
      <w:pPr>
        <w:pStyle w:val="ListBullet"/>
      </w:pPr>
      <w:r>
        <w:t>PLC address: Identifies an I/O channel or logical point.</w:t>
      </w:r>
    </w:p>
    <w:p>
      <w:pPr>
        <w:pStyle w:val="ListBullet"/>
      </w:pPr>
      <w:r>
        <w:t>Signal name: Describes the intended function.</w:t>
      </w:r>
    </w:p>
    <w:p>
      <w:r>
        <w:t xml:space="preserve">For example, </w:t>
      </w:r>
      <w:r>
        <w:rPr>
          <w:rFonts w:ascii="Consolas" w:hAnsi="Consolas"/>
          <w:color w:val="333333"/>
          <w:sz w:val="19"/>
          <w:shd w:val="clear" w:color="auto" w:fill="EFEFEF"/>
        </w:rPr>
        <w:t>1204</w:t>
      </w:r>
      <w:r>
        <w:t xml:space="preserve"> might be a wire number, </w:t>
      </w:r>
      <w:r>
        <w:rPr>
          <w:rFonts w:ascii="Consolas" w:hAnsi="Consolas"/>
          <w:color w:val="333333"/>
          <w:sz w:val="19"/>
          <w:shd w:val="clear" w:color="auto" w:fill="EFEFEF"/>
        </w:rPr>
        <w:t>X1:14</w:t>
      </w:r>
      <w:r>
        <w:t xml:space="preserve"> a terminal reference, </w:t>
      </w:r>
      <w:r>
        <w:rPr>
          <w:rFonts w:ascii="Consolas" w:hAnsi="Consolas"/>
          <w:color w:val="333333"/>
          <w:sz w:val="19"/>
          <w:shd w:val="clear" w:color="auto" w:fill="EFEFEF"/>
        </w:rPr>
        <w:t>B1</w:t>
      </w:r>
      <w:r>
        <w:t xml:space="preserve"> a sensor tag, and </w:t>
      </w:r>
      <w:r>
        <w:rPr>
          <w:rFonts w:ascii="Consolas" w:hAnsi="Consolas"/>
          <w:color w:val="333333"/>
          <w:sz w:val="19"/>
          <w:shd w:val="clear" w:color="auto" w:fill="EFEFEF"/>
        </w:rPr>
        <w:t>Part_Present</w:t>
      </w:r>
      <w:r>
        <w:t xml:space="preserve"> the PLC signal name.</w:t>
      </w:r>
    </w:p>
    <w:p>
      <w:pPr>
        <w:pStyle w:val="Heading2"/>
      </w:pPr>
      <w:r>
        <w:t>10. Ferrules and Wire Markers</w:t>
      </w:r>
    </w:p>
    <w:p>
      <w:r>
        <w:t>Ferrules and wire markers improve identification and termination quality.</w:t>
      </w:r>
    </w:p>
    <w:p>
      <w:pPr>
        <w:pStyle w:val="Heading3"/>
      </w:pPr>
      <w:r>
        <w:t>10.1 Ferrules</w:t>
      </w:r>
    </w:p>
    <w:p>
      <w:r>
        <w:t>Ferrules are metal sleeves, commonly with an insulating collar, used on suitable stranded conductors to provide an appropriate termination.</w:t>
      </w:r>
    </w:p>
    <w:p>
      <w:r>
        <w:t>They can improve conductor preparation and reduce strand damage when used with compatible terminals and approved crimping tools.</w:t>
      </w:r>
    </w:p>
    <w:p>
      <w:r>
        <w:t>Important points:</w:t>
      </w:r>
    </w:p>
    <w:p>
      <w:pPr>
        <w:pStyle w:val="ListBullet"/>
      </w:pPr>
      <w:r>
        <w:t>Use a ferrule suitable for the conductor size and terminal.</w:t>
      </w:r>
    </w:p>
    <w:p>
      <w:pPr>
        <w:pStyle w:val="ListBullet"/>
      </w:pPr>
      <w:r>
        <w:t>Select the correct ferrule length and type.</w:t>
      </w:r>
    </w:p>
    <w:p>
      <w:pPr>
        <w:pStyle w:val="ListBullet"/>
      </w:pPr>
      <w:r>
        <w:t>Use the specified crimping tool.</w:t>
      </w:r>
    </w:p>
    <w:p>
      <w:pPr>
        <w:pStyle w:val="ListBullet"/>
      </w:pPr>
      <w:r>
        <w:t>Do not insert an oversized ferrule into a terminal.</w:t>
      </w:r>
    </w:p>
    <w:p>
      <w:pPr>
        <w:pStyle w:val="ListBullet"/>
      </w:pPr>
      <w:r>
        <w:t>Do not assume every terminal accepts ferrules.</w:t>
      </w:r>
    </w:p>
    <w:p>
      <w:pPr>
        <w:pStyle w:val="ListBullet"/>
      </w:pPr>
      <w:r>
        <w:t>Follow the terminal manufacturer's requirements for single or multiple conductors.</w:t>
      </w:r>
    </w:p>
    <w:p>
      <w:pPr>
        <w:pStyle w:val="Heading3"/>
      </w:pPr>
      <w:r>
        <w:t>10.2 Wire markers</w:t>
      </w:r>
    </w:p>
    <w:p>
      <w:r>
        <w:t>Wire markers can be:</w:t>
      </w:r>
    </w:p>
    <w:p>
      <w:pPr>
        <w:pStyle w:val="ListBullet"/>
      </w:pPr>
      <w:r>
        <w:t>Clip-on markers.</w:t>
      </w:r>
    </w:p>
    <w:p>
      <w:pPr>
        <w:pStyle w:val="ListBullet"/>
      </w:pPr>
      <w:r>
        <w:t>Slip-on markers.</w:t>
      </w:r>
    </w:p>
    <w:p>
      <w:pPr>
        <w:pStyle w:val="ListBullet"/>
      </w:pPr>
      <w:r>
        <w:t>Heat-shrink markers.</w:t>
      </w:r>
    </w:p>
    <w:p>
      <w:pPr>
        <w:pStyle w:val="ListBullet"/>
      </w:pPr>
      <w:r>
        <w:t>Printed sleeves.</w:t>
      </w:r>
    </w:p>
    <w:p>
      <w:pPr>
        <w:pStyle w:val="ListBullet"/>
      </w:pPr>
      <w:r>
        <w:t>Self-laminating labels.</w:t>
      </w:r>
    </w:p>
    <w:p>
      <w:pPr>
        <w:pStyle w:val="ListBullet"/>
      </w:pPr>
      <w:r>
        <w:t>Marker strips designed for terminal blocks.</w:t>
      </w:r>
    </w:p>
    <w:p>
      <w:r>
        <w:t>Select the marker according to conductor size, temperature, chemical exposure, vibration, and readability requirements.</w:t>
      </w:r>
    </w:p>
    <w:p>
      <w:r>
        <w:t>The marking should remain legible over the expected service life.</w:t>
      </w:r>
    </w:p>
    <w:p>
      <w:pPr>
        <w:pStyle w:val="Heading3"/>
      </w:pPr>
      <w:r>
        <w:t>10.3 Marking both ends</w:t>
      </w:r>
    </w:p>
    <w:p>
      <w:r>
        <w:t>Where required by the drawing and project standard, identify both ends of the conductor. For conductors routed through ducts, terminal blocks, or field junction boxes, consistent marking reduces tracing time.</w:t>
      </w:r>
    </w:p>
    <w:p>
      <w:r>
        <w:t>For long field cables, cable identification at both ends is also important. Cable IDs and individual conductor IDs serve different purposes.</w:t>
      </w:r>
    </w:p>
    <w:p>
      <w:pPr>
        <w:pStyle w:val="Heading2"/>
      </w:pPr>
      <w:r>
        <w:t>11. Cable Identification versus Individual Wire Identification</w:t>
      </w:r>
    </w:p>
    <w:p>
      <w:r>
        <w:t>A multi-core cable may have a cable number, while each core has its own conductor identification.</w:t>
      </w:r>
    </w:p>
    <w:p>
      <w:r>
        <w:t>Example:</w:t>
      </w:r>
    </w:p>
    <w:p>
      <w:pPr>
        <w:shd w:val="clear" w:color="auto" w:fill="F4F4F4"/>
        <w:spacing w:before="0" w:after="0" w:line="240" w:lineRule="auto"/>
        <w:ind w:left="216" w:right="216"/>
        <w:jc w:val="left"/>
      </w:pPr>
      <w:r>
        <w:rPr>
          <w:rFonts w:ascii="Consolas" w:hAnsi="Consolas"/>
          <w:color w:val="202020"/>
          <w:sz w:val="18"/>
        </w:rPr>
        <w:t>Cable: C-204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Core 1: 2041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Core 2: 2042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Core 3: 2043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Core 4: 2044</w:t>
      </w:r>
    </w:p>
    <w:p/>
    <w:p>
      <w:r>
        <w:t>The example numbering is illustrative.</w:t>
      </w:r>
    </w:p>
    <w:p>
      <w:r>
        <w:t>A cable schedule should document:</w:t>
      </w:r>
    </w:p>
    <w:p>
      <w:pPr>
        <w:pStyle w:val="ListBullet"/>
      </w:pPr>
      <w:r>
        <w:t>Cable ID.</w:t>
      </w:r>
    </w:p>
    <w:p>
      <w:pPr>
        <w:pStyle w:val="ListBullet"/>
      </w:pPr>
      <w:r>
        <w:t>Origin and destination.</w:t>
      </w:r>
    </w:p>
    <w:p>
      <w:pPr>
        <w:pStyle w:val="ListBullet"/>
      </w:pPr>
      <w:r>
        <w:t>Cable type and core count.</w:t>
      </w:r>
    </w:p>
    <w:p>
      <w:pPr>
        <w:pStyle w:val="ListBullet"/>
      </w:pPr>
      <w:r>
        <w:t>Conductor size.</w:t>
      </w:r>
    </w:p>
    <w:p>
      <w:pPr>
        <w:pStyle w:val="ListBullet"/>
      </w:pPr>
      <w:r>
        <w:t>Shield or armour details.</w:t>
      </w:r>
    </w:p>
    <w:p>
      <w:pPr>
        <w:pStyle w:val="ListBullet"/>
      </w:pPr>
      <w:r>
        <w:t>Core usage.</w:t>
      </w:r>
    </w:p>
    <w:p>
      <w:pPr>
        <w:pStyle w:val="ListBullet"/>
      </w:pPr>
      <w:r>
        <w:t>Connector or terminal references.</w:t>
      </w:r>
    </w:p>
    <w:p>
      <w:pPr>
        <w:pStyle w:val="ListBullet"/>
      </w:pPr>
      <w:r>
        <w:t>Routing and installation information.</w:t>
      </w:r>
    </w:p>
    <w:p>
      <w:r>
        <w:t>This is especially useful for remote I/O, robot dress packs, CNC machine interfaces, and cables between electrical cabinets.</w:t>
      </w:r>
    </w:p>
    <w:p>
      <w:pPr>
        <w:pStyle w:val="Heading2"/>
      </w:pPr>
      <w:r>
        <w:t>12. Wire Marking in Drawings and CAD Systems</w:t>
      </w:r>
    </w:p>
    <w:p>
      <w:r>
        <w:t>Wire markings should match the electrical drawings, terminal plans, and wire lists.</w:t>
      </w:r>
    </w:p>
    <w:p>
      <w:r>
        <w:t>Typical engineering outputs include:</w:t>
      </w:r>
    </w:p>
    <w:p>
      <w:pPr>
        <w:pStyle w:val="ListBullet"/>
      </w:pPr>
      <w:r>
        <w:t>Electrical schematic.</w:t>
      </w:r>
    </w:p>
    <w:p>
      <w:pPr>
        <w:pStyle w:val="ListBullet"/>
      </w:pPr>
      <w:r>
        <w:t>Terminal plan.</w:t>
      </w:r>
    </w:p>
    <w:p>
      <w:pPr>
        <w:pStyle w:val="ListBullet"/>
      </w:pPr>
      <w:r>
        <w:t>Cable schedule.</w:t>
      </w:r>
    </w:p>
    <w:p>
      <w:pPr>
        <w:pStyle w:val="ListBullet"/>
      </w:pPr>
      <w:r>
        <w:t>Wire list.</w:t>
      </w:r>
    </w:p>
    <w:p>
      <w:pPr>
        <w:pStyle w:val="ListBullet"/>
      </w:pPr>
      <w:r>
        <w:t>I/O list.</w:t>
      </w:r>
    </w:p>
    <w:p>
      <w:pPr>
        <w:pStyle w:val="ListBullet"/>
      </w:pPr>
      <w:r>
        <w:t>Panel layout.</w:t>
      </w:r>
    </w:p>
    <w:p>
      <w:pPr>
        <w:pStyle w:val="ListBullet"/>
      </w:pPr>
      <w:r>
        <w:t>Device list.</w:t>
      </w:r>
    </w:p>
    <w:p>
      <w:pPr>
        <w:pStyle w:val="ListBullet"/>
      </w:pPr>
      <w:r>
        <w:t>Bill of materials.</w:t>
      </w:r>
    </w:p>
    <w:p>
      <w:pPr>
        <w:pStyle w:val="ListBullet"/>
      </w:pPr>
      <w:r>
        <w:t>Revision history.</w:t>
      </w:r>
    </w:p>
    <w:p>
      <w:r>
        <w:t>If a wire is changed during commissioning, update the drawing and relevant records through the approved revision process.</w:t>
      </w:r>
    </w:p>
    <w:p>
      <w:r>
        <w:t>A physically correct modification with an outdated schematic creates future maintenance risk. The next technician should not need to reverse-engineer the panel simply because the documentation was never updated.</w:t>
      </w:r>
    </w:p>
    <w:p>
      <w:pPr>
        <w:pStyle w:val="Heading3"/>
      </w:pPr>
      <w:r>
        <w:t>12.1 Cross-references</w:t>
      </w:r>
    </w:p>
    <w:p>
      <w:r>
        <w:t>Where a circuit continues across multiple drawing sheets, use clear cross-references. These should allow the technician to locate the source, destination, and associated device.</w:t>
      </w:r>
    </w:p>
    <w:p>
      <w:r>
        <w:t>For complex panels, cross-referencing should be supported by the CAD system's wire-numbering and connection-reporting functions where available.</w:t>
      </w:r>
    </w:p>
    <w:p>
      <w:pPr>
        <w:pStyle w:val="Heading2"/>
      </w:pPr>
      <w:r>
        <w:t>13. Common Wire-Identification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Using green/yellow for ordinary signals</w:t>
            </w:r>
          </w:p>
        </w:tc>
        <w:tc>
          <w:tcPr>
            <w:tcW w:type="dxa" w:w="3600"/>
          </w:tcPr>
          <w:p>
            <w:pPr>
              <w:spacing w:after="0" w:before="0" w:line="240" w:lineRule="auto"/>
              <w:jc w:val="left"/>
            </w:pPr>
            <w:r>
              <w:t>Confusion with protective conductors</w:t>
            </w:r>
          </w:p>
        </w:tc>
        <w:tc>
          <w:tcPr>
            <w:tcW w:type="dxa" w:w="3600"/>
          </w:tcPr>
          <w:p>
            <w:pPr>
              <w:spacing w:after="0" w:before="0" w:line="240" w:lineRule="auto"/>
              <w:jc w:val="left"/>
            </w:pPr>
            <w:r>
              <w:t>Reserve it for the permitted protective-conductor function</w:t>
            </w:r>
          </w:p>
        </w:tc>
      </w:tr>
      <w:tr>
        <w:tc>
          <w:tcPr>
            <w:tcW w:type="dxa" w:w="3600"/>
          </w:tcPr>
          <w:p>
            <w:pPr>
              <w:spacing w:after="0" w:before="0" w:line="240" w:lineRule="auto"/>
              <w:jc w:val="left"/>
            </w:pPr>
            <w:r>
              <w:t>Assuming blue always means neutral</w:t>
            </w:r>
          </w:p>
        </w:tc>
        <w:tc>
          <w:tcPr>
            <w:tcW w:type="dxa" w:w="3600"/>
          </w:tcPr>
          <w:p>
            <w:pPr>
              <w:spacing w:after="0" w:before="0" w:line="240" w:lineRule="auto"/>
              <w:jc w:val="left"/>
            </w:pPr>
            <w:r>
              <w:t>Misidentification of DC or other circuits</w:t>
            </w:r>
          </w:p>
        </w:tc>
        <w:tc>
          <w:tcPr>
            <w:tcW w:type="dxa" w:w="3600"/>
          </w:tcPr>
          <w:p>
            <w:pPr>
              <w:spacing w:after="0" w:before="0" w:line="240" w:lineRule="auto"/>
              <w:jc w:val="left"/>
            </w:pPr>
            <w:r>
              <w:t>Verify the applicable colour scheme and drawings</w:t>
            </w:r>
          </w:p>
        </w:tc>
      </w:tr>
      <w:tr>
        <w:tc>
          <w:tcPr>
            <w:tcW w:type="dxa" w:w="3600"/>
          </w:tcPr>
          <w:p>
            <w:pPr>
              <w:spacing w:after="0" w:before="0" w:line="240" w:lineRule="auto"/>
              <w:jc w:val="left"/>
            </w:pPr>
            <w:r>
              <w:t>Using inconsistent colours within a panel</w:t>
            </w:r>
          </w:p>
        </w:tc>
        <w:tc>
          <w:tcPr>
            <w:tcW w:type="dxa" w:w="3600"/>
          </w:tcPr>
          <w:p>
            <w:pPr>
              <w:spacing w:after="0" w:before="0" w:line="240" w:lineRule="auto"/>
              <w:jc w:val="left"/>
            </w:pPr>
            <w:r>
              <w:t>Slower troubleshooting and increased error risk</w:t>
            </w:r>
          </w:p>
        </w:tc>
        <w:tc>
          <w:tcPr>
            <w:tcW w:type="dxa" w:w="3600"/>
          </w:tcPr>
          <w:p>
            <w:pPr>
              <w:spacing w:after="0" w:before="0" w:line="240" w:lineRule="auto"/>
              <w:jc w:val="left"/>
            </w:pPr>
            <w:r>
              <w:t>Apply the approved colour schedule</w:t>
            </w:r>
          </w:p>
        </w:tc>
      </w:tr>
      <w:tr>
        <w:tc>
          <w:tcPr>
            <w:tcW w:type="dxa" w:w="3600"/>
          </w:tcPr>
          <w:p>
            <w:pPr>
              <w:spacing w:after="0" w:before="0" w:line="240" w:lineRule="auto"/>
              <w:jc w:val="left"/>
            </w:pPr>
            <w:r>
              <w:t>Omitting wire markers</w:t>
            </w:r>
          </w:p>
        </w:tc>
        <w:tc>
          <w:tcPr>
            <w:tcW w:type="dxa" w:w="3600"/>
          </w:tcPr>
          <w:p>
            <w:pPr>
              <w:spacing w:after="0" w:before="0" w:line="240" w:lineRule="auto"/>
              <w:jc w:val="left"/>
            </w:pPr>
            <w:r>
              <w:t>Difficult conductor tracing</w:t>
            </w:r>
          </w:p>
        </w:tc>
        <w:tc>
          <w:tcPr>
            <w:tcW w:type="dxa" w:w="3600"/>
          </w:tcPr>
          <w:p>
            <w:pPr>
              <w:spacing w:after="0" w:before="0" w:line="240" w:lineRule="auto"/>
              <w:jc w:val="left"/>
            </w:pPr>
            <w:r>
              <w:t>Mark conductors consistently at required locations</w:t>
            </w:r>
          </w:p>
        </w:tc>
      </w:tr>
      <w:tr>
        <w:tc>
          <w:tcPr>
            <w:tcW w:type="dxa" w:w="3600"/>
          </w:tcPr>
          <w:p>
            <w:pPr>
              <w:spacing w:after="0" w:before="0" w:line="240" w:lineRule="auto"/>
              <w:jc w:val="left"/>
            </w:pPr>
            <w:r>
              <w:t>Reusing a wire number incorrectly</w:t>
            </w:r>
          </w:p>
        </w:tc>
        <w:tc>
          <w:tcPr>
            <w:tcW w:type="dxa" w:w="3600"/>
          </w:tcPr>
          <w:p>
            <w:pPr>
              <w:spacing w:after="0" w:before="0" w:line="240" w:lineRule="auto"/>
              <w:jc w:val="left"/>
            </w:pPr>
            <w:r>
              <w:t>Ambiguous identification</w:t>
            </w:r>
          </w:p>
        </w:tc>
        <w:tc>
          <w:tcPr>
            <w:tcW w:type="dxa" w:w="3600"/>
          </w:tcPr>
          <w:p>
            <w:pPr>
              <w:spacing w:after="0" w:before="0" w:line="240" w:lineRule="auto"/>
              <w:jc w:val="left"/>
            </w:pPr>
            <w:r>
              <w:t>Follow the documented numbering rules</w:t>
            </w:r>
          </w:p>
        </w:tc>
      </w:tr>
      <w:tr>
        <w:tc>
          <w:tcPr>
            <w:tcW w:type="dxa" w:w="3600"/>
          </w:tcPr>
          <w:p>
            <w:pPr>
              <w:spacing w:after="0" w:before="0" w:line="240" w:lineRule="auto"/>
              <w:jc w:val="left"/>
            </w:pPr>
            <w:r>
              <w:t>Marking only one end where both ends are required</w:t>
            </w:r>
          </w:p>
        </w:tc>
        <w:tc>
          <w:tcPr>
            <w:tcW w:type="dxa" w:w="3600"/>
          </w:tcPr>
          <w:p>
            <w:pPr>
              <w:spacing w:after="0" w:before="0" w:line="240" w:lineRule="auto"/>
              <w:jc w:val="left"/>
            </w:pPr>
            <w:r>
              <w:t>Increased tracing time and misconnection risk</w:t>
            </w:r>
          </w:p>
        </w:tc>
        <w:tc>
          <w:tcPr>
            <w:tcW w:type="dxa" w:w="3600"/>
          </w:tcPr>
          <w:p>
            <w:pPr>
              <w:spacing w:after="0" w:before="0" w:line="240" w:lineRule="auto"/>
              <w:jc w:val="left"/>
            </w:pPr>
            <w:r>
              <w:t>Apply the project's end-marking rules</w:t>
            </w:r>
          </w:p>
        </w:tc>
      </w:tr>
      <w:tr>
        <w:tc>
          <w:tcPr>
            <w:tcW w:type="dxa" w:w="3600"/>
          </w:tcPr>
          <w:p>
            <w:pPr>
              <w:spacing w:after="0" w:before="0" w:line="240" w:lineRule="auto"/>
              <w:jc w:val="left"/>
            </w:pPr>
            <w:r>
              <w:t>Using unreadable or faded labels</w:t>
            </w:r>
          </w:p>
        </w:tc>
        <w:tc>
          <w:tcPr>
            <w:tcW w:type="dxa" w:w="3600"/>
          </w:tcPr>
          <w:p>
            <w:pPr>
              <w:spacing w:after="0" w:before="0" w:line="240" w:lineRule="auto"/>
              <w:jc w:val="left"/>
            </w:pPr>
            <w:r>
              <w:t>Loss of traceability</w:t>
            </w:r>
          </w:p>
        </w:tc>
        <w:tc>
          <w:tcPr>
            <w:tcW w:type="dxa" w:w="3600"/>
          </w:tcPr>
          <w:p>
            <w:pPr>
              <w:spacing w:after="0" w:before="0" w:line="240" w:lineRule="auto"/>
              <w:jc w:val="left"/>
            </w:pPr>
            <w:r>
              <w:t>Select durable, legible markers</w:t>
            </w:r>
          </w:p>
        </w:tc>
      </w:tr>
      <w:tr>
        <w:tc>
          <w:tcPr>
            <w:tcW w:type="dxa" w:w="3600"/>
          </w:tcPr>
          <w:p>
            <w:pPr>
              <w:spacing w:after="0" w:before="0" w:line="240" w:lineRule="auto"/>
              <w:jc w:val="left"/>
            </w:pPr>
            <w:r>
              <w:t>Failing to update drawings</w:t>
            </w:r>
          </w:p>
        </w:tc>
        <w:tc>
          <w:tcPr>
            <w:tcW w:type="dxa" w:w="3600"/>
          </w:tcPr>
          <w:p>
            <w:pPr>
              <w:spacing w:after="0" w:before="0" w:line="240" w:lineRule="auto"/>
              <w:jc w:val="left"/>
            </w:pPr>
            <w:r>
              <w:t>Incorrect future maintenance decisions</w:t>
            </w:r>
          </w:p>
        </w:tc>
        <w:tc>
          <w:tcPr>
            <w:tcW w:type="dxa" w:w="3600"/>
          </w:tcPr>
          <w:p>
            <w:pPr>
              <w:spacing w:after="0" w:before="0" w:line="240" w:lineRule="auto"/>
              <w:jc w:val="left"/>
            </w:pPr>
            <w:r>
              <w:t>Update as-built documentation after approved changes</w:t>
            </w:r>
          </w:p>
        </w:tc>
      </w:tr>
      <w:tr>
        <w:tc>
          <w:tcPr>
            <w:tcW w:type="dxa" w:w="3600"/>
          </w:tcPr>
          <w:p>
            <w:pPr>
              <w:spacing w:after="0" w:before="0" w:line="240" w:lineRule="auto"/>
              <w:jc w:val="left"/>
            </w:pPr>
            <w:r>
              <w:t>Assuming colour proves a conductor is de-energized</w:t>
            </w:r>
          </w:p>
        </w:tc>
        <w:tc>
          <w:tcPr>
            <w:tcW w:type="dxa" w:w="3600"/>
          </w:tcPr>
          <w:p>
            <w:pPr>
              <w:spacing w:after="0" w:before="0" w:line="240" w:lineRule="auto"/>
              <w:jc w:val="left"/>
            </w:pPr>
            <w:r>
              <w:t>Electric shock or arc-flash risk</w:t>
            </w:r>
          </w:p>
        </w:tc>
        <w:tc>
          <w:tcPr>
            <w:tcW w:type="dxa" w:w="3600"/>
          </w:tcPr>
          <w:p>
            <w:pPr>
              <w:spacing w:after="0" w:before="0" w:line="240" w:lineRule="auto"/>
              <w:jc w:val="left"/>
            </w:pPr>
            <w:r>
              <w:t>Isolate, verify absence of voltage, and follow safety procedures</w:t>
            </w:r>
          </w:p>
        </w:tc>
      </w:tr>
      <w:tr>
        <w:tc>
          <w:tcPr>
            <w:tcW w:type="dxa" w:w="3600"/>
          </w:tcPr>
          <w:p>
            <w:pPr>
              <w:spacing w:after="0" w:before="0" w:line="240" w:lineRule="auto"/>
              <w:jc w:val="left"/>
            </w:pPr>
            <w:r>
              <w:t>Mixing neutral and PE identification</w:t>
            </w:r>
          </w:p>
        </w:tc>
        <w:tc>
          <w:tcPr>
            <w:tcW w:type="dxa" w:w="3600"/>
          </w:tcPr>
          <w:p>
            <w:pPr>
              <w:spacing w:after="0" w:before="0" w:line="240" w:lineRule="auto"/>
              <w:jc w:val="left"/>
            </w:pPr>
            <w:r>
              <w:t>Safety and compliance problems</w:t>
            </w:r>
          </w:p>
        </w:tc>
        <w:tc>
          <w:tcPr>
            <w:tcW w:type="dxa" w:w="3600"/>
          </w:tcPr>
          <w:p>
            <w:pPr>
              <w:spacing w:after="0" w:before="0" w:line="240" w:lineRule="auto"/>
              <w:jc w:val="left"/>
            </w:pPr>
            <w:r>
              <w:t>Keep their functions and terminations distinct</w:t>
            </w:r>
          </w:p>
        </w:tc>
      </w:tr>
    </w:tbl>
    <w:p/>
    <w:p>
      <w:pPr>
        <w:pStyle w:val="Heading2"/>
      </w:pPr>
      <w:r>
        <w:t>14. Troubleshooting Using Wire Colours and Markers</w:t>
      </w:r>
    </w:p>
    <w:p>
      <w:r>
        <w:t>When troubleshooting a control panel:</w:t>
      </w:r>
    </w:p>
    <w:p>
      <w:pPr>
        <w:tabs>
          <w:tab w:pos="403" w:val="left"/>
        </w:tabs>
        <w:spacing w:after="40" w:line="276" w:lineRule="auto"/>
        <w:ind w:left="403" w:hanging="403"/>
        <w:jc w:val="left"/>
      </w:pPr>
      <w:r>
        <w:rPr>
          <w:color w:val="1A2E4A"/>
        </w:rPr>
        <w:t>1.</w:t>
        <w:tab/>
      </w:r>
      <w:r>
        <w:t>Identify the affected device and signal from the fault report.</w:t>
      </w:r>
    </w:p>
    <w:p>
      <w:pPr>
        <w:tabs>
          <w:tab w:pos="403" w:val="left"/>
        </w:tabs>
        <w:spacing w:after="40" w:line="276" w:lineRule="auto"/>
        <w:ind w:left="403" w:hanging="403"/>
        <w:jc w:val="left"/>
      </w:pPr>
      <w:r>
        <w:rPr>
          <w:color w:val="1A2E4A"/>
        </w:rPr>
        <w:t>2.</w:t>
        <w:tab/>
      </w:r>
      <w:r>
        <w:t>Locate the relevant schematic and device tag.</w:t>
      </w:r>
    </w:p>
    <w:p>
      <w:pPr>
        <w:tabs>
          <w:tab w:pos="403" w:val="left"/>
        </w:tabs>
        <w:spacing w:after="40" w:line="276" w:lineRule="auto"/>
        <w:ind w:left="403" w:hanging="403"/>
        <w:jc w:val="left"/>
      </w:pPr>
      <w:r>
        <w:rPr>
          <w:color w:val="1A2E4A"/>
        </w:rPr>
        <w:t>3.</w:t>
        <w:tab/>
      </w:r>
      <w:r>
        <w:t>Trace the wire number from the device to the terminal block and receiving equipment.</w:t>
      </w:r>
    </w:p>
    <w:p>
      <w:pPr>
        <w:tabs>
          <w:tab w:pos="403" w:val="left"/>
        </w:tabs>
        <w:spacing w:after="40" w:line="276" w:lineRule="auto"/>
        <w:ind w:left="403" w:hanging="403"/>
        <w:jc w:val="left"/>
      </w:pPr>
      <w:r>
        <w:rPr>
          <w:color w:val="1A2E4A"/>
        </w:rPr>
        <w:t>4.</w:t>
        <w:tab/>
      </w:r>
      <w:r>
        <w:t>Verify terminal designations and electrical characteristics.</w:t>
      </w:r>
    </w:p>
    <w:p>
      <w:pPr>
        <w:tabs>
          <w:tab w:pos="403" w:val="left"/>
        </w:tabs>
        <w:spacing w:after="40" w:line="276" w:lineRule="auto"/>
        <w:ind w:left="403" w:hanging="403"/>
        <w:jc w:val="left"/>
      </w:pPr>
      <w:r>
        <w:rPr>
          <w:color w:val="1A2E4A"/>
        </w:rPr>
        <w:t>5.</w:t>
        <w:tab/>
      </w:r>
      <w:r>
        <w:t>Apply the approved isolation and testing procedure before touching conductors.</w:t>
      </w:r>
    </w:p>
    <w:p>
      <w:pPr>
        <w:tabs>
          <w:tab w:pos="403" w:val="left"/>
        </w:tabs>
        <w:spacing w:after="40" w:line="276" w:lineRule="auto"/>
        <w:ind w:left="403" w:hanging="403"/>
        <w:jc w:val="left"/>
      </w:pPr>
      <w:r>
        <w:rPr>
          <w:color w:val="1A2E4A"/>
        </w:rPr>
        <w:t>6.</w:t>
        <w:tab/>
      </w:r>
      <w:r>
        <w:t>Check continuity or voltage using appropriate instruments and test methods.</w:t>
      </w:r>
    </w:p>
    <w:p>
      <w:pPr>
        <w:tabs>
          <w:tab w:pos="403" w:val="left"/>
        </w:tabs>
        <w:spacing w:after="40" w:line="276" w:lineRule="auto"/>
        <w:ind w:left="403" w:hanging="403"/>
        <w:jc w:val="left"/>
      </w:pPr>
      <w:r>
        <w:rPr>
          <w:color w:val="1A2E4A"/>
        </w:rPr>
        <w:t>7.</w:t>
        <w:tab/>
      </w:r>
      <w:r>
        <w:t>Compare the physical wiring with the drawing.</w:t>
      </w:r>
    </w:p>
    <w:p>
      <w:pPr>
        <w:tabs>
          <w:tab w:pos="403" w:val="left"/>
        </w:tabs>
        <w:spacing w:after="40" w:line="276" w:lineRule="auto"/>
        <w:ind w:left="403" w:hanging="403"/>
        <w:jc w:val="left"/>
      </w:pPr>
      <w:r>
        <w:rPr>
          <w:color w:val="1A2E4A"/>
        </w:rPr>
        <w:t>8.</w:t>
        <w:tab/>
      </w:r>
      <w:r>
        <w:t>Record any discrepancy and implement an approved correction.</w:t>
      </w:r>
    </w:p>
    <w:p>
      <w:pPr>
        <w:tabs>
          <w:tab w:pos="403" w:val="left"/>
        </w:tabs>
        <w:spacing w:after="40" w:line="276" w:lineRule="auto"/>
        <w:ind w:left="403" w:hanging="403"/>
        <w:jc w:val="left"/>
      </w:pPr>
      <w:r>
        <w:rPr>
          <w:color w:val="1A2E4A"/>
        </w:rPr>
        <w:t>9.</w:t>
        <w:tab/>
      </w:r>
      <w:r>
        <w:t>Update the documentation if the circuit is modified.</w:t>
      </w:r>
    </w:p>
    <w:p>
      <w:pPr>
        <w:pStyle w:val="Heading3"/>
      </w:pPr>
      <w:r>
        <w:t>14.1 Example: Proximity sensor not detected</w:t>
      </w:r>
    </w:p>
    <w:p>
      <w:r>
        <w:t>Suppose a proximity sensor does not change the PLC input state.</w:t>
      </w:r>
    </w:p>
    <w:p>
      <w:r>
        <w:t>Check:</w:t>
      </w:r>
    </w:p>
    <w:p>
      <w:pPr>
        <w:pStyle w:val="ListBullet"/>
      </w:pPr>
      <w:r>
        <w:t>Sensor supply voltage.</w:t>
      </w:r>
    </w:p>
    <w:p>
      <w:pPr>
        <w:pStyle w:val="ListBullet"/>
      </w:pPr>
      <w:r>
        <w:t>Sensor output type and switching behavior.</w:t>
      </w:r>
    </w:p>
    <w:p>
      <w:pPr>
        <w:pStyle w:val="ListBullet"/>
      </w:pPr>
      <w:r>
        <w:t>Wire number and field terminal.</w:t>
      </w:r>
    </w:p>
    <w:p>
      <w:pPr>
        <w:pStyle w:val="ListBullet"/>
      </w:pPr>
      <w:r>
        <w:t>Terminal-block connections.</w:t>
      </w:r>
    </w:p>
    <w:p>
      <w:pPr>
        <w:pStyle w:val="ListBullet"/>
      </w:pPr>
      <w:r>
        <w:t>PLC input channel and common wiring.</w:t>
      </w:r>
    </w:p>
    <w:p>
      <w:pPr>
        <w:pStyle w:val="ListBullet"/>
      </w:pPr>
      <w:r>
        <w:t>Input module status indication.</w:t>
      </w:r>
    </w:p>
    <w:p>
      <w:pPr>
        <w:pStyle w:val="ListBullet"/>
      </w:pPr>
      <w:r>
        <w:t>PLC tag mapping and logic.</w:t>
      </w:r>
    </w:p>
    <w:p>
      <w:pPr>
        <w:pStyle w:val="ListBullet"/>
      </w:pPr>
      <w:r>
        <w:t>Cable damage and connector condition.</w:t>
      </w:r>
    </w:p>
    <w:p>
      <w:pPr>
        <w:pStyle w:val="ListBullet"/>
      </w:pPr>
      <w:r>
        <w:t>Shielding or grounding issues if the fault is intermittent.</w:t>
      </w:r>
    </w:p>
    <w:p>
      <w:r>
        <w:t>The colour of the wire is a navigation aid, not a diagnosis.</w:t>
      </w:r>
    </w:p>
    <w:p>
      <w:pPr>
        <w:pStyle w:val="Heading3"/>
      </w:pPr>
      <w:r>
        <w:t>14.2 Example: Unexpected voltage on a supposedly isolated circuit</w:t>
      </w:r>
    </w:p>
    <w:p>
      <w:r>
        <w:t>A circuit may remain energized because of an external supply, a UPS-backed circuit, a separate control transformer, stored energy, or backfeed from connected equipment.</w:t>
      </w:r>
    </w:p>
    <w:p>
      <w:r>
        <w:t>Use the drawings to identify every source. Apply the site's isolation procedure and verify absence of voltage using an appropriate tester before working on the circuit.</w:t>
      </w:r>
    </w:p>
    <w:p>
      <w:r>
        <w:t>Do not assume that switching off the main incomer isolates every conductor in the cabinet.</w:t>
      </w:r>
    </w:p>
    <w:p>
      <w:pPr>
        <w:pStyle w:val="Heading2"/>
      </w:pPr>
      <w:r>
        <w:t>15. Wire Colour and Marking Quality Audit</w:t>
      </w:r>
    </w:p>
    <w:p>
      <w:r>
        <w:t>A panel wiring audit should verify both physical implementation and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Audit item</w:t>
            </w:r>
          </w:p>
        </w:tc>
        <w:tc>
          <w:tcPr>
            <w:tcW w:type="dxa" w:w="5400"/>
            <w:shd w:val="clear" w:color="auto" w:fill="EEF2F7"/>
          </w:tcPr>
          <w:p>
            <w:pPr>
              <w:spacing w:after="0" w:before="0" w:line="240" w:lineRule="auto"/>
              <w:jc w:val="left"/>
            </w:pPr>
            <w:r>
              <w:rPr>
                <w:b/>
                <w:color w:val="1A2E4A"/>
              </w:rPr>
              <w:t>Acceptance criteria</w:t>
            </w:r>
          </w:p>
        </w:tc>
      </w:tr>
      <w:tr>
        <w:tc>
          <w:tcPr>
            <w:tcW w:type="dxa" w:w="5400"/>
          </w:tcPr>
          <w:p>
            <w:pPr>
              <w:spacing w:after="0" w:before="0" w:line="240" w:lineRule="auto"/>
              <w:jc w:val="left"/>
            </w:pPr>
            <w:r>
              <w:t>Colour schedule</w:t>
            </w:r>
          </w:p>
        </w:tc>
        <w:tc>
          <w:tcPr>
            <w:tcW w:type="dxa" w:w="5400"/>
          </w:tcPr>
          <w:p>
            <w:pPr>
              <w:spacing w:after="0" w:before="0" w:line="240" w:lineRule="auto"/>
              <w:jc w:val="left"/>
            </w:pPr>
            <w:r>
              <w:t>Matches applicable standards and approved project requirements</w:t>
            </w:r>
          </w:p>
        </w:tc>
      </w:tr>
      <w:tr>
        <w:tc>
          <w:tcPr>
            <w:tcW w:type="dxa" w:w="5400"/>
          </w:tcPr>
          <w:p>
            <w:pPr>
              <w:spacing w:after="0" w:before="0" w:line="240" w:lineRule="auto"/>
              <w:jc w:val="left"/>
            </w:pPr>
            <w:r>
              <w:t>Protective conductors</w:t>
            </w:r>
          </w:p>
        </w:tc>
        <w:tc>
          <w:tcPr>
            <w:tcW w:type="dxa" w:w="5400"/>
          </w:tcPr>
          <w:p>
            <w:pPr>
              <w:spacing w:after="0" w:before="0" w:line="240" w:lineRule="auto"/>
              <w:jc w:val="left"/>
            </w:pPr>
            <w:r>
              <w:t>Correct identification, sizing, termination, and continuity</w:t>
            </w:r>
          </w:p>
        </w:tc>
      </w:tr>
      <w:tr>
        <w:tc>
          <w:tcPr>
            <w:tcW w:type="dxa" w:w="5400"/>
          </w:tcPr>
          <w:p>
            <w:pPr>
              <w:spacing w:after="0" w:before="0" w:line="240" w:lineRule="auto"/>
              <w:jc w:val="left"/>
            </w:pPr>
            <w:r>
              <w:t>Neutral conductors</w:t>
            </w:r>
          </w:p>
        </w:tc>
        <w:tc>
          <w:tcPr>
            <w:tcW w:type="dxa" w:w="5400"/>
          </w:tcPr>
          <w:p>
            <w:pPr>
              <w:spacing w:after="0" w:before="0" w:line="240" w:lineRule="auto"/>
              <w:jc w:val="left"/>
            </w:pPr>
            <w:r>
              <w:t>Correct identification and connection where applicable</w:t>
            </w:r>
          </w:p>
        </w:tc>
      </w:tr>
      <w:tr>
        <w:tc>
          <w:tcPr>
            <w:tcW w:type="dxa" w:w="5400"/>
          </w:tcPr>
          <w:p>
            <w:pPr>
              <w:spacing w:after="0" w:before="0" w:line="240" w:lineRule="auto"/>
              <w:jc w:val="left"/>
            </w:pPr>
            <w:r>
              <w:t>DC circuits</w:t>
            </w:r>
          </w:p>
        </w:tc>
        <w:tc>
          <w:tcPr>
            <w:tcW w:type="dxa" w:w="5400"/>
          </w:tcPr>
          <w:p>
            <w:pPr>
              <w:spacing w:after="0" w:before="0" w:line="240" w:lineRule="auto"/>
              <w:jc w:val="left"/>
            </w:pPr>
            <w:r>
              <w:t>Positive, return, and separate supplies clearly documented</w:t>
            </w:r>
          </w:p>
        </w:tc>
      </w:tr>
      <w:tr>
        <w:tc>
          <w:tcPr>
            <w:tcW w:type="dxa" w:w="5400"/>
          </w:tcPr>
          <w:p>
            <w:pPr>
              <w:spacing w:after="0" w:before="0" w:line="240" w:lineRule="auto"/>
              <w:jc w:val="left"/>
            </w:pPr>
            <w:r>
              <w:t>Safety circuits</w:t>
            </w:r>
          </w:p>
        </w:tc>
        <w:tc>
          <w:tcPr>
            <w:tcW w:type="dxa" w:w="5400"/>
          </w:tcPr>
          <w:p>
            <w:pPr>
              <w:spacing w:after="0" w:before="0" w:line="240" w:lineRule="auto"/>
              <w:jc w:val="left"/>
            </w:pPr>
            <w:r>
              <w:t>Traceable to the approved safety schematic</w:t>
            </w:r>
          </w:p>
        </w:tc>
      </w:tr>
      <w:tr>
        <w:tc>
          <w:tcPr>
            <w:tcW w:type="dxa" w:w="5400"/>
          </w:tcPr>
          <w:p>
            <w:pPr>
              <w:spacing w:after="0" w:before="0" w:line="240" w:lineRule="auto"/>
              <w:jc w:val="left"/>
            </w:pPr>
            <w:r>
              <w:t>Wire markers</w:t>
            </w:r>
          </w:p>
        </w:tc>
        <w:tc>
          <w:tcPr>
            <w:tcW w:type="dxa" w:w="5400"/>
          </w:tcPr>
          <w:p>
            <w:pPr>
              <w:spacing w:after="0" w:before="0" w:line="240" w:lineRule="auto"/>
              <w:jc w:val="left"/>
            </w:pPr>
            <w:r>
              <w:t>Legible, durable, and consistent with the drawings</w:t>
            </w:r>
          </w:p>
        </w:tc>
      </w:tr>
      <w:tr>
        <w:tc>
          <w:tcPr>
            <w:tcW w:type="dxa" w:w="5400"/>
          </w:tcPr>
          <w:p>
            <w:pPr>
              <w:spacing w:after="0" w:before="0" w:line="240" w:lineRule="auto"/>
              <w:jc w:val="left"/>
            </w:pPr>
            <w:r>
              <w:t>Cable labels</w:t>
            </w:r>
          </w:p>
        </w:tc>
        <w:tc>
          <w:tcPr>
            <w:tcW w:type="dxa" w:w="5400"/>
          </w:tcPr>
          <w:p>
            <w:pPr>
              <w:spacing w:after="0" w:before="0" w:line="240" w:lineRule="auto"/>
              <w:jc w:val="left"/>
            </w:pPr>
            <w:r>
              <w:t>Correct origin, destination, and cable ID</w:t>
            </w:r>
          </w:p>
        </w:tc>
      </w:tr>
      <w:tr>
        <w:tc>
          <w:tcPr>
            <w:tcW w:type="dxa" w:w="5400"/>
          </w:tcPr>
          <w:p>
            <w:pPr>
              <w:spacing w:after="0" w:before="0" w:line="240" w:lineRule="auto"/>
              <w:jc w:val="left"/>
            </w:pPr>
            <w:r>
              <w:t>Terminal references</w:t>
            </w:r>
          </w:p>
        </w:tc>
        <w:tc>
          <w:tcPr>
            <w:tcW w:type="dxa" w:w="5400"/>
          </w:tcPr>
          <w:p>
            <w:pPr>
              <w:spacing w:after="0" w:before="0" w:line="240" w:lineRule="auto"/>
              <w:jc w:val="left"/>
            </w:pPr>
            <w:r>
              <w:t>Match the terminal plan and installed hardware</w:t>
            </w:r>
          </w:p>
        </w:tc>
      </w:tr>
      <w:tr>
        <w:tc>
          <w:tcPr>
            <w:tcW w:type="dxa" w:w="5400"/>
          </w:tcPr>
          <w:p>
            <w:pPr>
              <w:spacing w:after="0" w:before="0" w:line="240" w:lineRule="auto"/>
              <w:jc w:val="left"/>
            </w:pPr>
            <w:r>
              <w:t>Wire list</w:t>
            </w:r>
          </w:p>
        </w:tc>
        <w:tc>
          <w:tcPr>
            <w:tcW w:type="dxa" w:w="5400"/>
          </w:tcPr>
          <w:p>
            <w:pPr>
              <w:spacing w:after="0" w:before="0" w:line="240" w:lineRule="auto"/>
              <w:jc w:val="left"/>
            </w:pPr>
            <w:r>
              <w:t>Consistent with the as-built panel</w:t>
            </w:r>
          </w:p>
        </w:tc>
      </w:tr>
      <w:tr>
        <w:tc>
          <w:tcPr>
            <w:tcW w:type="dxa" w:w="5400"/>
          </w:tcPr>
          <w:p>
            <w:pPr>
              <w:spacing w:after="0" w:before="0" w:line="240" w:lineRule="auto"/>
              <w:jc w:val="left"/>
            </w:pPr>
            <w:r>
              <w:t>Modifications</w:t>
            </w:r>
          </w:p>
        </w:tc>
        <w:tc>
          <w:tcPr>
            <w:tcW w:type="dxa" w:w="5400"/>
          </w:tcPr>
          <w:p>
            <w:pPr>
              <w:spacing w:after="0" w:before="0" w:line="240" w:lineRule="auto"/>
              <w:jc w:val="left"/>
            </w:pPr>
            <w:r>
              <w:t>Approved, tested, and documented</w:t>
            </w:r>
          </w:p>
        </w:tc>
      </w:tr>
      <w:tr>
        <w:tc>
          <w:tcPr>
            <w:tcW w:type="dxa" w:w="5400"/>
          </w:tcPr>
          <w:p>
            <w:pPr>
              <w:spacing w:after="0" w:before="0" w:line="240" w:lineRule="auto"/>
              <w:jc w:val="left"/>
            </w:pPr>
            <w:r>
              <w:t>External supplies</w:t>
            </w:r>
          </w:p>
        </w:tc>
        <w:tc>
          <w:tcPr>
            <w:tcW w:type="dxa" w:w="5400"/>
          </w:tcPr>
          <w:p>
            <w:pPr>
              <w:spacing w:after="0" w:before="0" w:line="240" w:lineRule="auto"/>
              <w:jc w:val="left"/>
            </w:pPr>
            <w:r>
              <w:t>Identified, including circuits that may remain energized</w:t>
            </w:r>
          </w:p>
        </w:tc>
      </w:tr>
      <w:tr>
        <w:tc>
          <w:tcPr>
            <w:tcW w:type="dxa" w:w="5400"/>
          </w:tcPr>
          <w:p>
            <w:pPr>
              <w:spacing w:after="0" w:before="0" w:line="240" w:lineRule="auto"/>
              <w:jc w:val="left"/>
            </w:pPr>
            <w:r>
              <w:t>Panel accessibility</w:t>
            </w:r>
          </w:p>
        </w:tc>
        <w:tc>
          <w:tcPr>
            <w:tcW w:type="dxa" w:w="5400"/>
          </w:tcPr>
          <w:p>
            <w:pPr>
              <w:spacing w:after="0" w:before="0" w:line="240" w:lineRule="auto"/>
              <w:jc w:val="left"/>
            </w:pPr>
            <w:r>
              <w:t>Markers visible and readable without unnecessary dismantling</w:t>
            </w:r>
          </w:p>
        </w:tc>
      </w:tr>
    </w:tbl>
    <w:p/>
    <w:p>
      <w:pPr>
        <w:pStyle w:val="Heading2"/>
      </w:pPr>
      <w:r>
        <w:t>16. Recommended Wire-Colour Standard for a Project</w:t>
      </w:r>
    </w:p>
    <w:p>
      <w:r>
        <w:t>Before panel manufacturing begins, create an approved wire-colour schedule. The following structure can be used as a template, but the actual colours must be confirmed against the governing standards.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Circuit category</w:t>
            </w:r>
          </w:p>
        </w:tc>
        <w:tc>
          <w:tcPr>
            <w:tcW w:type="dxa" w:w="3600"/>
            <w:shd w:val="clear" w:color="auto" w:fill="EEF2F7"/>
          </w:tcPr>
          <w:p>
            <w:pPr>
              <w:spacing w:after="0" w:before="0" w:line="240" w:lineRule="auto"/>
              <w:jc w:val="left"/>
            </w:pPr>
            <w:r>
              <w:rPr>
                <w:b/>
                <w:color w:val="1A2E4A"/>
              </w:rPr>
              <w:t>Colour rule</w:t>
            </w:r>
          </w:p>
        </w:tc>
        <w:tc>
          <w:tcPr>
            <w:tcW w:type="dxa" w:w="3600"/>
            <w:shd w:val="clear" w:color="auto" w:fill="EEF2F7"/>
          </w:tcPr>
          <w:p>
            <w:pPr>
              <w:spacing w:after="0" w:before="0" w:line="240" w:lineRule="auto"/>
              <w:jc w:val="left"/>
            </w:pPr>
            <w:r>
              <w:rPr>
                <w:b/>
                <w:color w:val="1A2E4A"/>
              </w:rPr>
              <w:t>Reference document</w:t>
            </w:r>
          </w:p>
        </w:tc>
      </w:tr>
      <w:tr>
        <w:tc>
          <w:tcPr>
            <w:tcW w:type="dxa" w:w="3600"/>
          </w:tcPr>
          <w:p>
            <w:pPr>
              <w:spacing w:after="0" w:before="0" w:line="240" w:lineRule="auto"/>
              <w:jc w:val="left"/>
            </w:pPr>
            <w:r>
              <w:t>AC line conductors</w:t>
            </w:r>
          </w:p>
        </w:tc>
        <w:tc>
          <w:tcPr>
            <w:tcW w:type="dxa" w:w="3600"/>
          </w:tcPr>
          <w:p>
            <w:pPr>
              <w:spacing w:after="0" w:before="0" w:line="240" w:lineRule="auto"/>
              <w:jc w:val="left"/>
            </w:pPr>
            <w:r>
              <w:t>Defined by the approved phase-identification scheme</w:t>
            </w:r>
          </w:p>
        </w:tc>
        <w:tc>
          <w:tcPr>
            <w:tcW w:type="dxa" w:w="3600"/>
          </w:tcPr>
          <w:p>
            <w:pPr>
              <w:spacing w:after="0" w:before="0" w:line="240" w:lineRule="auto"/>
              <w:jc w:val="left"/>
            </w:pPr>
            <w:r>
              <w:t>Project electrical standard</w:t>
            </w:r>
          </w:p>
        </w:tc>
      </w:tr>
      <w:tr>
        <w:tc>
          <w:tcPr>
            <w:tcW w:type="dxa" w:w="3600"/>
          </w:tcPr>
          <w:p>
            <w:pPr>
              <w:spacing w:after="0" w:before="0" w:line="240" w:lineRule="auto"/>
              <w:jc w:val="left"/>
            </w:pPr>
            <w:r>
              <w:t>AC neutral</w:t>
            </w:r>
          </w:p>
        </w:tc>
        <w:tc>
          <w:tcPr>
            <w:tcW w:type="dxa" w:w="3600"/>
          </w:tcPr>
          <w:p>
            <w:pPr>
              <w:spacing w:after="0" w:before="0" w:line="240" w:lineRule="auto"/>
              <w:jc w:val="left"/>
            </w:pPr>
            <w:r>
              <w:t>Defined by the applicable neutral-identification rule</w:t>
            </w:r>
          </w:p>
        </w:tc>
        <w:tc>
          <w:tcPr>
            <w:tcW w:type="dxa" w:w="3600"/>
          </w:tcPr>
          <w:p>
            <w:pPr>
              <w:spacing w:after="0" w:before="0" w:line="240" w:lineRule="auto"/>
              <w:jc w:val="left"/>
            </w:pPr>
            <w:r>
              <w:t>Project electrical standard</w:t>
            </w:r>
          </w:p>
        </w:tc>
      </w:tr>
      <w:tr>
        <w:tc>
          <w:tcPr>
            <w:tcW w:type="dxa" w:w="3600"/>
          </w:tcPr>
          <w:p>
            <w:pPr>
              <w:spacing w:after="0" w:before="0" w:line="240" w:lineRule="auto"/>
              <w:jc w:val="left"/>
            </w:pPr>
            <w:r>
              <w:t>Protective earth</w:t>
            </w:r>
          </w:p>
        </w:tc>
        <w:tc>
          <w:tcPr>
            <w:tcW w:type="dxa" w:w="3600"/>
          </w:tcPr>
          <w:p>
            <w:pPr>
              <w:spacing w:after="0" w:before="0" w:line="240" w:lineRule="auto"/>
              <w:jc w:val="left"/>
            </w:pPr>
            <w:r>
              <w:t>Green/yellow where required</w:t>
            </w:r>
          </w:p>
        </w:tc>
        <w:tc>
          <w:tcPr>
            <w:tcW w:type="dxa" w:w="3600"/>
          </w:tcPr>
          <w:p>
            <w:pPr>
              <w:spacing w:after="0" w:before="0" w:line="240" w:lineRule="auto"/>
              <w:jc w:val="left"/>
            </w:pPr>
            <w:r>
              <w:t>Applicable wiring standard</w:t>
            </w:r>
          </w:p>
        </w:tc>
      </w:tr>
      <w:tr>
        <w:tc>
          <w:tcPr>
            <w:tcW w:type="dxa" w:w="3600"/>
          </w:tcPr>
          <w:p>
            <w:pPr>
              <w:spacing w:after="0" w:before="0" w:line="240" w:lineRule="auto"/>
              <w:jc w:val="left"/>
            </w:pPr>
            <w:r>
              <w:t>DC positive</w:t>
            </w:r>
          </w:p>
        </w:tc>
        <w:tc>
          <w:tcPr>
            <w:tcW w:type="dxa" w:w="3600"/>
          </w:tcPr>
          <w:p>
            <w:pPr>
              <w:spacing w:after="0" w:before="0" w:line="240" w:lineRule="auto"/>
              <w:jc w:val="left"/>
            </w:pPr>
            <w:r>
              <w:t>Defined by the approved DC colour scheme</w:t>
            </w:r>
          </w:p>
        </w:tc>
        <w:tc>
          <w:tcPr>
            <w:tcW w:type="dxa" w:w="3600"/>
          </w:tcPr>
          <w:p>
            <w:pPr>
              <w:spacing w:after="0" w:before="0" w:line="240" w:lineRule="auto"/>
              <w:jc w:val="left"/>
            </w:pPr>
            <w:r>
              <w:t>Machine wiring specification</w:t>
            </w:r>
          </w:p>
        </w:tc>
      </w:tr>
      <w:tr>
        <w:tc>
          <w:tcPr>
            <w:tcW w:type="dxa" w:w="3600"/>
          </w:tcPr>
          <w:p>
            <w:pPr>
              <w:spacing w:after="0" w:before="0" w:line="240" w:lineRule="auto"/>
              <w:jc w:val="left"/>
            </w:pPr>
            <w:r>
              <w:t>DC return</w:t>
            </w:r>
          </w:p>
        </w:tc>
        <w:tc>
          <w:tcPr>
            <w:tcW w:type="dxa" w:w="3600"/>
          </w:tcPr>
          <w:p>
            <w:pPr>
              <w:spacing w:after="0" w:before="0" w:line="240" w:lineRule="auto"/>
              <w:jc w:val="left"/>
            </w:pPr>
            <w:r>
              <w:t>Defined by the approved DC colour scheme</w:t>
            </w:r>
          </w:p>
        </w:tc>
        <w:tc>
          <w:tcPr>
            <w:tcW w:type="dxa" w:w="3600"/>
          </w:tcPr>
          <w:p>
            <w:pPr>
              <w:spacing w:after="0" w:before="0" w:line="240" w:lineRule="auto"/>
              <w:jc w:val="left"/>
            </w:pPr>
            <w:r>
              <w:t>Machine wiring specification</w:t>
            </w:r>
          </w:p>
        </w:tc>
      </w:tr>
      <w:tr>
        <w:tc>
          <w:tcPr>
            <w:tcW w:type="dxa" w:w="3600"/>
          </w:tcPr>
          <w:p>
            <w:pPr>
              <w:spacing w:after="0" w:before="0" w:line="240" w:lineRule="auto"/>
              <w:jc w:val="left"/>
            </w:pPr>
            <w:r>
              <w:t>External control supply</w:t>
            </w:r>
          </w:p>
        </w:tc>
        <w:tc>
          <w:tcPr>
            <w:tcW w:type="dxa" w:w="3600"/>
          </w:tcPr>
          <w:p>
            <w:pPr>
              <w:spacing w:after="0" w:before="0" w:line="240" w:lineRule="auto"/>
              <w:jc w:val="left"/>
            </w:pPr>
            <w:r>
              <w:t>Defined and distinguished where required</w:t>
            </w:r>
          </w:p>
        </w:tc>
        <w:tc>
          <w:tcPr>
            <w:tcW w:type="dxa" w:w="3600"/>
          </w:tcPr>
          <w:p>
            <w:pPr>
              <w:spacing w:after="0" w:before="0" w:line="240" w:lineRule="auto"/>
              <w:jc w:val="left"/>
            </w:pPr>
            <w:r>
              <w:t>Project electrical standard</w:t>
            </w:r>
          </w:p>
        </w:tc>
      </w:tr>
      <w:tr>
        <w:tc>
          <w:tcPr>
            <w:tcW w:type="dxa" w:w="3600"/>
          </w:tcPr>
          <w:p>
            <w:pPr>
              <w:spacing w:after="0" w:before="0" w:line="240" w:lineRule="auto"/>
              <w:jc w:val="left"/>
            </w:pPr>
            <w:r>
              <w:t>Safety-related wiring</w:t>
            </w:r>
          </w:p>
        </w:tc>
        <w:tc>
          <w:tcPr>
            <w:tcW w:type="dxa" w:w="3600"/>
          </w:tcPr>
          <w:p>
            <w:pPr>
              <w:spacing w:after="0" w:before="0" w:line="240" w:lineRule="auto"/>
              <w:jc w:val="left"/>
            </w:pPr>
            <w:r>
              <w:t>Defined by applicable requirements</w:t>
            </w:r>
          </w:p>
        </w:tc>
        <w:tc>
          <w:tcPr>
            <w:tcW w:type="dxa" w:w="3600"/>
          </w:tcPr>
          <w:p>
            <w:pPr>
              <w:spacing w:after="0" w:before="0" w:line="240" w:lineRule="auto"/>
              <w:jc w:val="left"/>
            </w:pPr>
            <w:r>
              <w:t>Machine safety specification</w:t>
            </w:r>
          </w:p>
        </w:tc>
      </w:tr>
      <w:tr>
        <w:tc>
          <w:tcPr>
            <w:tcW w:type="dxa" w:w="3600"/>
          </w:tcPr>
          <w:p>
            <w:pPr>
              <w:spacing w:after="0" w:before="0" w:line="240" w:lineRule="auto"/>
              <w:jc w:val="left"/>
            </w:pPr>
            <w:r>
              <w:t>Analog and communication circuits</w:t>
            </w:r>
          </w:p>
        </w:tc>
        <w:tc>
          <w:tcPr>
            <w:tcW w:type="dxa" w:w="3600"/>
          </w:tcPr>
          <w:p>
            <w:pPr>
              <w:spacing w:after="0" w:before="0" w:line="240" w:lineRule="auto"/>
              <w:jc w:val="left"/>
            </w:pPr>
            <w:r>
              <w:t>Defined or identified by circuit type and terminal markings</w:t>
            </w:r>
          </w:p>
        </w:tc>
        <w:tc>
          <w:tcPr>
            <w:tcW w:type="dxa" w:w="3600"/>
          </w:tcPr>
          <w:p>
            <w:pPr>
              <w:spacing w:after="0" w:before="0" w:line="240" w:lineRule="auto"/>
              <w:jc w:val="left"/>
            </w:pPr>
            <w:r>
              <w:t>Instrumentation and communication drawings</w:t>
            </w:r>
          </w:p>
        </w:tc>
      </w:tr>
    </w:tbl>
    <w:p/>
    <w:p>
      <w:r>
        <w:t>The schedule should also specify wire numbering, marker placement, conductor size conventions, cable identification, shield termination, and how revisions are handled.</w:t>
      </w:r>
    </w:p>
    <w:p>
      <w:pPr>
        <w:pStyle w:val="Heading2"/>
      </w:pPr>
      <w:r>
        <w:t>17. Practical Engineering Exercise</w:t>
      </w:r>
    </w:p>
    <w:p>
      <w:r>
        <w:t>Consider a control panel with:</w:t>
      </w:r>
    </w:p>
    <w:p>
      <w:pPr>
        <w:pStyle w:val="ListBullet"/>
      </w:pPr>
      <w:r>
        <w:t>A three-phase AC supply.</w:t>
      </w:r>
    </w:p>
    <w:p>
      <w:pPr>
        <w:pStyle w:val="ListBullet"/>
      </w:pPr>
      <w:r>
        <w:t>A 24 VDC power supply.</w:t>
      </w:r>
    </w:p>
    <w:p>
      <w:pPr>
        <w:pStyle w:val="ListBullet"/>
      </w:pPr>
      <w:r>
        <w:t>A PLC with digital and analog I/O.</w:t>
      </w:r>
    </w:p>
    <w:p>
      <w:pPr>
        <w:pStyle w:val="ListBullet"/>
      </w:pPr>
      <w:r>
        <w:t>A safety relay.</w:t>
      </w:r>
    </w:p>
    <w:p>
      <w:pPr>
        <w:pStyle w:val="ListBullet"/>
      </w:pPr>
      <w:r>
        <w:t>A VFD.</w:t>
      </w:r>
    </w:p>
    <w:p>
      <w:pPr>
        <w:pStyle w:val="ListBullet"/>
      </w:pPr>
      <w:r>
        <w:t>A remote sensor junction box.</w:t>
      </w:r>
    </w:p>
    <w:p>
      <w:r>
        <w:t>Develop a wiring-identification plan that:</w:t>
      </w:r>
    </w:p>
    <w:p>
      <w:pPr>
        <w:tabs>
          <w:tab w:pos="403" w:val="left"/>
        </w:tabs>
        <w:spacing w:after="40" w:line="276" w:lineRule="auto"/>
        <w:ind w:left="403" w:hanging="403"/>
        <w:jc w:val="left"/>
      </w:pPr>
      <w:r>
        <w:rPr>
          <w:color w:val="1A2E4A"/>
        </w:rPr>
        <w:t>1.</w:t>
        <w:tab/>
      </w:r>
      <w:r>
        <w:t>Establishes the applicable standards and project requirements.</w:t>
      </w:r>
    </w:p>
    <w:p>
      <w:pPr>
        <w:tabs>
          <w:tab w:pos="403" w:val="left"/>
        </w:tabs>
        <w:spacing w:after="40" w:line="276" w:lineRule="auto"/>
        <w:ind w:left="403" w:hanging="403"/>
        <w:jc w:val="left"/>
      </w:pPr>
      <w:r>
        <w:rPr>
          <w:color w:val="1A2E4A"/>
        </w:rPr>
        <w:t>2.</w:t>
        <w:tab/>
      </w:r>
      <w:r>
        <w:t>Defines the AC phase, neutral, and protective-earth identification.</w:t>
      </w:r>
    </w:p>
    <w:p>
      <w:pPr>
        <w:tabs>
          <w:tab w:pos="403" w:val="left"/>
        </w:tabs>
        <w:spacing w:after="40" w:line="276" w:lineRule="auto"/>
        <w:ind w:left="403" w:hanging="403"/>
        <w:jc w:val="left"/>
      </w:pPr>
      <w:r>
        <w:rPr>
          <w:color w:val="1A2E4A"/>
        </w:rPr>
        <w:t>3.</w:t>
        <w:tab/>
      </w:r>
      <w:r>
        <w:t>Defines the DC positive and return identification.</w:t>
      </w:r>
    </w:p>
    <w:p>
      <w:pPr>
        <w:tabs>
          <w:tab w:pos="403" w:val="left"/>
        </w:tabs>
        <w:spacing w:after="40" w:line="276" w:lineRule="auto"/>
        <w:ind w:left="403" w:hanging="403"/>
        <w:jc w:val="left"/>
      </w:pPr>
      <w:r>
        <w:rPr>
          <w:color w:val="1A2E4A"/>
        </w:rPr>
        <w:t>4.</w:t>
        <w:tab/>
      </w:r>
      <w:r>
        <w:t>Identifies separate or externally supplied circuits.</w:t>
      </w:r>
    </w:p>
    <w:p>
      <w:pPr>
        <w:tabs>
          <w:tab w:pos="403" w:val="left"/>
        </w:tabs>
        <w:spacing w:after="40" w:line="276" w:lineRule="auto"/>
        <w:ind w:left="403" w:hanging="403"/>
        <w:jc w:val="left"/>
      </w:pPr>
      <w:r>
        <w:rPr>
          <w:color w:val="1A2E4A"/>
        </w:rPr>
        <w:t>5.</w:t>
        <w:tab/>
      </w:r>
      <w:r>
        <w:t>Assigns wire numbers and terminal references.</w:t>
      </w:r>
    </w:p>
    <w:p>
      <w:pPr>
        <w:tabs>
          <w:tab w:pos="403" w:val="left"/>
        </w:tabs>
        <w:spacing w:after="40" w:line="276" w:lineRule="auto"/>
        <w:ind w:left="403" w:hanging="403"/>
        <w:jc w:val="left"/>
      </w:pPr>
      <w:r>
        <w:rPr>
          <w:color w:val="1A2E4A"/>
        </w:rPr>
        <w:t>6.</w:t>
        <w:tab/>
      </w:r>
      <w:r>
        <w:t>Defines cable and individual-core marking.</w:t>
      </w:r>
    </w:p>
    <w:p>
      <w:pPr>
        <w:tabs>
          <w:tab w:pos="403" w:val="left"/>
        </w:tabs>
        <w:spacing w:after="40" w:line="276" w:lineRule="auto"/>
        <w:ind w:left="403" w:hanging="403"/>
        <w:jc w:val="left"/>
      </w:pPr>
      <w:r>
        <w:rPr>
          <w:color w:val="1A2E4A"/>
        </w:rPr>
        <w:t>7.</w:t>
        <w:tab/>
      </w:r>
      <w:r>
        <w:t>Identifies PLC signals and safety-related circuits.</w:t>
      </w:r>
    </w:p>
    <w:p>
      <w:pPr>
        <w:tabs>
          <w:tab w:pos="403" w:val="left"/>
        </w:tabs>
        <w:spacing w:after="40" w:line="276" w:lineRule="auto"/>
        <w:ind w:left="403" w:hanging="403"/>
        <w:jc w:val="left"/>
      </w:pPr>
      <w:r>
        <w:rPr>
          <w:color w:val="1A2E4A"/>
        </w:rPr>
        <w:t>8.</w:t>
        <w:tab/>
      </w:r>
      <w:r>
        <w:t>Specifies ferrules and marker durability.</w:t>
      </w:r>
    </w:p>
    <w:p>
      <w:pPr>
        <w:tabs>
          <w:tab w:pos="403" w:val="left"/>
        </w:tabs>
        <w:spacing w:after="40" w:line="276" w:lineRule="auto"/>
        <w:ind w:left="403" w:hanging="403"/>
        <w:jc w:val="left"/>
      </w:pPr>
      <w:r>
        <w:rPr>
          <w:color w:val="1A2E4A"/>
        </w:rPr>
        <w:t>9.</w:t>
        <w:tab/>
      </w:r>
      <w:r>
        <w:t>Establishes drawing and as-built update requirements.</w:t>
      </w:r>
    </w:p>
    <w:p>
      <w:pPr>
        <w:tabs>
          <w:tab w:pos="403" w:val="left"/>
        </w:tabs>
        <w:spacing w:after="40" w:line="276" w:lineRule="auto"/>
        <w:ind w:left="403" w:hanging="403"/>
        <w:jc w:val="left"/>
      </w:pPr>
      <w:r>
        <w:rPr>
          <w:color w:val="1A2E4A"/>
        </w:rPr>
        <w:t>10.</w:t>
        <w:tab/>
      </w:r>
      <w:r>
        <w:t>Includes an inspection checklist for the completed panel.</w:t>
      </w:r>
    </w:p>
    <w:p>
      <w:r>
        <w:t>The final result should allow another technician to trace any conductor from the drawing to the installed terminal without guessing its function from colour alone.</w:t>
      </w:r>
    </w:p>
    <w:p>
      <w:pPr>
        <w:pStyle w:val="Heading2"/>
      </w:pPr>
      <w:r>
        <w:t>18. Interview Questions and Answers</w:t>
      </w:r>
    </w:p>
    <w:p>
      <w:r>
        <w:t>1\. Why are wire colours important in an industrial control panel?</w:t>
      </w:r>
    </w:p>
    <w:p>
      <w:r>
        <w:t>They provide a consistent visual indication of conductor function, improve traceability, and reduce the chance of wiring and maintenance errors.</w:t>
      </w:r>
    </w:p>
    <w:p>
      <w:r>
        <w:t>2\. What is the difference between a wire colour and a wire number?</w:t>
      </w:r>
    </w:p>
    <w:p>
      <w:r>
        <w:t>Colour indicates a conductor category under the applicable scheme. A wire number identifies the conductor or connection according to the project's numbering rules.</w:t>
      </w:r>
    </w:p>
    <w:p>
      <w:r>
        <w:t>3\. What is the common IEC-based colour for protective earth?</w:t>
      </w:r>
    </w:p>
    <w:p>
      <w:r>
        <w:t>Green/yellow, subject to the applicable standard and installation requirements.</w:t>
      </w:r>
    </w:p>
    <w:p>
      <w:r>
        <w:t>4\. What are common IEC-based colours for AC phase conductors?</w:t>
      </w:r>
    </w:p>
    <w:p>
      <w:r>
        <w:t>Brown, black, and grey are commonly used for L1, L2, and L3 respectively. Verify the governing standard and project specification.</w:t>
      </w:r>
    </w:p>
    <w:p>
      <w:r>
        <w:t>5\. Is blue always neutral?</w:t>
      </w:r>
    </w:p>
    <w:p>
      <w:r>
        <w:t>No. Its interpretation depends on the applicable wiring convention and circuit. Never identify a conductor by colour alone.</w:t>
      </w:r>
    </w:p>
    <w:p>
      <w:r>
        <w:t>6\. Can PE be used as a DC return?</w:t>
      </w:r>
    </w:p>
    <w:p>
      <w:r>
        <w:t>No. Protective earth must not be used as a normal current-return conductor.</w:t>
      </w:r>
    </w:p>
    <w:p>
      <w:r>
        <w:t>7\. What is the difference between PE and FE?</w:t>
      </w:r>
    </w:p>
    <w:p>
      <w:r>
        <w:t>PE serves protective electrical-safety functions. FE supports functional or electromagnetic compatibility requirements and does not automatically replace PE.</w:t>
      </w:r>
    </w:p>
    <w:p>
      <w:r>
        <w:t>8\. Why should both ends of a wire be marked?</w:t>
      </w:r>
    </w:p>
    <w:p>
      <w:r>
        <w:t>Consistent end marking helps technicians trace conductors through terminal blocks, ducts, and connected equipment.</w:t>
      </w:r>
    </w:p>
    <w:p>
      <w:r>
        <w:t>9\. What is the difference between a wire number and a terminal number?</w:t>
      </w:r>
    </w:p>
    <w:p>
      <w:r>
        <w:t>The wire number identifies the conductor or connection. The terminal number identifies a connection point on a terminal block or device.</w:t>
      </w:r>
    </w:p>
    <w:p>
      <w:r>
        <w:t>10\. What should be done when actual wiring differs from the schematic?</w:t>
      </w:r>
    </w:p>
    <w:p>
      <w:r>
        <w:t>Investigate the discrepancy, verify the intended circuit, implement an approved correction, test it, and update the as-built documentation.</w:t>
      </w:r>
    </w:p>
    <w:p>
      <w:r>
        <w:t>11\. Why must external power sources be identified?</w:t>
      </w:r>
    </w:p>
    <w:p>
      <w:r>
        <w:t>Some circuits can remain energized after the main isolator is switched off, creating unexpected electrical hazards.</w:t>
      </w:r>
    </w:p>
    <w:p>
      <w:r>
        <w:t>12\. Does correct wire colour prove that a circuit is safe to touch?</w:t>
      </w:r>
    </w:p>
    <w:p>
      <w:r>
        <w:t>No. Isolation and verification of absence of voltage are required under the approved safety procedure.</w:t>
      </w:r>
    </w:p>
    <w:p>
      <w:r>
        <w:t>13\. What is the purpose of a wire ferrule?</w:t>
      </w:r>
    </w:p>
    <w:p>
      <w:r>
        <w:t>A suitable ferrule provides an appropriate prepared termination for compatible stranded conductors and terminals when installed with the specified tool.</w:t>
      </w:r>
    </w:p>
    <w:p>
      <w:r>
        <w:t>14\. Why is wire numbering important for PLC troubleshooting?</w:t>
      </w:r>
    </w:p>
    <w:p>
      <w:r>
        <w:t>It helps trace a field signal through terminals and wiring to the correct PLC channel and associated logic.</w:t>
      </w:r>
    </w:p>
    <w:p>
      <w:r>
        <w:t>15\. What is the main rule for wire-colour selection?</w:t>
      </w:r>
    </w:p>
    <w:p>
      <w:r>
        <w:t>Follow the applicable standard and approved project colour schedule consistently, and support colour identification with durable markings and accurate drawings.</w:t>
      </w:r>
    </w:p>
    <w:p>
      <w:pPr>
        <w:pStyle w:val="Heading2"/>
      </w:pPr>
      <w:r>
        <w:t>19. Final Engineering Principles</w:t>
      </w:r>
    </w:p>
    <w:p>
      <w:pPr>
        <w:pStyle w:val="ListBullet"/>
      </w:pPr>
      <w:r>
        <w:t>Confirm the governing standards before selecting wire colours.</w:t>
      </w:r>
    </w:p>
    <w:p>
      <w:pPr>
        <w:pStyle w:val="ListBullet"/>
      </w:pPr>
      <w:r>
        <w:t>Do not assume that every country or machine builder uses the same colour scheme.</w:t>
      </w:r>
    </w:p>
    <w:p>
      <w:pPr>
        <w:pStyle w:val="ListBullet"/>
      </w:pPr>
      <w:r>
        <w:t>Reserve protective-conductor identification for its intended function.</w:t>
      </w:r>
    </w:p>
    <w:p>
      <w:pPr>
        <w:pStyle w:val="ListBullet"/>
      </w:pPr>
      <w:r>
        <w:t>Keep AC, DC, safety, analog, and externally supplied circuits clearly identifiable.</w:t>
      </w:r>
    </w:p>
    <w:p>
      <w:pPr>
        <w:pStyle w:val="ListBullet"/>
      </w:pPr>
      <w:r>
        <w:t>Use wire numbers, device tags, terminal numbers, and cable IDs together.</w:t>
      </w:r>
    </w:p>
    <w:p>
      <w:pPr>
        <w:pStyle w:val="ListBullet"/>
      </w:pPr>
      <w:r>
        <w:t>Mark conductors and cables according to the approved project rules.</w:t>
      </w:r>
    </w:p>
    <w:p>
      <w:pPr>
        <w:pStyle w:val="ListBullet"/>
      </w:pPr>
      <w:r>
        <w:t>Verify actual connections rather than relying on colour alone.</w:t>
      </w:r>
    </w:p>
    <w:p>
      <w:pPr>
        <w:pStyle w:val="ListBullet"/>
      </w:pPr>
      <w:r>
        <w:t>Update schematics and wire lists after approved modifications.</w:t>
      </w:r>
    </w:p>
    <w:p>
      <w:pPr>
        <w:pStyle w:val="ListBullet"/>
      </w:pPr>
      <w:r>
        <w:t>Include wire identification in panel inspection, commissioning, and maintenance audits.</w:t>
      </w:r>
    </w:p>
    <w:p>
      <w:pPr>
        <w:pStyle w:val="ListBullet"/>
      </w:pPr>
      <w:r>
        <w:t>Treat every conductor as potentially energized until the approved isolation and verification process establishes otherwise.</w:t>
      </w:r>
    </w:p>
    <w:p>
      <w:pPr>
        <w:pStyle w:val="Heading2"/>
      </w:pPr>
      <w:r>
        <w:t>NEXT TOPIC</w:t>
      </w:r>
    </w:p>
    <w:p>
      <w:r>
        <w:rPr>
          <w:rFonts w:ascii="Consolas" w:hAnsi="Consolas"/>
          <w:color w:val="333333"/>
          <w:sz w:val="19"/>
          <w:shd w:val="clear" w:color="auto" w:fill="EFEFEF"/>
        </w:rPr>
        <w:t>02_PLAN_WISE_2026\02_INDUSTRY3_0\05_Cabinet_Eng\21_Panel_Standards\03_Standards_Awareness - Standards awareness: IEC 61439, UL 508A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02_PLAN_WISE_2026\02_INDUSTRY3_0\05_Cabinet_Eng\21_Panel_Standards\02_Wire_Colours_Marking - Wire colours &amp; marking: Standard colour codes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