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02_PLAN_WISE_2026\02_INDUSTRY3_0\06_Machine_Integ\01_Integration_Chain\09_Barcode_Scanner - Barcode scanner: ID and traceability data</w:t>
      </w:r>
    </w:p>
    <w:p>
      <w:pPr>
        <w:pStyle w:val="Heading2"/>
      </w:pPr>
      <w:r>
        <w:t>1. Purpose of a barcode scanner</w:t>
      </w:r>
    </w:p>
    <w:p>
      <w:r>
        <w:t>A barcode scanner is an identification device that reads encoded information from a printed or displayed symbol and converts it into digital data for use by a PLC, industrial computer, manufacturing execution system (MES), or other automation system.</w:t>
      </w:r>
    </w:p>
    <w:p>
      <w:r>
        <w:t>In industrial automation, barcode scanning links a physical object to its digital identity. That identity can be used to select a machine recipe, verify the correct component, track production history, prevent incorrect assembly, associate inspection results, or maintain product traceability.</w:t>
      </w:r>
    </w:p>
    <w:p>
      <w:r>
        <w:t>Typical applications include:</w:t>
      </w:r>
    </w:p>
    <w:p>
      <w:pPr>
        <w:pStyle w:val="ListBullet"/>
      </w:pPr>
      <w:r>
        <w:t>Identifying a vehicle body, chassis, engine, transmission, or component.</w:t>
      </w:r>
    </w:p>
    <w:p>
      <w:pPr>
        <w:pStyle w:val="ListBullet"/>
      </w:pPr>
      <w:r>
        <w:t>Verifying a part before a robotic assembly operation.</w:t>
      </w:r>
    </w:p>
    <w:p>
      <w:pPr>
        <w:pStyle w:val="ListBullet"/>
      </w:pPr>
      <w:r>
        <w:t>Selecting the correct test program for an incoming product.</w:t>
      </w:r>
    </w:p>
    <w:p>
      <w:pPr>
        <w:pStyle w:val="ListBullet"/>
      </w:pPr>
      <w:r>
        <w:t>Tracking serial numbers through multiple production stations.</w:t>
      </w:r>
    </w:p>
    <w:p>
      <w:pPr>
        <w:pStyle w:val="ListBullet"/>
      </w:pPr>
      <w:r>
        <w:t>Recording inspection results against a specific product.</w:t>
      </w:r>
    </w:p>
    <w:p>
      <w:pPr>
        <w:pStyle w:val="ListBullet"/>
      </w:pPr>
      <w:r>
        <w:t>Confirming that the correct container, fixture, or tool is being used.</w:t>
      </w:r>
    </w:p>
    <w:p>
      <w:pPr>
        <w:pStyle w:val="ListBullet"/>
      </w:pPr>
      <w:r>
        <w:t>Linking manufacturing records to a product label or work order.</w:t>
      </w:r>
    </w:p>
    <w:p>
      <w:pPr>
        <w:pStyle w:val="ListBullet"/>
      </w:pPr>
      <w:r>
        <w:t>Preventing duplicate processing or incorrect routing.</w:t>
      </w:r>
    </w:p>
    <w:p>
      <w:r>
        <w:t>A barcode scanner does not inherently know whether the scanned information is correct for the current operation. It reads an encoded value. The PLC or higher-level application must validate that value against the production requirements.</w:t>
      </w:r>
    </w:p>
    <w:p>
      <w:pPr>
        <w:pStyle w:val="Heading2"/>
      </w:pPr>
      <w:r>
        <w:t>2. Position in the automation architecture</w:t>
      </w:r>
    </w:p>
    <w:p>
      <w:pPr>
        <w:shd w:val="clear" w:color="auto" w:fill="F4F4F4"/>
        <w:spacing w:before="0" w:after="0" w:line="240" w:lineRule="auto"/>
        <w:ind w:left="216" w:right="216"/>
        <w:jc w:val="left"/>
      </w:pPr>
      <w:r>
        <w:rPr>
          <w:rFonts w:ascii="Consolas" w:hAnsi="Consolas"/>
          <w:color w:val="202020"/>
          <w:sz w:val="18"/>
        </w:rPr>
        <w:t>Physical Product /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or Marked Barcode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Scanner /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Character String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 / Edge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Decision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 Recipe / Quality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Database / Traceability Record</w:t>
      </w:r>
    </w:p>
    <w:p/>
    <w:p>
      <w:r>
        <w:t>A typical implementation uses the scanner to identify the product, the PLC to coordinate machine behavior, and a higher-level system to maintain production records.</w:t>
      </w:r>
    </w:p>
    <w:p>
      <w:r>
        <w:t>The exact allocation of responsibilities depends on the machine architecture. Some readers connect directly to a PLC; others communicate with a PC, an industrial Ethernet network, or a dedicated identification controller.</w:t>
      </w:r>
    </w:p>
    <w:p>
      <w:pPr>
        <w:pStyle w:val="Heading2"/>
      </w:pPr>
      <w:r>
        <w:t>3. Barcode fundamentals</w:t>
      </w:r>
    </w:p>
    <w:p>
      <w:r>
        <w:t>A barcode encodes information using a pattern of bars and spaces, geometric modules, or both. The reader captures the pattern and decodes it into data.</w:t>
      </w:r>
    </w:p>
    <w:p>
      <w:r>
        <w:t>Two major categories are used in industry.</w:t>
      </w:r>
    </w:p>
    <w:p>
      <w:pPr>
        <w:pStyle w:val="Heading3"/>
      </w:pPr>
      <w:r>
        <w:t>3.1 One-dimensional barcodes</w:t>
      </w:r>
    </w:p>
    <w:p>
      <w:r>
        <w:t>A 1D barcode represents data using variations in bar and space widths.</w:t>
      </w:r>
    </w:p>
    <w:p>
      <w:r>
        <w:t>Common examples include:</w:t>
      </w:r>
    </w:p>
    <w:p>
      <w:pPr>
        <w:pStyle w:val="ListBullet"/>
      </w:pPr>
      <w:r>
        <w:t>Code 39.</w:t>
      </w:r>
    </w:p>
    <w:p>
      <w:pPr>
        <w:pStyle w:val="ListBullet"/>
      </w:pPr>
      <w:r>
        <w:t>Code 128.</w:t>
      </w:r>
    </w:p>
    <w:p>
      <w:pPr>
        <w:pStyle w:val="ListBullet"/>
      </w:pPr>
      <w:r>
        <w:t>EAN-13.</w:t>
      </w:r>
    </w:p>
    <w:p>
      <w:pPr>
        <w:pStyle w:val="ListBullet"/>
      </w:pPr>
      <w:r>
        <w:t>UPC-A.</w:t>
      </w:r>
    </w:p>
    <w:p>
      <w:pPr>
        <w:pStyle w:val="ListBullet"/>
      </w:pPr>
      <w:r>
        <w:t>Interleaved 2 of 5.</w:t>
      </w:r>
    </w:p>
    <w:p>
      <w:r>
        <w:t>Typical applications include labels, cartons, inventory identification, and logistics.</w:t>
      </w:r>
    </w:p>
    <w:p>
      <w:pPr>
        <w:pStyle w:val="Heading3"/>
      </w:pPr>
      <w:r>
        <w:t>3.2 Two-dimensional codes</w:t>
      </w:r>
    </w:p>
    <w:p>
      <w:r>
        <w:t>A 2D code encodes data in a two-dimensional pattern.</w:t>
      </w:r>
    </w:p>
    <w:p>
      <w:r>
        <w:t>Common examples include:</w:t>
      </w:r>
    </w:p>
    <w:p>
      <w:pPr>
        <w:pStyle w:val="ListBullet"/>
      </w:pPr>
      <w:r>
        <w:t>QR Code.</w:t>
      </w:r>
    </w:p>
    <w:p>
      <w:pPr>
        <w:pStyle w:val="ListBullet"/>
      </w:pPr>
      <w:r>
        <w:t>Data Matrix.</w:t>
      </w:r>
    </w:p>
    <w:p>
      <w:pPr>
        <w:pStyle w:val="ListBullet"/>
      </w:pPr>
      <w:r>
        <w:t>PDF417.</w:t>
      </w:r>
    </w:p>
    <w:p>
      <w:r>
        <w:t>Data Matrix is particularly common in industrial part marking because it can store identification data in a compact area. It is frequently used for direct part marking on metal components.</w:t>
      </w:r>
    </w:p>
    <w:p>
      <w:r>
        <w:t>QR Codes are also used for product identification, service information, and logistics.</w:t>
      </w:r>
    </w:p>
    <w:p>
      <w:r>
        <w:t>PDF417 is a stacked 2D symbology used in some identification and documentation applications.</w:t>
      </w:r>
    </w:p>
    <w:p>
      <w:pPr>
        <w:pStyle w:val="Heading3"/>
      </w:pPr>
      <w:r>
        <w:t>3.3 Barcode versus RFID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Barcode</w:t>
            </w:r>
          </w:p>
        </w:tc>
        <w:tc>
          <w:tcPr>
            <w:tcW w:type="dxa" w:w="3600"/>
            <w:shd w:val="clear" w:color="auto" w:fill="EEF2F7"/>
          </w:tcPr>
          <w:p>
            <w:pPr>
              <w:spacing w:after="0" w:before="0" w:line="240" w:lineRule="auto"/>
              <w:jc w:val="left"/>
            </w:pPr>
            <w:r>
              <w:rPr>
                <w:b/>
                <w:color w:val="1A2E4A"/>
              </w:rPr>
              <w:t>RFID</w:t>
            </w:r>
          </w:p>
        </w:tc>
      </w:tr>
      <w:tr>
        <w:tc>
          <w:tcPr>
            <w:tcW w:type="dxa" w:w="3600"/>
          </w:tcPr>
          <w:p>
            <w:pPr>
              <w:spacing w:after="0" w:before="0" w:line="240" w:lineRule="auto"/>
              <w:jc w:val="left"/>
            </w:pPr>
            <w:r>
              <w:t>Identification method</w:t>
            </w:r>
          </w:p>
        </w:tc>
        <w:tc>
          <w:tcPr>
            <w:tcW w:type="dxa" w:w="3600"/>
          </w:tcPr>
          <w:p>
            <w:pPr>
              <w:spacing w:after="0" w:before="0" w:line="240" w:lineRule="auto"/>
              <w:jc w:val="left"/>
            </w:pPr>
            <w:r>
              <w:t>Optical reading</w:t>
            </w:r>
          </w:p>
        </w:tc>
        <w:tc>
          <w:tcPr>
            <w:tcW w:type="dxa" w:w="3600"/>
          </w:tcPr>
          <w:p>
            <w:pPr>
              <w:spacing w:after="0" w:before="0" w:line="240" w:lineRule="auto"/>
              <w:jc w:val="left"/>
            </w:pPr>
            <w:r>
              <w:t>Radio-frequency communication</w:t>
            </w:r>
          </w:p>
        </w:tc>
      </w:tr>
      <w:tr>
        <w:tc>
          <w:tcPr>
            <w:tcW w:type="dxa" w:w="3600"/>
          </w:tcPr>
          <w:p>
            <w:pPr>
              <w:spacing w:after="0" w:before="0" w:line="240" w:lineRule="auto"/>
              <w:jc w:val="left"/>
            </w:pPr>
            <w:r>
              <w:t>Line of sight</w:t>
            </w:r>
          </w:p>
        </w:tc>
        <w:tc>
          <w:tcPr>
            <w:tcW w:type="dxa" w:w="3600"/>
          </w:tcPr>
          <w:p>
            <w:pPr>
              <w:spacing w:after="0" w:before="0" w:line="240" w:lineRule="auto"/>
              <w:jc w:val="left"/>
            </w:pPr>
            <w:r>
              <w:t>Usually required</w:t>
            </w:r>
          </w:p>
        </w:tc>
        <w:tc>
          <w:tcPr>
            <w:tcW w:type="dxa" w:w="3600"/>
          </w:tcPr>
          <w:p>
            <w:pPr>
              <w:spacing w:after="0" w:before="0" w:line="240" w:lineRule="auto"/>
              <w:jc w:val="left"/>
            </w:pPr>
            <w:r>
              <w:t>Often not required</w:t>
            </w:r>
          </w:p>
        </w:tc>
      </w:tr>
      <w:tr>
        <w:tc>
          <w:tcPr>
            <w:tcW w:type="dxa" w:w="3600"/>
          </w:tcPr>
          <w:p>
            <w:pPr>
              <w:spacing w:after="0" w:before="0" w:line="240" w:lineRule="auto"/>
              <w:jc w:val="left"/>
            </w:pPr>
            <w:r>
              <w:t>Data carrier</w:t>
            </w:r>
          </w:p>
        </w:tc>
        <w:tc>
          <w:tcPr>
            <w:tcW w:type="dxa" w:w="3600"/>
          </w:tcPr>
          <w:p>
            <w:pPr>
              <w:spacing w:after="0" w:before="0" w:line="240" w:lineRule="auto"/>
              <w:jc w:val="left"/>
            </w:pPr>
            <w:r>
              <w:t>Printed or marked symbol</w:t>
            </w:r>
          </w:p>
        </w:tc>
        <w:tc>
          <w:tcPr>
            <w:tcW w:type="dxa" w:w="3600"/>
          </w:tcPr>
          <w:p>
            <w:pPr>
              <w:spacing w:after="0" w:before="0" w:line="240" w:lineRule="auto"/>
              <w:jc w:val="left"/>
            </w:pPr>
            <w:r>
              <w:t>Electronic tag</w:t>
            </w:r>
          </w:p>
        </w:tc>
      </w:tr>
      <w:tr>
        <w:tc>
          <w:tcPr>
            <w:tcW w:type="dxa" w:w="3600"/>
          </w:tcPr>
          <w:p>
            <w:pPr>
              <w:spacing w:after="0" w:before="0" w:line="240" w:lineRule="auto"/>
              <w:jc w:val="left"/>
            </w:pPr>
            <w:r>
              <w:t>Typical read operation</w:t>
            </w:r>
          </w:p>
        </w:tc>
        <w:tc>
          <w:tcPr>
            <w:tcW w:type="dxa" w:w="3600"/>
          </w:tcPr>
          <w:p>
            <w:pPr>
              <w:spacing w:after="0" w:before="0" w:line="240" w:lineRule="auto"/>
              <w:jc w:val="left"/>
            </w:pPr>
            <w:r>
              <w:t>Scan visible code</w:t>
            </w:r>
          </w:p>
        </w:tc>
        <w:tc>
          <w:tcPr>
            <w:tcW w:type="dxa" w:w="3600"/>
          </w:tcPr>
          <w:p>
            <w:pPr>
              <w:spacing w:after="0" w:before="0" w:line="240" w:lineRule="auto"/>
              <w:jc w:val="left"/>
            </w:pPr>
            <w:r>
              <w:t>Read tag within supported RF range</w:t>
            </w:r>
          </w:p>
        </w:tc>
      </w:tr>
      <w:tr>
        <w:tc>
          <w:tcPr>
            <w:tcW w:type="dxa" w:w="3600"/>
          </w:tcPr>
          <w:p>
            <w:pPr>
              <w:spacing w:after="0" w:before="0" w:line="240" w:lineRule="auto"/>
              <w:jc w:val="left"/>
            </w:pPr>
            <w:r>
              <w:t>Multiple items at once</w:t>
            </w:r>
          </w:p>
        </w:tc>
        <w:tc>
          <w:tcPr>
            <w:tcW w:type="dxa" w:w="3600"/>
          </w:tcPr>
          <w:p>
            <w:pPr>
              <w:spacing w:after="0" w:before="0" w:line="240" w:lineRule="auto"/>
              <w:jc w:val="left"/>
            </w:pPr>
            <w:r>
              <w:t>Possible with suitable imaging systems, but not inherent to every reader</w:t>
            </w:r>
          </w:p>
        </w:tc>
        <w:tc>
          <w:tcPr>
            <w:tcW w:type="dxa" w:w="3600"/>
          </w:tcPr>
          <w:p>
            <w:pPr>
              <w:spacing w:after="0" w:before="0" w:line="240" w:lineRule="auto"/>
              <w:jc w:val="left"/>
            </w:pPr>
            <w:r>
              <w:t>Possible with compatible multi-tag systems</w:t>
            </w:r>
          </w:p>
        </w:tc>
      </w:tr>
      <w:tr>
        <w:tc>
          <w:tcPr>
            <w:tcW w:type="dxa" w:w="3600"/>
          </w:tcPr>
          <w:p>
            <w:pPr>
              <w:spacing w:after="0" w:before="0" w:line="240" w:lineRule="auto"/>
              <w:jc w:val="left"/>
            </w:pPr>
            <w:r>
              <w:t>Environmental sensitivity</w:t>
            </w:r>
          </w:p>
        </w:tc>
        <w:tc>
          <w:tcPr>
            <w:tcW w:type="dxa" w:w="3600"/>
          </w:tcPr>
          <w:p>
            <w:pPr>
              <w:spacing w:after="0" w:before="0" w:line="240" w:lineRule="auto"/>
              <w:jc w:val="left"/>
            </w:pPr>
            <w:r>
              <w:t>Print damage, dirt, contrast, lighting</w:t>
            </w:r>
          </w:p>
        </w:tc>
        <w:tc>
          <w:tcPr>
            <w:tcW w:type="dxa" w:w="3600"/>
          </w:tcPr>
          <w:p>
            <w:pPr>
              <w:spacing w:after="0" w:before="0" w:line="240" w:lineRule="auto"/>
              <w:jc w:val="left"/>
            </w:pPr>
            <w:r>
              <w:t>Metal, liquids, interference, tag placement, and frequency</w:t>
            </w:r>
          </w:p>
        </w:tc>
      </w:tr>
      <w:tr>
        <w:tc>
          <w:tcPr>
            <w:tcW w:type="dxa" w:w="3600"/>
          </w:tcPr>
          <w:p>
            <w:pPr>
              <w:spacing w:after="0" w:before="0" w:line="240" w:lineRule="auto"/>
              <w:jc w:val="left"/>
            </w:pPr>
            <w:r>
              <w:t>Typical cost factors</w:t>
            </w:r>
          </w:p>
        </w:tc>
        <w:tc>
          <w:tcPr>
            <w:tcW w:type="dxa" w:w="3600"/>
          </w:tcPr>
          <w:p>
            <w:pPr>
              <w:spacing w:after="0" w:before="0" w:line="240" w:lineRule="auto"/>
              <w:jc w:val="left"/>
            </w:pPr>
            <w:r>
              <w:t>Label, marking, reader, integration</w:t>
            </w:r>
          </w:p>
        </w:tc>
        <w:tc>
          <w:tcPr>
            <w:tcW w:type="dxa" w:w="3600"/>
          </w:tcPr>
          <w:p>
            <w:pPr>
              <w:spacing w:after="0" w:before="0" w:line="240" w:lineRule="auto"/>
              <w:jc w:val="left"/>
            </w:pPr>
            <w:r>
              <w:t>Tag, reader, antenna, integration</w:t>
            </w:r>
          </w:p>
        </w:tc>
      </w:tr>
    </w:tbl>
    <w:p/>
    <w:p>
      <w:r>
        <w:t>Barcode and RFID are different identification technologies. The appropriate choice depends on the required range, data capacity, environmental conditions, identification reliability, and cost.</w:t>
      </w:r>
    </w:p>
    <w:p>
      <w:pPr>
        <w:pStyle w:val="Heading2"/>
      </w:pPr>
      <w:r>
        <w:t>4. Barcode symbologies and their characteristics</w:t>
      </w:r>
    </w:p>
    <w:p>
      <w:r>
        <w:t>A symbology defines how information is encoded into the barcode.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Code 39</w:t>
            </w:r>
          </w:p>
        </w:tc>
        <w:tc>
          <w:tcPr>
            <w:tcW w:type="dxa" w:w="3600"/>
          </w:tcPr>
          <w:p>
            <w:pPr>
              <w:spacing w:after="0" w:before="0" w:line="240" w:lineRule="auto"/>
              <w:jc w:val="left"/>
            </w:pPr>
            <w:r>
              <w:t>1D</w:t>
            </w:r>
          </w:p>
        </w:tc>
        <w:tc>
          <w:tcPr>
            <w:tcW w:type="dxa" w:w="3600"/>
          </w:tcPr>
          <w:p>
            <w:pPr>
              <w:spacing w:after="0" w:before="0" w:line="240" w:lineRule="auto"/>
              <w:jc w:val="left"/>
            </w:pPr>
            <w:r>
              <w:t>Common in industrial identification; supports a defined character set</w:t>
            </w:r>
          </w:p>
        </w:tc>
      </w:tr>
      <w:tr>
        <w:tc>
          <w:tcPr>
            <w:tcW w:type="dxa" w:w="3600"/>
          </w:tcPr>
          <w:p>
            <w:pPr>
              <w:spacing w:after="0" w:before="0" w:line="240" w:lineRule="auto"/>
              <w:jc w:val="left"/>
            </w:pPr>
            <w:r>
              <w:t>Code 128</w:t>
            </w:r>
          </w:p>
        </w:tc>
        <w:tc>
          <w:tcPr>
            <w:tcW w:type="dxa" w:w="3600"/>
          </w:tcPr>
          <w:p>
            <w:pPr>
              <w:spacing w:after="0" w:before="0" w:line="240" w:lineRule="auto"/>
              <w:jc w:val="left"/>
            </w:pPr>
            <w:r>
              <w:t>1D</w:t>
            </w:r>
          </w:p>
        </w:tc>
        <w:tc>
          <w:tcPr>
            <w:tcW w:type="dxa" w:w="3600"/>
          </w:tcPr>
          <w:p>
            <w:pPr>
              <w:spacing w:after="0" w:before="0" w:line="240" w:lineRule="auto"/>
              <w:jc w:val="left"/>
            </w:pPr>
            <w:r>
              <w:t>High data density; supports letters, digits, and control characters</w:t>
            </w:r>
          </w:p>
        </w:tc>
      </w:tr>
      <w:tr>
        <w:tc>
          <w:tcPr>
            <w:tcW w:type="dxa" w:w="3600"/>
          </w:tcPr>
          <w:p>
            <w:pPr>
              <w:spacing w:after="0" w:before="0" w:line="240" w:lineRule="auto"/>
              <w:jc w:val="left"/>
            </w:pPr>
            <w:r>
              <w:t>EAN-13</w:t>
            </w:r>
          </w:p>
        </w:tc>
        <w:tc>
          <w:tcPr>
            <w:tcW w:type="dxa" w:w="3600"/>
          </w:tcPr>
          <w:p>
            <w:pPr>
              <w:spacing w:after="0" w:before="0" w:line="240" w:lineRule="auto"/>
              <w:jc w:val="left"/>
            </w:pPr>
            <w:r>
              <w:t>1D</w:t>
            </w:r>
          </w:p>
        </w:tc>
        <w:tc>
          <w:tcPr>
            <w:tcW w:type="dxa" w:w="3600"/>
          </w:tcPr>
          <w:p>
            <w:pPr>
              <w:spacing w:after="0" w:before="0" w:line="240" w:lineRule="auto"/>
              <w:jc w:val="left"/>
            </w:pPr>
            <w:r>
              <w:t>Common retail product identification</w:t>
            </w:r>
          </w:p>
        </w:tc>
      </w:tr>
      <w:tr>
        <w:tc>
          <w:tcPr>
            <w:tcW w:type="dxa" w:w="3600"/>
          </w:tcPr>
          <w:p>
            <w:pPr>
              <w:spacing w:after="0" w:before="0" w:line="240" w:lineRule="auto"/>
              <w:jc w:val="left"/>
            </w:pPr>
            <w:r>
              <w:t>UPC-A</w:t>
            </w:r>
          </w:p>
        </w:tc>
        <w:tc>
          <w:tcPr>
            <w:tcW w:type="dxa" w:w="3600"/>
          </w:tcPr>
          <w:p>
            <w:pPr>
              <w:spacing w:after="0" w:before="0" w:line="240" w:lineRule="auto"/>
              <w:jc w:val="left"/>
            </w:pPr>
            <w:r>
              <w:t>1D</w:t>
            </w:r>
          </w:p>
        </w:tc>
        <w:tc>
          <w:tcPr>
            <w:tcW w:type="dxa" w:w="3600"/>
          </w:tcPr>
          <w:p>
            <w:pPr>
              <w:spacing w:after="0" w:before="0" w:line="240" w:lineRule="auto"/>
              <w:jc w:val="left"/>
            </w:pPr>
            <w:r>
              <w:t>Common retail product identification</w:t>
            </w:r>
          </w:p>
        </w:tc>
      </w:tr>
      <w:tr>
        <w:tc>
          <w:tcPr>
            <w:tcW w:type="dxa" w:w="3600"/>
          </w:tcPr>
          <w:p>
            <w:pPr>
              <w:spacing w:after="0" w:before="0" w:line="240" w:lineRule="auto"/>
              <w:jc w:val="left"/>
            </w:pPr>
            <w:r>
              <w:t>Interleaved 2 of 5</w:t>
            </w:r>
          </w:p>
        </w:tc>
        <w:tc>
          <w:tcPr>
            <w:tcW w:type="dxa" w:w="3600"/>
          </w:tcPr>
          <w:p>
            <w:pPr>
              <w:spacing w:after="0" w:before="0" w:line="240" w:lineRule="auto"/>
              <w:jc w:val="left"/>
            </w:pPr>
            <w:r>
              <w:t>1D</w:t>
            </w:r>
          </w:p>
        </w:tc>
        <w:tc>
          <w:tcPr>
            <w:tcW w:type="dxa" w:w="3600"/>
          </w:tcPr>
          <w:p>
            <w:pPr>
              <w:spacing w:after="0" w:before="0" w:line="240" w:lineRule="auto"/>
              <w:jc w:val="left"/>
            </w:pPr>
            <w:r>
              <w:t>Numeric encoding often used in logistics</w:t>
            </w:r>
          </w:p>
        </w:tc>
      </w:tr>
      <w:tr>
        <w:tc>
          <w:tcPr>
            <w:tcW w:type="dxa" w:w="3600"/>
          </w:tcPr>
          <w:p>
            <w:pPr>
              <w:spacing w:after="0" w:before="0" w:line="240" w:lineRule="auto"/>
              <w:jc w:val="left"/>
            </w:pPr>
            <w:r>
              <w:t>QR Code</w:t>
            </w:r>
          </w:p>
        </w:tc>
        <w:tc>
          <w:tcPr>
            <w:tcW w:type="dxa" w:w="3600"/>
          </w:tcPr>
          <w:p>
            <w:pPr>
              <w:spacing w:after="0" w:before="0" w:line="240" w:lineRule="auto"/>
              <w:jc w:val="left"/>
            </w:pPr>
            <w:r>
              <w:t>2D</w:t>
            </w:r>
          </w:p>
        </w:tc>
        <w:tc>
          <w:tcPr>
            <w:tcW w:type="dxa" w:w="3600"/>
          </w:tcPr>
          <w:p>
            <w:pPr>
              <w:spacing w:after="0" w:before="0" w:line="240" w:lineRule="auto"/>
              <w:jc w:val="left"/>
            </w:pPr>
            <w:r>
              <w:t>Square matrix; supports various data types and error correction</w:t>
            </w:r>
          </w:p>
        </w:tc>
      </w:tr>
      <w:tr>
        <w:tc>
          <w:tcPr>
            <w:tcW w:type="dxa" w:w="3600"/>
          </w:tcPr>
          <w:p>
            <w:pPr>
              <w:spacing w:after="0" w:before="0" w:line="240" w:lineRule="auto"/>
              <w:jc w:val="left"/>
            </w:pPr>
            <w:r>
              <w:t>Data Matrix</w:t>
            </w:r>
          </w:p>
        </w:tc>
        <w:tc>
          <w:tcPr>
            <w:tcW w:type="dxa" w:w="3600"/>
          </w:tcPr>
          <w:p>
            <w:pPr>
              <w:spacing w:after="0" w:before="0" w:line="240" w:lineRule="auto"/>
              <w:jc w:val="left"/>
            </w:pPr>
            <w:r>
              <w:t>2D</w:t>
            </w:r>
          </w:p>
        </w:tc>
        <w:tc>
          <w:tcPr>
            <w:tcW w:type="dxa" w:w="3600"/>
          </w:tcPr>
          <w:p>
            <w:pPr>
              <w:spacing w:after="0" w:before="0" w:line="240" w:lineRule="auto"/>
              <w:jc w:val="left"/>
            </w:pPr>
            <w:r>
              <w:t>Compact matrix code; widely used for industrial component marking</w:t>
            </w:r>
          </w:p>
        </w:tc>
      </w:tr>
      <w:tr>
        <w:tc>
          <w:tcPr>
            <w:tcW w:type="dxa" w:w="3600"/>
          </w:tcPr>
          <w:p>
            <w:pPr>
              <w:spacing w:after="0" w:before="0" w:line="240" w:lineRule="auto"/>
              <w:jc w:val="left"/>
            </w:pPr>
            <w:r>
              <w:t>PDF417</w:t>
            </w:r>
          </w:p>
        </w:tc>
        <w:tc>
          <w:tcPr>
            <w:tcW w:type="dxa" w:w="3600"/>
          </w:tcPr>
          <w:p>
            <w:pPr>
              <w:spacing w:after="0" w:before="0" w:line="240" w:lineRule="auto"/>
              <w:jc w:val="left"/>
            </w:pPr>
            <w:r>
              <w:t>2D stacked</w:t>
            </w:r>
          </w:p>
        </w:tc>
        <w:tc>
          <w:tcPr>
            <w:tcW w:type="dxa" w:w="3600"/>
          </w:tcPr>
          <w:p>
            <w:pPr>
              <w:spacing w:after="0" w:before="0" w:line="240" w:lineRule="auto"/>
              <w:jc w:val="left"/>
            </w:pPr>
            <w:r>
              <w:t>Suitable for relatively larger encoded data payloads</w:t>
            </w:r>
          </w:p>
        </w:tc>
      </w:tr>
    </w:tbl>
    <w:p/>
    <w:p>
      <w:r>
        <w:t>Do not choose a symbology solely because the scanner supports it. The product specification, customer requirement, marking method, available area, and downstream systems must also support it.</w:t>
      </w:r>
    </w:p>
    <w:p>
      <w:pPr>
        <w:pStyle w:val="Heading2"/>
      </w:pPr>
      <w:r>
        <w:t>5. Barcode reader types</w:t>
      </w:r>
    </w:p>
    <w:p>
      <w:pPr>
        <w:pStyle w:val="Heading3"/>
      </w:pPr>
      <w:r>
        <w:t>5.1 Laser scanner</w:t>
      </w:r>
    </w:p>
    <w:p>
      <w:r>
        <w:t>A laser scanner reads the reflectance pattern of a 1D barcode using a laser-based optical system.</w:t>
      </w:r>
    </w:p>
    <w:p>
      <w:r>
        <w:t>Advantages:</w:t>
      </w:r>
    </w:p>
    <w:p>
      <w:pPr>
        <w:pStyle w:val="ListBullet"/>
      </w:pPr>
      <w:r>
        <w:t>Suitable for many conventional 1D barcode applications.</w:t>
      </w:r>
    </w:p>
    <w:p>
      <w:pPr>
        <w:pStyle w:val="ListBullet"/>
      </w:pPr>
      <w:r>
        <w:t>Can support rapid scanning in appropriate conditions.</w:t>
      </w:r>
    </w:p>
    <w:p>
      <w:pPr>
        <w:pStyle w:val="ListBullet"/>
      </w:pPr>
      <w:r>
        <w:t>Often effective for established logistics and packaging applications.</w:t>
      </w:r>
    </w:p>
    <w:p>
      <w:r>
        <w:t>Limitations:</w:t>
      </w:r>
    </w:p>
    <w:p>
      <w:pPr>
        <w:pStyle w:val="ListBullet"/>
      </w:pPr>
      <w:r>
        <w:t>Conventional laser scanners generally do not read 2D matrix codes.</w:t>
      </w:r>
    </w:p>
    <w:p>
      <w:pPr>
        <w:pStyle w:val="ListBullet"/>
      </w:pPr>
      <w:r>
        <w:t>Damaged, poorly printed, or low-contrast labels can cause reading failures.</w:t>
      </w:r>
    </w:p>
    <w:p>
      <w:pPr>
        <w:pStyle w:val="ListBullet"/>
      </w:pPr>
      <w:r>
        <w:t>Optical and mechanical constraints affect read reliability.</w:t>
      </w:r>
    </w:p>
    <w:p>
      <w:pPr>
        <w:pStyle w:val="Heading3"/>
      </w:pPr>
      <w:r>
        <w:t>5.2 CCD or linear imager</w:t>
      </w:r>
    </w:p>
    <w:p>
      <w:r>
        <w:t>A linear imaging reader uses an array of optical sensors to capture a barcode image.</w:t>
      </w:r>
    </w:p>
    <w:p>
      <w:r>
        <w:t>It can read supported 1D symbols and may offer advantages in certain close-range applications.</w:t>
      </w:r>
    </w:p>
    <w:p>
      <w:pPr>
        <w:pStyle w:val="Heading3"/>
      </w:pPr>
      <w:r>
        <w:t>5.3 Area imager</w:t>
      </w:r>
    </w:p>
    <w:p>
      <w:r>
        <w:t>An area imager captures a two-dimensional image and decodes supported barcode formats.</w:t>
      </w:r>
    </w:p>
    <w:p>
      <w:r>
        <w:t>Advantages include:</w:t>
      </w:r>
    </w:p>
    <w:p>
      <w:pPr>
        <w:pStyle w:val="ListBullet"/>
      </w:pPr>
      <w:r>
        <w:t>Reading 1D and 2D codes, depending on the model.</w:t>
      </w:r>
    </w:p>
    <w:p>
      <w:pPr>
        <w:pStyle w:val="ListBullet"/>
      </w:pPr>
      <w:r>
        <w:t>Reading codes in different orientations within the supported field of view.</w:t>
      </w:r>
    </w:p>
    <w:p>
      <w:pPr>
        <w:pStyle w:val="ListBullet"/>
      </w:pPr>
      <w:r>
        <w:t>Supporting some damaged or poorly positioned symbols.</w:t>
      </w:r>
    </w:p>
    <w:p>
      <w:pPr>
        <w:pStyle w:val="ListBullet"/>
      </w:pPr>
      <w:r>
        <w:t>Enabling image-based diagnostics on models that provide this feature.</w:t>
      </w:r>
    </w:p>
    <w:p>
      <w:r>
        <w:t>Area imagers are common in modern industrial identification systems.</w:t>
      </w:r>
    </w:p>
    <w:p>
      <w:pPr>
        <w:pStyle w:val="Heading3"/>
      </w:pPr>
      <w:r>
        <w:t>5.4 Fixed-mount industrial reader</w:t>
      </w:r>
    </w:p>
    <w:p>
      <w:r>
        <w:t>A fixed-mount reader is installed at a defined location on a conveyor, fixture, robot cell, or production station.</w:t>
      </w:r>
    </w:p>
    <w:p>
      <w:r>
        <w:t>Typical features include:</w:t>
      </w:r>
    </w:p>
    <w:p>
      <w:pPr>
        <w:pStyle w:val="ListBullet"/>
      </w:pPr>
      <w:r>
        <w:t>Trigger input.</w:t>
      </w:r>
    </w:p>
    <w:p>
      <w:pPr>
        <w:pStyle w:val="ListBullet"/>
      </w:pPr>
      <w:r>
        <w:t>Ethernet or serial communication.</w:t>
      </w:r>
    </w:p>
    <w:p>
      <w:pPr>
        <w:pStyle w:val="ListBullet"/>
      </w:pPr>
      <w:r>
        <w:t>Industrial digital inputs and outputs.</w:t>
      </w:r>
    </w:p>
    <w:p>
      <w:pPr>
        <w:pStyle w:val="ListBullet"/>
      </w:pPr>
      <w:r>
        <w:t>Configurable read timeout.</w:t>
      </w:r>
    </w:p>
    <w:p>
      <w:pPr>
        <w:pStyle w:val="ListBullet"/>
      </w:pPr>
      <w:r>
        <w:t>Good-read and no-read outputs.</w:t>
      </w:r>
    </w:p>
    <w:p>
      <w:pPr>
        <w:pStyle w:val="ListBullet"/>
      </w:pPr>
      <w:r>
        <w:t>Reading statistics and diagnostics.</w:t>
      </w:r>
    </w:p>
    <w:p>
      <w:pPr>
        <w:pStyle w:val="ListBullet"/>
      </w:pPr>
      <w:r>
        <w:t>Optional image capture and code-quality reporting.</w:t>
      </w:r>
    </w:p>
    <w:p>
      <w:r>
        <w:t>A fixed reader is useful for repeatable production operations where a part passes through a known scanning position.</w:t>
      </w:r>
    </w:p>
    <w:p>
      <w:pPr>
        <w:pStyle w:val="Heading3"/>
      </w:pPr>
      <w:r>
        <w:t>5.5 Handheld scanner</w:t>
      </w:r>
    </w:p>
    <w:p>
      <w:r>
        <w:t>A handheld scanner is manually aimed at a label or component.</w:t>
      </w:r>
    </w:p>
    <w:p>
      <w:r>
        <w:t>Typical uses include:</w:t>
      </w:r>
    </w:p>
    <w:p>
      <w:pPr>
        <w:pStyle w:val="ListBullet"/>
      </w:pPr>
      <w:r>
        <w:t>Maintenance inventory.</w:t>
      </w:r>
    </w:p>
    <w:p>
      <w:pPr>
        <w:pStyle w:val="ListBullet"/>
      </w:pPr>
      <w:r>
        <w:t>Manual rework stations.</w:t>
      </w:r>
    </w:p>
    <w:p>
      <w:pPr>
        <w:pStyle w:val="ListBullet"/>
      </w:pPr>
      <w:r>
        <w:t>Material receipt.</w:t>
      </w:r>
    </w:p>
    <w:p>
      <w:pPr>
        <w:pStyle w:val="ListBullet"/>
      </w:pPr>
      <w:r>
        <w:t>Offline quality checks.</w:t>
      </w:r>
    </w:p>
    <w:p>
      <w:pPr>
        <w:pStyle w:val="ListBullet"/>
      </w:pPr>
      <w:r>
        <w:t>Operator-assisted traceability.</w:t>
      </w:r>
    </w:p>
    <w:p>
      <w:r>
        <w:t>Handheld devices may use USB, serial, Bluetooth, or wireless industrial interfaces.</w:t>
      </w:r>
    </w:p>
    <w:p>
      <w:pPr>
        <w:pStyle w:val="Heading2"/>
      </w:pPr>
      <w:r>
        <w:t>6. Important scanner specifications</w:t>
      </w:r>
    </w:p>
    <w:p>
      <w:r>
        <w:t>When selecting a reader, check the following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Specification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Supported symbologies</w:t>
            </w:r>
          </w:p>
        </w:tc>
        <w:tc>
          <w:tcPr>
            <w:tcW w:type="dxa" w:w="3600"/>
          </w:tcPr>
          <w:p>
            <w:pPr>
              <w:spacing w:after="0" w:before="0" w:line="240" w:lineRule="auto"/>
              <w:jc w:val="left"/>
            </w:pPr>
            <w:r>
              <w:t>Barcode formats the reader can decode</w:t>
            </w:r>
          </w:p>
        </w:tc>
        <w:tc>
          <w:tcPr>
            <w:tcW w:type="dxa" w:w="3600"/>
          </w:tcPr>
          <w:p>
            <w:pPr>
              <w:spacing w:after="0" w:before="0" w:line="240" w:lineRule="auto"/>
              <w:jc w:val="left"/>
            </w:pPr>
            <w:r>
              <w:t>Ensures compatibility with product codes</w:t>
            </w:r>
          </w:p>
        </w:tc>
      </w:tr>
      <w:tr>
        <w:tc>
          <w:tcPr>
            <w:tcW w:type="dxa" w:w="3600"/>
          </w:tcPr>
          <w:p>
            <w:pPr>
              <w:spacing w:after="0" w:before="0" w:line="240" w:lineRule="auto"/>
              <w:jc w:val="left"/>
            </w:pPr>
            <w:r>
              <w:t>Minimum module size</w:t>
            </w:r>
          </w:p>
        </w:tc>
        <w:tc>
          <w:tcPr>
            <w:tcW w:type="dxa" w:w="3600"/>
          </w:tcPr>
          <w:p>
            <w:pPr>
              <w:spacing w:after="0" w:before="0" w:line="240" w:lineRule="auto"/>
              <w:jc w:val="left"/>
            </w:pPr>
            <w:r>
              <w:t>Smallest supported barcode feature size</w:t>
            </w:r>
          </w:p>
        </w:tc>
        <w:tc>
          <w:tcPr>
            <w:tcW w:type="dxa" w:w="3600"/>
          </w:tcPr>
          <w:p>
            <w:pPr>
              <w:spacing w:after="0" w:before="0" w:line="240" w:lineRule="auto"/>
              <w:jc w:val="left"/>
            </w:pPr>
            <w:r>
              <w:t>Determines suitability for compact codes</w:t>
            </w:r>
          </w:p>
        </w:tc>
      </w:tr>
      <w:tr>
        <w:tc>
          <w:tcPr>
            <w:tcW w:type="dxa" w:w="3600"/>
          </w:tcPr>
          <w:p>
            <w:pPr>
              <w:spacing w:after="0" w:before="0" w:line="240" w:lineRule="auto"/>
              <w:jc w:val="left"/>
            </w:pPr>
            <w:r>
              <w:t>Working distance</w:t>
            </w:r>
          </w:p>
        </w:tc>
        <w:tc>
          <w:tcPr>
            <w:tcW w:type="dxa" w:w="3600"/>
          </w:tcPr>
          <w:p>
            <w:pPr>
              <w:spacing w:after="0" w:before="0" w:line="240" w:lineRule="auto"/>
              <w:jc w:val="left"/>
            </w:pPr>
            <w:r>
              <w:t>Supported distance between reader and code</w:t>
            </w:r>
          </w:p>
        </w:tc>
        <w:tc>
          <w:tcPr>
            <w:tcW w:type="dxa" w:w="3600"/>
          </w:tcPr>
          <w:p>
            <w:pPr>
              <w:spacing w:after="0" w:before="0" w:line="240" w:lineRule="auto"/>
              <w:jc w:val="left"/>
            </w:pPr>
            <w:r>
              <w:t>Determines mounting position</w:t>
            </w:r>
          </w:p>
        </w:tc>
      </w:tr>
      <w:tr>
        <w:tc>
          <w:tcPr>
            <w:tcW w:type="dxa" w:w="3600"/>
          </w:tcPr>
          <w:p>
            <w:pPr>
              <w:spacing w:after="0" w:before="0" w:line="240" w:lineRule="auto"/>
              <w:jc w:val="left"/>
            </w:pPr>
            <w:r>
              <w:t>Field of view</w:t>
            </w:r>
          </w:p>
        </w:tc>
        <w:tc>
          <w:tcPr>
            <w:tcW w:type="dxa" w:w="3600"/>
          </w:tcPr>
          <w:p>
            <w:pPr>
              <w:spacing w:after="0" w:before="0" w:line="240" w:lineRule="auto"/>
              <w:jc w:val="left"/>
            </w:pPr>
            <w:r>
              <w:t>Area the reader can capture</w:t>
            </w:r>
          </w:p>
        </w:tc>
        <w:tc>
          <w:tcPr>
            <w:tcW w:type="dxa" w:w="3600"/>
          </w:tcPr>
          <w:p>
            <w:pPr>
              <w:spacing w:after="0" w:before="0" w:line="240" w:lineRule="auto"/>
              <w:jc w:val="left"/>
            </w:pPr>
            <w:r>
              <w:t>Determines code positioning tolerance</w:t>
            </w:r>
          </w:p>
        </w:tc>
      </w:tr>
      <w:tr>
        <w:tc>
          <w:tcPr>
            <w:tcW w:type="dxa" w:w="3600"/>
          </w:tcPr>
          <w:p>
            <w:pPr>
              <w:spacing w:after="0" w:before="0" w:line="240" w:lineRule="auto"/>
              <w:jc w:val="left"/>
            </w:pPr>
            <w:r>
              <w:t>Depth of field</w:t>
            </w:r>
          </w:p>
        </w:tc>
        <w:tc>
          <w:tcPr>
            <w:tcW w:type="dxa" w:w="3600"/>
          </w:tcPr>
          <w:p>
            <w:pPr>
              <w:spacing w:after="0" w:before="0" w:line="240" w:lineRule="auto"/>
              <w:jc w:val="left"/>
            </w:pPr>
            <w:r>
              <w:t>Range of distances at which reading is possible</w:t>
            </w:r>
          </w:p>
        </w:tc>
        <w:tc>
          <w:tcPr>
            <w:tcW w:type="dxa" w:w="3600"/>
          </w:tcPr>
          <w:p>
            <w:pPr>
              <w:spacing w:after="0" w:before="0" w:line="240" w:lineRule="auto"/>
              <w:jc w:val="left"/>
            </w:pPr>
            <w:r>
              <w:t>Handles variations in product position</w:t>
            </w:r>
          </w:p>
        </w:tc>
      </w:tr>
      <w:tr>
        <w:tc>
          <w:tcPr>
            <w:tcW w:type="dxa" w:w="3600"/>
          </w:tcPr>
          <w:p>
            <w:pPr>
              <w:spacing w:after="0" w:before="0" w:line="240" w:lineRule="auto"/>
              <w:jc w:val="left"/>
            </w:pPr>
            <w:r>
              <w:t>Read rate</w:t>
            </w:r>
          </w:p>
        </w:tc>
        <w:tc>
          <w:tcPr>
            <w:tcW w:type="dxa" w:w="3600"/>
          </w:tcPr>
          <w:p>
            <w:pPr>
              <w:spacing w:after="0" w:before="0" w:line="240" w:lineRule="auto"/>
              <w:jc w:val="left"/>
            </w:pPr>
            <w:r>
              <w:t>Ability to process codes at the required rate</w:t>
            </w:r>
          </w:p>
        </w:tc>
        <w:tc>
          <w:tcPr>
            <w:tcW w:type="dxa" w:w="3600"/>
          </w:tcPr>
          <w:p>
            <w:pPr>
              <w:spacing w:after="0" w:before="0" w:line="240" w:lineRule="auto"/>
              <w:jc w:val="left"/>
            </w:pPr>
            <w:r>
              <w:t>Supports production cycle time</w:t>
            </w:r>
          </w:p>
        </w:tc>
      </w:tr>
      <w:tr>
        <w:tc>
          <w:tcPr>
            <w:tcW w:type="dxa" w:w="3600"/>
          </w:tcPr>
          <w:p>
            <w:pPr>
              <w:spacing w:after="0" w:before="0" w:line="240" w:lineRule="auto"/>
              <w:jc w:val="left"/>
            </w:pPr>
            <w:r>
              <w:t>Interface</w:t>
            </w:r>
          </w:p>
        </w:tc>
        <w:tc>
          <w:tcPr>
            <w:tcW w:type="dxa" w:w="3600"/>
          </w:tcPr>
          <w:p>
            <w:pPr>
              <w:spacing w:after="0" w:before="0" w:line="240" w:lineRule="auto"/>
              <w:jc w:val="left"/>
            </w:pPr>
            <w:r>
              <w:t>Available communication methods</w:t>
            </w:r>
          </w:p>
        </w:tc>
        <w:tc>
          <w:tcPr>
            <w:tcW w:type="dxa" w:w="3600"/>
          </w:tcPr>
          <w:p>
            <w:pPr>
              <w:spacing w:after="0" w:before="0" w:line="240" w:lineRule="auto"/>
              <w:jc w:val="left"/>
            </w:pPr>
            <w:r>
              <w:t>Determines PLC and network integration</w:t>
            </w:r>
          </w:p>
        </w:tc>
      </w:tr>
      <w:tr>
        <w:tc>
          <w:tcPr>
            <w:tcW w:type="dxa" w:w="3600"/>
          </w:tcPr>
          <w:p>
            <w:pPr>
              <w:spacing w:after="0" w:before="0" w:line="240" w:lineRule="auto"/>
              <w:jc w:val="left"/>
            </w:pPr>
            <w:r>
              <w:t>Trigger modes</w:t>
            </w:r>
          </w:p>
        </w:tc>
        <w:tc>
          <w:tcPr>
            <w:tcW w:type="dxa" w:w="3600"/>
          </w:tcPr>
          <w:p>
            <w:pPr>
              <w:spacing w:after="0" w:before="0" w:line="240" w:lineRule="auto"/>
              <w:jc w:val="left"/>
            </w:pPr>
            <w:r>
              <w:t>Conditions that initiate reading</w:t>
            </w:r>
          </w:p>
        </w:tc>
        <w:tc>
          <w:tcPr>
            <w:tcW w:type="dxa" w:w="3600"/>
          </w:tcPr>
          <w:p>
            <w:pPr>
              <w:spacing w:after="0" w:before="0" w:line="240" w:lineRule="auto"/>
              <w:jc w:val="left"/>
            </w:pPr>
            <w:r>
              <w:t>Controls when a read occurs</w:t>
            </w:r>
          </w:p>
        </w:tc>
      </w:tr>
      <w:tr>
        <w:tc>
          <w:tcPr>
            <w:tcW w:type="dxa" w:w="3600"/>
          </w:tcPr>
          <w:p>
            <w:pPr>
              <w:spacing w:after="0" w:before="0" w:line="240" w:lineRule="auto"/>
              <w:jc w:val="left"/>
            </w:pPr>
            <w:r>
              <w:t>Environmental rating</w:t>
            </w:r>
          </w:p>
        </w:tc>
        <w:tc>
          <w:tcPr>
            <w:tcW w:type="dxa" w:w="3600"/>
          </w:tcPr>
          <w:p>
            <w:pPr>
              <w:spacing w:after="0" w:before="0" w:line="240" w:lineRule="auto"/>
              <w:jc w:val="left"/>
            </w:pPr>
            <w:r>
              <w:t>Resistance to dust and water ingress</w:t>
            </w:r>
          </w:p>
        </w:tc>
        <w:tc>
          <w:tcPr>
            <w:tcW w:type="dxa" w:w="3600"/>
          </w:tcPr>
          <w:p>
            <w:pPr>
              <w:spacing w:after="0" w:before="0" w:line="240" w:lineRule="auto"/>
              <w:jc w:val="left"/>
            </w:pPr>
            <w:r>
              <w:t>Supports the installation environment</w:t>
            </w:r>
          </w:p>
        </w:tc>
      </w:tr>
      <w:tr>
        <w:tc>
          <w:tcPr>
            <w:tcW w:type="dxa" w:w="3600"/>
          </w:tcPr>
          <w:p>
            <w:pPr>
              <w:spacing w:after="0" w:before="0" w:line="240" w:lineRule="auto"/>
              <w:jc w:val="left"/>
            </w:pPr>
            <w:r>
              <w:t>Lighting</w:t>
            </w:r>
          </w:p>
        </w:tc>
        <w:tc>
          <w:tcPr>
            <w:tcW w:type="dxa" w:w="3600"/>
          </w:tcPr>
          <w:p>
            <w:pPr>
              <w:spacing w:after="0" w:before="0" w:line="240" w:lineRule="auto"/>
              <w:jc w:val="left"/>
            </w:pPr>
            <w:r>
              <w:t>Integrated or external illumination options</w:t>
            </w:r>
          </w:p>
        </w:tc>
        <w:tc>
          <w:tcPr>
            <w:tcW w:type="dxa" w:w="3600"/>
          </w:tcPr>
          <w:p>
            <w:pPr>
              <w:spacing w:after="0" w:before="0" w:line="240" w:lineRule="auto"/>
              <w:jc w:val="left"/>
            </w:pPr>
            <w:r>
              <w:t>Improves image quality</w:t>
            </w:r>
          </w:p>
        </w:tc>
      </w:tr>
      <w:tr>
        <w:tc>
          <w:tcPr>
            <w:tcW w:type="dxa" w:w="3600"/>
          </w:tcPr>
          <w:p>
            <w:pPr>
              <w:spacing w:after="0" w:before="0" w:line="240" w:lineRule="auto"/>
              <w:jc w:val="left"/>
            </w:pPr>
            <w:r>
              <w:t>Feedback outputs</w:t>
            </w:r>
          </w:p>
        </w:tc>
        <w:tc>
          <w:tcPr>
            <w:tcW w:type="dxa" w:w="3600"/>
          </w:tcPr>
          <w:p>
            <w:pPr>
              <w:spacing w:after="0" w:before="0" w:line="240" w:lineRule="auto"/>
              <w:jc w:val="left"/>
            </w:pPr>
            <w:r>
              <w:t>Good-read, no-read, or status outputs</w:t>
            </w:r>
          </w:p>
        </w:tc>
        <w:tc>
          <w:tcPr>
            <w:tcW w:type="dxa" w:w="3600"/>
          </w:tcPr>
          <w:p>
            <w:pPr>
              <w:spacing w:after="0" w:before="0" w:line="240" w:lineRule="auto"/>
              <w:jc w:val="left"/>
            </w:pPr>
            <w:r>
              <w:t>Supports machine sequencing</w:t>
            </w:r>
          </w:p>
        </w:tc>
      </w:tr>
      <w:tr>
        <w:tc>
          <w:tcPr>
            <w:tcW w:type="dxa" w:w="3600"/>
          </w:tcPr>
          <w:p>
            <w:pPr>
              <w:spacing w:after="0" w:before="0" w:line="240" w:lineRule="auto"/>
              <w:jc w:val="left"/>
            </w:pPr>
            <w:r>
              <w:t>Diagnostics</w:t>
            </w:r>
          </w:p>
        </w:tc>
        <w:tc>
          <w:tcPr>
            <w:tcW w:type="dxa" w:w="3600"/>
          </w:tcPr>
          <w:p>
            <w:pPr>
              <w:spacing w:after="0" w:before="0" w:line="240" w:lineRule="auto"/>
              <w:jc w:val="left"/>
            </w:pPr>
            <w:r>
              <w:t>Read statistics, images, error codes, or quality data</w:t>
            </w:r>
          </w:p>
        </w:tc>
        <w:tc>
          <w:tcPr>
            <w:tcW w:type="dxa" w:w="3600"/>
          </w:tcPr>
          <w:p>
            <w:pPr>
              <w:spacing w:after="0" w:before="0" w:line="240" w:lineRule="auto"/>
              <w:jc w:val="left"/>
            </w:pPr>
            <w:r>
              <w:t>Supports troubleshooting</w:t>
            </w:r>
          </w:p>
        </w:tc>
      </w:tr>
      <w:tr>
        <w:tc>
          <w:tcPr>
            <w:tcW w:type="dxa" w:w="3600"/>
          </w:tcPr>
          <w:p>
            <w:pPr>
              <w:spacing w:after="0" w:before="0" w:line="240" w:lineRule="auto"/>
              <w:jc w:val="left"/>
            </w:pPr>
            <w:r>
              <w:t>Mounting tolerance</w:t>
            </w:r>
          </w:p>
        </w:tc>
        <w:tc>
          <w:tcPr>
            <w:tcW w:type="dxa" w:w="3600"/>
          </w:tcPr>
          <w:p>
            <w:pPr>
              <w:spacing w:after="0" w:before="0" w:line="240" w:lineRule="auto"/>
              <w:jc w:val="left"/>
            </w:pPr>
            <w:r>
              <w:t>Permitted position and angle variations</w:t>
            </w:r>
          </w:p>
        </w:tc>
        <w:tc>
          <w:tcPr>
            <w:tcW w:type="dxa" w:w="3600"/>
          </w:tcPr>
          <w:p>
            <w:pPr>
              <w:spacing w:after="0" w:before="0" w:line="240" w:lineRule="auto"/>
              <w:jc w:val="left"/>
            </w:pPr>
            <w:r>
              <w:t>Determines mechanical installation requirements</w:t>
            </w:r>
          </w:p>
        </w:tc>
      </w:tr>
    </w:tbl>
    <w:p/>
    <w:p>
      <w:r>
        <w:t>The manufacturer's specified reading range and code-size limits should be checked at the actual installation distance and expected code quality.</w:t>
      </w:r>
    </w:p>
    <w:p>
      <w:pPr>
        <w:pStyle w:val="Heading2"/>
      </w:pPr>
      <w:r>
        <w:t>7. Barcode quality and readability</w:t>
      </w:r>
    </w:p>
    <w:p>
      <w:r>
        <w:t>Successful decoding depends on more than the reader model.</w:t>
      </w:r>
    </w:p>
    <w:p>
      <w:r>
        <w:t>Important factors include:</w:t>
      </w:r>
    </w:p>
    <w:p>
      <w:pPr>
        <w:pStyle w:val="ListBullet"/>
      </w:pPr>
      <w:r>
        <w:t>Contrast between the code and its background.</w:t>
      </w:r>
    </w:p>
    <w:p>
      <w:pPr>
        <w:pStyle w:val="ListBullet"/>
      </w:pPr>
      <w:r>
        <w:t>Correct symbol dimensions and quiet zones.</w:t>
      </w:r>
    </w:p>
    <w:p>
      <w:pPr>
        <w:pStyle w:val="ListBullet"/>
      </w:pPr>
      <w:r>
        <w:t>Print or marking quality.</w:t>
      </w:r>
    </w:p>
    <w:p>
      <w:pPr>
        <w:pStyle w:val="ListBullet"/>
      </w:pPr>
      <w:r>
        <w:t>Surface curvature and material reflectivity.</w:t>
      </w:r>
    </w:p>
    <w:p>
      <w:pPr>
        <w:pStyle w:val="ListBullet"/>
      </w:pPr>
      <w:r>
        <w:t>Dirt, oil, coolant, scratches, or abrasion.</w:t>
      </w:r>
    </w:p>
    <w:p>
      <w:pPr>
        <w:pStyle w:val="ListBullet"/>
      </w:pPr>
      <w:r>
        <w:t>Lighting intensity and angle.</w:t>
      </w:r>
    </w:p>
    <w:p>
      <w:pPr>
        <w:pStyle w:val="ListBullet"/>
      </w:pPr>
      <w:r>
        <w:t>Reader distance and orientation.</w:t>
      </w:r>
    </w:p>
    <w:p>
      <w:pPr>
        <w:pStyle w:val="ListBullet"/>
      </w:pPr>
      <w:r>
        <w:t>Part movement and vibration.</w:t>
      </w:r>
    </w:p>
    <w:p>
      <w:pPr>
        <w:pStyle w:val="ListBullet"/>
      </w:pPr>
      <w:r>
        <w:t>Motion blur.</w:t>
      </w:r>
    </w:p>
    <w:p>
      <w:pPr>
        <w:pStyle w:val="ListBullet"/>
      </w:pPr>
      <w:r>
        <w:t>Glare from polished metal or glossy labels.</w:t>
      </w:r>
    </w:p>
    <w:p>
      <w:pPr>
        <w:pStyle w:val="ListBullet"/>
      </w:pPr>
      <w:r>
        <w:t>Code damage and distortion.</w:t>
      </w:r>
    </w:p>
    <w:p>
      <w:pPr>
        <w:pStyle w:val="Heading3"/>
      </w:pPr>
      <w:r>
        <w:t>7.1 Quiet zone</w:t>
      </w:r>
    </w:p>
    <w:p>
      <w:r>
        <w:t>A quiet zone is the required clear area surrounding a barcode. If nearby text, edges, graphics, or other marks intrude into this area, decoding may become unreliable.</w:t>
      </w:r>
    </w:p>
    <w:p>
      <w:pPr>
        <w:pStyle w:val="Heading3"/>
      </w:pPr>
      <w:r>
        <w:t>7.2 Module size</w:t>
      </w:r>
    </w:p>
    <w:p>
      <w:r>
        <w:t>A module is the smallest fundamental width or element used by a barcode symbology.</w:t>
      </w:r>
    </w:p>
    <w:p>
      <w:r>
        <w:t>Smaller modules require sufficient optical resolution at the installed reading distance. A code that is physically too small for the reader's optics may remain unreadable even with perfect lighting.</w:t>
      </w:r>
    </w:p>
    <w:p>
      <w:pPr>
        <w:pStyle w:val="Heading3"/>
      </w:pPr>
      <w:r>
        <w:t>7.3 Contrast and illumination</w:t>
      </w:r>
    </w:p>
    <w:p>
      <w:r>
        <w:t>The reader must distinguish the encoded pattern from the background. Some applications require integrated lighting, polarizing filters, diffuse illumination, or specialized optics to reduce glare.</w:t>
      </w:r>
    </w:p>
    <w:p>
      <w:r>
        <w:t>For direct part marking on metal, the marking method, surface finish, and lighting arrangement are particularly important.</w:t>
      </w:r>
    </w:p>
    <w:p>
      <w:pPr>
        <w:pStyle w:val="Heading3"/>
      </w:pPr>
      <w:r>
        <w:t>7.4 Direct part marking</w:t>
      </w:r>
    </w:p>
    <w:p>
      <w:r>
        <w:t>Direct part marking (DPM) places the code directly on a component rather than on a separate label.</w:t>
      </w:r>
    </w:p>
    <w:p>
      <w:r>
        <w:t>Methods include laser marking, dot peen marking, and other industrial marking processes.</w:t>
      </w:r>
    </w:p>
    <w:p>
      <w:r>
        <w:t>DPM codes can be difficult to read because of low contrast, surface texture, curved surfaces, or reflective material. Reader selection and lighting must be validated against the actual part and marking process.</w:t>
      </w:r>
    </w:p>
    <w:p>
      <w:pPr>
        <w:pStyle w:val="Heading2"/>
      </w:pPr>
      <w:r>
        <w:t>8. Scanner mounting and installation</w:t>
      </w:r>
    </w:p>
    <w:p>
      <w:r>
        <w:t>Mechanical installation strongly affects read reliability.</w:t>
      </w:r>
    </w:p>
    <w:p>
      <w:pPr>
        <w:pStyle w:val="Heading3"/>
      </w:pPr>
      <w:r>
        <w:t>8.1 Mounting considerations</w:t>
      </w:r>
    </w:p>
    <w:p>
      <w:pPr>
        <w:pStyle w:val="ListBullet"/>
      </w:pPr>
      <w:r>
        <w:t>Confirm the working distance specified for the intended code size.</w:t>
      </w:r>
    </w:p>
    <w:p>
      <w:pPr>
        <w:pStyle w:val="ListBullet"/>
      </w:pPr>
      <w:r>
        <w:t>Keep the code inside the reader's field of view.</w:t>
      </w:r>
    </w:p>
    <w:p>
      <w:pPr>
        <w:pStyle w:val="ListBullet"/>
      </w:pPr>
      <w:r>
        <w:t>Use a rigid mounting bracket.</w:t>
      </w:r>
    </w:p>
    <w:p>
      <w:pPr>
        <w:pStyle w:val="ListBullet"/>
      </w:pPr>
      <w:r>
        <w:t>Avoid vibration and unintended changes in orientation.</w:t>
      </w:r>
    </w:p>
    <w:p>
      <w:pPr>
        <w:pStyle w:val="ListBullet"/>
      </w:pPr>
      <w:r>
        <w:t>Consider part-position tolerances.</w:t>
      </w:r>
    </w:p>
    <w:p>
      <w:pPr>
        <w:pStyle w:val="ListBullet"/>
      </w:pPr>
      <w:r>
        <w:t>Prevent damage from coolant, oil, dust, welding spatter, or impact.</w:t>
      </w:r>
    </w:p>
    <w:p>
      <w:pPr>
        <w:pStyle w:val="ListBullet"/>
      </w:pPr>
      <w:r>
        <w:t>Protect cables from moving mechanisms.</w:t>
      </w:r>
    </w:p>
    <w:p>
      <w:pPr>
        <w:pStyle w:val="ListBullet"/>
      </w:pPr>
      <w:r>
        <w:t>Allow access for cleaning and maintenance.</w:t>
      </w:r>
    </w:p>
    <w:p>
      <w:pPr>
        <w:pStyle w:val="ListBullet"/>
      </w:pPr>
      <w:r>
        <w:t>Ensure that guards and machine structures do not obstruct the reading path.</w:t>
      </w:r>
    </w:p>
    <w:p>
      <w:pPr>
        <w:pStyle w:val="Heading3"/>
      </w:pPr>
      <w:r>
        <w:t>8.2 Angle and orientation</w:t>
      </w:r>
    </w:p>
    <w:p>
      <w:r>
        <w:t>Some readers can decode codes at multiple orientations, but this does not remove all optical constraints.</w:t>
      </w:r>
    </w:p>
    <w:p>
      <w:r>
        <w:t>For reflective surfaces, changing the reader angle can reduce specular glare. For high-speed moving parts, the orientation must also be compatible with exposure time and motion blur.</w:t>
      </w:r>
    </w:p>
    <w:p>
      <w:pPr>
        <w:pStyle w:val="Heading3"/>
      </w:pPr>
      <w:r>
        <w:t>8.3 Installation validation</w:t>
      </w:r>
    </w:p>
    <w:p>
      <w:r>
        <w:t>Test representative parts, including:</w:t>
      </w:r>
    </w:p>
    <w:p>
      <w:pPr>
        <w:pStyle w:val="ListBullet"/>
      </w:pPr>
      <w:r>
        <w:t>Best-quality codes.</w:t>
      </w:r>
    </w:p>
    <w:p>
      <w:pPr>
        <w:pStyle w:val="ListBullet"/>
      </w:pPr>
      <w:r>
        <w:t>Minimum-size codes.</w:t>
      </w:r>
    </w:p>
    <w:p>
      <w:pPr>
        <w:pStyle w:val="ListBullet"/>
      </w:pPr>
      <w:r>
        <w:t>Worst-case marking contrast.</w:t>
      </w:r>
    </w:p>
    <w:p>
      <w:pPr>
        <w:pStyle w:val="ListBullet"/>
      </w:pPr>
      <w:r>
        <w:t>Maximum and minimum part positions.</w:t>
      </w:r>
    </w:p>
    <w:p>
      <w:pPr>
        <w:pStyle w:val="ListBullet"/>
      </w:pPr>
      <w:r>
        <w:t>Expected surface contamination.</w:t>
      </w:r>
    </w:p>
    <w:p>
      <w:pPr>
        <w:pStyle w:val="ListBullet"/>
      </w:pPr>
      <w:r>
        <w:t>Actual conveyor speed.</w:t>
      </w:r>
    </w:p>
    <w:p>
      <w:pPr>
        <w:pStyle w:val="ListBullet"/>
      </w:pPr>
      <w:r>
        <w:t>Expected lighting conditions.</w:t>
      </w:r>
    </w:p>
    <w:p>
      <w:r>
        <w:t>A scanner that reads a stationary sample on a workbench may still fail in production.</w:t>
      </w:r>
    </w:p>
    <w:p>
      <w:pPr>
        <w:pStyle w:val="Heading2"/>
      </w:pPr>
      <w:r>
        <w:t>9. Triggering and read-cycle control</w:t>
      </w:r>
    </w:p>
    <w:p>
      <w:r>
        <w:t>A reader generally needs a defined trigger condition or continuous-reading configuration.</w:t>
      </w:r>
    </w:p>
    <w:p>
      <w:r>
        <w:t>Common trigger methods include:</w:t>
      </w:r>
    </w:p>
    <w:p>
      <w:pPr>
        <w:pStyle w:val="ListBullet"/>
      </w:pPr>
      <w:r>
        <w:t>PLC digital input.</w:t>
      </w:r>
    </w:p>
    <w:p>
      <w:pPr>
        <w:pStyle w:val="ListBullet"/>
      </w:pPr>
      <w:r>
        <w:t>Photoelectric sensor detecting part arrival.</w:t>
      </w:r>
    </w:p>
    <w:p>
      <w:pPr>
        <w:pStyle w:val="ListBullet"/>
      </w:pPr>
      <w:r>
        <w:t>PLC command over an industrial communication interface.</w:t>
      </w:r>
    </w:p>
    <w:p>
      <w:pPr>
        <w:pStyle w:val="ListBullet"/>
      </w:pPr>
      <w:r>
        <w:t>Encoder-based position or timing trigger.</w:t>
      </w:r>
    </w:p>
    <w:p>
      <w:pPr>
        <w:pStyle w:val="ListBullet"/>
      </w:pPr>
      <w:r>
        <w:t>Continuous presentation mode for suitable applications.</w:t>
      </w:r>
    </w:p>
    <w:p>
      <w:pPr>
        <w:pStyle w:val="Heading3"/>
      </w:pPr>
      <w:r>
        <w:t>9.1 Typical triggered sequence</w:t>
      </w:r>
    </w:p>
    <w:p>
      <w:pPr>
        <w:shd w:val="clear" w:color="auto" w:fill="F4F4F4"/>
        <w:spacing w:before="0" w:after="0" w:line="240" w:lineRule="auto"/>
        <w:ind w:left="216" w:right="216"/>
        <w:jc w:val="left"/>
      </w:pPr>
      <w:r>
        <w:rPr>
          <w:rFonts w:ascii="Consolas" w:hAnsi="Consolas"/>
          <w:color w:val="202020"/>
          <w:sz w:val="18"/>
        </w:rPr>
        <w:t>Part approaches scanning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Photoelectric sensor detects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scanning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trigger to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captures and decodes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returns decoded data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the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continues or fault handling begins</w:t>
      </w:r>
    </w:p>
    <w:p/>
    <w:p>
      <w:r>
        <w:t>The trigger should occur when the code is in a readable position. Triggering too early, too late, or repeatedly can cause missed reads or duplicate results.</w:t>
      </w:r>
    </w:p>
    <w:p>
      <w:pPr>
        <w:pStyle w:val="Heading3"/>
      </w:pPr>
      <w:r>
        <w:t>9.2 Trigger timing</w:t>
      </w:r>
    </w:p>
    <w:p>
      <w:r>
        <w:t>The complete identification cycle may include:</w:t>
      </w:r>
    </w:p>
    <w:p>
      <w:pPr>
        <w:pStyle w:val="ListBullet"/>
      </w:pPr>
      <w:r>
        <w:t>Sensor response.</w:t>
      </w:r>
    </w:p>
    <w:p>
      <w:pPr>
        <w:pStyle w:val="ListBullet"/>
      </w:pPr>
      <w:r>
        <w:t>PLC input and logic delay.</w:t>
      </w:r>
    </w:p>
    <w:p>
      <w:pPr>
        <w:pStyle w:val="ListBullet"/>
      </w:pPr>
      <w:r>
        <w:t>Trigger transmission.</w:t>
      </w:r>
    </w:p>
    <w:p>
      <w:pPr>
        <w:pStyle w:val="ListBullet"/>
      </w:pPr>
      <w:r>
        <w:t>Reader exposure and decoding.</w:t>
      </w:r>
    </w:p>
    <w:p>
      <w:pPr>
        <w:pStyle w:val="ListBullet"/>
      </w:pPr>
      <w:r>
        <w:t>Communication transmission.</w:t>
      </w:r>
    </w:p>
    <w:p>
      <w:pPr>
        <w:pStyle w:val="ListBullet"/>
      </w:pPr>
      <w:r>
        <w:t>PLC parsing and validation.</w:t>
      </w:r>
    </w:p>
    <w:p>
      <w:pPr>
        <w:pStyle w:val="ListBullet"/>
      </w:pPr>
      <w:r>
        <w:t>Confirmation or timeout handling.</w:t>
      </w:r>
    </w:p>
    <w:p>
      <w:r>
        <w:t>The available scan window must be long enough for the reader to complete its operation before the part leaves the reading zone.</w:t>
      </w:r>
    </w:p>
    <w:p>
      <w:r>
        <w:t xml:space="preserve">For a conveyor moving at speed </w:t>
      </w:r>
      <m:oMath>
        <m:r>
          <m:t>v</m:t>
        </m:r>
      </m:oMath>
      <w:r>
        <w:t xml:space="preserve">, the approximate time available across a usable scan zone of length </w:t>
      </w:r>
      <m:oMath>
        <m:r>
          <m:t>L</m:t>
        </m:r>
      </m:oMath>
      <w:r>
        <w:t xml:space="preserve"> is:</w:t>
      </w:r>
    </w:p>
    <w:p>
      <w:pPr>
        <w:spacing w:before="120" w:after="160"/>
        <w:jc w:val="center"/>
      </w:pPr>
      <m:oMathPara>
        <m:oMath>
          <m:r>
            <m:t>t=</m:t>
          </m:r>
          <m:f>
            <m:fPr>
              <m:type m:val="bar"/>
            </m:fPr>
            <m:num>
              <m:r>
                <m:t>L</m:t>
              </m:r>
            </m:num>
            <m:den>
              <m:r>
                <m:t>v</m:t>
              </m:r>
            </m:den>
          </m:f>
        </m:oMath>
      </m:oMathPara>
    </w:p>
    <w:p>
      <w:r>
        <w:t xml:space="preserve">For example, if the usable scan zone is </w:t>
      </w:r>
      <m:oMath>
        <m:r>
          <m:t>0.30</m:t>
        </m:r>
        <m:r>
          <m:rPr>
            <m:nor/>
          </m:rPr>
          <m:t> m</m:t>
        </m:r>
      </m:oMath>
      <w:r>
        <w:t xml:space="preserve"> and conveyor speed is </w:t>
      </w:r>
      <m:oMath>
        <m:r>
          <m:t>0.60</m:t>
        </m:r>
        <m:r>
          <m:rPr>
            <m:nor/>
          </m:rPr>
          <m:t> m/s</m:t>
        </m:r>
      </m:oMath>
      <w:r>
        <w:t>:</w:t>
      </w:r>
    </w:p>
    <w:p>
      <w:pPr>
        <w:spacing w:before="120" w:after="160"/>
        <w:jc w:val="center"/>
      </w:pPr>
      <m:oMathPara>
        <m:oMath>
          <m:r>
            <m:t>t=</m:t>
          </m:r>
          <m:f>
            <m:fPr>
              <m:type m:val="bar"/>
            </m:fPr>
            <m:num>
              <m:r>
                <m:t>0.30</m:t>
              </m:r>
            </m:num>
            <m:den>
              <m:r>
                <m:t>0.60</m:t>
              </m:r>
            </m:den>
          </m:f>
          <m:r>
            <m:t>=0.50</m:t>
          </m:r>
          <m:r>
            <m:rPr>
              <m:nor/>
            </m:rPr>
            <m:t> s</m:t>
          </m:r>
        </m:oMath>
      </m:oMathPara>
    </w:p>
    <w:p>
      <w:r>
        <w:t>The complete scan and validation process must fit within the available time, including suitable margin for variation.</w:t>
      </w:r>
    </w:p>
    <w:p>
      <w:pPr>
        <w:pStyle w:val="Heading2"/>
      </w:pPr>
      <w:r>
        <w:t>10. Scanner communication interfaces</w:t>
      </w:r>
    </w:p>
    <w:p>
      <w:pPr>
        <w:pStyle w:val="Heading3"/>
      </w:pPr>
      <w:r>
        <w:t>10.1 Digital I/O</w:t>
      </w:r>
    </w:p>
    <w:p>
      <w:r>
        <w:t>Digital signals are often used for trigger, good-read, no-read, and ready status.</w:t>
      </w:r>
    </w:p>
    <w:p>
      <w:r>
        <w:t>Example signals:</w:t>
      </w:r>
    </w:p>
    <w:p>
      <w:pPr>
        <w:pStyle w:val="ListBullet"/>
      </w:pPr>
      <w:r>
        <w:rPr>
          <w:rFonts w:ascii="Consolas" w:hAnsi="Consolas"/>
          <w:color w:val="333333"/>
          <w:sz w:val="19"/>
          <w:shd w:val="clear" w:color="auto" w:fill="EFEFEF"/>
        </w:rPr>
        <w:t>Scan_Trigger</w:t>
      </w:r>
    </w:p>
    <w:p>
      <w:pPr>
        <w:pStyle w:val="ListBullet"/>
      </w:pPr>
      <w:r>
        <w:rPr>
          <w:rFonts w:ascii="Consolas" w:hAnsi="Consolas"/>
          <w:color w:val="333333"/>
          <w:sz w:val="19"/>
          <w:shd w:val="clear" w:color="auto" w:fill="EFEFEF"/>
        </w:rPr>
        <w:t>Reader_Ready</w:t>
      </w:r>
    </w:p>
    <w:p>
      <w:pPr>
        <w:pStyle w:val="ListBullet"/>
      </w:pPr>
      <w:r>
        <w:rPr>
          <w:rFonts w:ascii="Consolas" w:hAnsi="Consolas"/>
          <w:color w:val="333333"/>
          <w:sz w:val="19"/>
          <w:shd w:val="clear" w:color="auto" w:fill="EFEFEF"/>
        </w:rPr>
        <w:t>Good_Read</w:t>
      </w:r>
    </w:p>
    <w:p>
      <w:pPr>
        <w:pStyle w:val="ListBullet"/>
      </w:pPr>
      <w:r>
        <w:rPr>
          <w:rFonts w:ascii="Consolas" w:hAnsi="Consolas"/>
          <w:color w:val="333333"/>
          <w:sz w:val="19"/>
          <w:shd w:val="clear" w:color="auto" w:fill="EFEFEF"/>
        </w:rPr>
        <w:t>No_Read</w:t>
      </w:r>
    </w:p>
    <w:p>
      <w:pPr>
        <w:pStyle w:val="ListBullet"/>
      </w:pPr>
      <w:r>
        <w:rPr>
          <w:rFonts w:ascii="Consolas" w:hAnsi="Consolas"/>
          <w:color w:val="333333"/>
          <w:sz w:val="19"/>
          <w:shd w:val="clear" w:color="auto" w:fill="EFEFEF"/>
        </w:rPr>
        <w:t>Reader_Fault</w:t>
      </w:r>
    </w:p>
    <w:p>
      <w:r>
        <w:t>Advantages include straightforward sequence integration and simple status monitoring.</w:t>
      </w:r>
    </w:p>
    <w:p>
      <w:r>
        <w:t>However, digital I/O alone normally does not transfer the complete decoded barcode string. A separate data interface is usually needed.</w:t>
      </w:r>
    </w:p>
    <w:p>
      <w:pPr>
        <w:pStyle w:val="Heading3"/>
      </w:pPr>
      <w:r>
        <w:t>10.2 Serial communication</w:t>
      </w:r>
    </w:p>
    <w:p>
      <w:r>
        <w:t>RS-232 and RS-485 are used by some readers.</w:t>
      </w:r>
    </w:p>
    <w:p>
      <w:r>
        <w:t>Typical configuration parameters include:</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Flow control.</w:t>
      </w:r>
    </w:p>
    <w:p>
      <w:pPr>
        <w:pStyle w:val="ListBullet"/>
      </w:pPr>
      <w:r>
        <w:t>Message framing and terminators.</w:t>
      </w:r>
    </w:p>
    <w:p>
      <w:r>
        <w:t>A mismatch in serial settings can produce unreadable data, missing characters, or no communication.</w:t>
      </w:r>
    </w:p>
    <w:p>
      <w:r>
        <w:t>RS-232 is typically point-to-point. RS-485 supports differential signaling and may support multi-drop arrangements when the equipment and protocol are designed for them.</w:t>
      </w:r>
    </w:p>
    <w:p>
      <w:pPr>
        <w:pStyle w:val="Heading3"/>
      </w:pPr>
      <w:r>
        <w:t>10.3 Ethernet communication</w:t>
      </w:r>
    </w:p>
    <w:p>
      <w:r>
        <w:t>Industrial readers may support TCP, UDP, EtherNet/IP, PROFINET, Modbus TCP, or vendor-specific Ethernet interfaces.</w:t>
      </w:r>
    </w:p>
    <w:p>
      <w:r>
        <w:t>These methods are not interchangeable. A reader's supported protocol and the PLC's supported communication method must match.</w:t>
      </w:r>
    </w:p>
    <w:p>
      <w:r>
        <w:t>For TCP or other stream-based interfaces, message boundaries must be handled correctly. A single application message may be received in multiple packets, or multiple messages may be received together.</w:t>
      </w:r>
    </w:p>
    <w:p>
      <w:pPr>
        <w:pStyle w:val="Heading3"/>
      </w:pPr>
      <w:r>
        <w:t>10.4 Industrial protocol integration</w:t>
      </w:r>
    </w:p>
    <w:p>
      <w:r>
        <w:t>Some readers expose structured data through an industrial protocol, allowing the PLC to access decoded strings, status flags, and diagnostics.</w:t>
      </w:r>
    </w:p>
    <w:p>
      <w:r>
        <w:t>Check:</w:t>
      </w:r>
    </w:p>
    <w:p>
      <w:pPr>
        <w:pStyle w:val="ListBullet"/>
      </w:pPr>
      <w:r>
        <w:t>Required connection or session setup.</w:t>
      </w:r>
    </w:p>
    <w:p>
      <w:pPr>
        <w:pStyle w:val="ListBullet"/>
      </w:pPr>
      <w:r>
        <w:t>Input and output data sizes.</w:t>
      </w:r>
    </w:p>
    <w:p>
      <w:pPr>
        <w:pStyle w:val="ListBullet"/>
      </w:pPr>
      <w:r>
        <w:t>String representation.</w:t>
      </w:r>
    </w:p>
    <w:p>
      <w:pPr>
        <w:pStyle w:val="ListBullet"/>
      </w:pPr>
      <w:r>
        <w:t>Byte order and character encoding.</w:t>
      </w:r>
    </w:p>
    <w:p>
      <w:pPr>
        <w:pStyle w:val="ListBullet"/>
      </w:pPr>
      <w:r>
        <w:t>Trigger and result-handshake behavior.</w:t>
      </w:r>
    </w:p>
    <w:p>
      <w:pPr>
        <w:pStyle w:val="ListBullet"/>
      </w:pPr>
      <w:r>
        <w:t>Connection-loss diagnostics.</w:t>
      </w:r>
    </w:p>
    <w:p>
      <w:pPr>
        <w:pStyle w:val="ListBullet"/>
      </w:pPr>
      <w:r>
        <w:t>Firmware and configuration compatibility.</w:t>
      </w:r>
    </w:p>
    <w:p>
      <w:pPr>
        <w:pStyle w:val="Heading2"/>
      </w:pPr>
      <w:r>
        <w:t>11. Data formats and string handling</w:t>
      </w:r>
    </w:p>
    <w:p>
      <w:r>
        <w:t>The decoded barcode is often a character string. The receiving system must interpret it according to the defined data contract.</w:t>
      </w:r>
    </w:p>
    <w:p>
      <w:r>
        <w:t>Example decoded value:</w:t>
      </w:r>
    </w:p>
    <w:p>
      <w:pPr>
        <w:shd w:val="clear" w:color="auto" w:fill="F4F4F4"/>
        <w:spacing w:before="0" w:after="0" w:line="240" w:lineRule="auto"/>
        <w:ind w:left="216" w:right="216"/>
        <w:jc w:val="left"/>
      </w:pPr>
      <w:r>
        <w:rPr>
          <w:rFonts w:ascii="Consolas" w:hAnsi="Consolas"/>
          <w:color w:val="202020"/>
          <w:sz w:val="18"/>
        </w:rPr>
        <w:t>CHASSIS-26-00158473</w:t>
      </w:r>
    </w:p>
    <w:p/>
    <w:p>
      <w:r>
        <w:t>The data may include:</w:t>
      </w:r>
    </w:p>
    <w:p>
      <w:pPr>
        <w:pStyle w:val="ListBullet"/>
      </w:pPr>
      <w:r>
        <w:t>Product family.</w:t>
      </w:r>
    </w:p>
    <w:p>
      <w:pPr>
        <w:pStyle w:val="ListBullet"/>
      </w:pPr>
      <w:r>
        <w:t>Part number.</w:t>
      </w:r>
    </w:p>
    <w:p>
      <w:pPr>
        <w:pStyle w:val="ListBullet"/>
      </w:pPr>
      <w:r>
        <w:t>Serial number.</w:t>
      </w:r>
    </w:p>
    <w:p>
      <w:pPr>
        <w:pStyle w:val="ListBullet"/>
      </w:pPr>
      <w:r>
        <w:t>Manufacturing date or lot.</w:t>
      </w:r>
    </w:p>
    <w:p>
      <w:pPr>
        <w:pStyle w:val="ListBullet"/>
      </w:pPr>
      <w:r>
        <w:t>Supplier code.</w:t>
      </w:r>
    </w:p>
    <w:p>
      <w:pPr>
        <w:pStyle w:val="ListBullet"/>
      </w:pPr>
      <w:r>
        <w:t>Check digit.</w:t>
      </w:r>
    </w:p>
    <w:p>
      <w:pPr>
        <w:pStyle w:val="ListBullet"/>
      </w:pPr>
      <w:r>
        <w:t>Customer-specific identifier.</w:t>
      </w:r>
    </w:p>
    <w:p>
      <w:r>
        <w:t>Not every barcode contains every field. In many systems, the barcode contains only a unique identifier, while a database stores the related product information.</w:t>
      </w:r>
    </w:p>
    <w:p>
      <w:pPr>
        <w:pStyle w:val="Heading3"/>
      </w:pPr>
      <w:r>
        <w:t>11.1 Delimiters and terminators</w:t>
      </w:r>
    </w:p>
    <w:p>
      <w:r>
        <w:t>Serial readers may append characters such as carriage return (CR), line feed (LF), or both. Some network protocols use length fields or explicit framing.</w:t>
      </w:r>
    </w:p>
    <w:p>
      <w:r>
        <w:t>The receiving application must distinguish message termination from characters that belong to the actual identifier.</w:t>
      </w:r>
    </w:p>
    <w:p>
      <w:r>
        <w:t>Do not remove characters blindly. A valid identifier could contain punctuation or leading zeros that are meaningful to the production system.</w:t>
      </w:r>
    </w:p>
    <w:p>
      <w:pPr>
        <w:pStyle w:val="Heading3"/>
      </w:pPr>
      <w:r>
        <w:t>11.2 Leading zeros</w:t>
      </w:r>
    </w:p>
    <w:p>
      <w:r>
        <w:t xml:space="preserve">A value such as </w:t>
      </w:r>
      <w:r>
        <w:rPr>
          <w:rFonts w:ascii="Consolas" w:hAnsi="Consolas"/>
          <w:color w:val="333333"/>
          <w:sz w:val="19"/>
          <w:shd w:val="clear" w:color="auto" w:fill="EFEFEF"/>
        </w:rPr>
        <w:t>0000123456</w:t>
      </w:r>
      <w:r>
        <w:t xml:space="preserve"> should generally be handled as a string if it is an identifier.</w:t>
      </w:r>
    </w:p>
    <w:p>
      <w:r>
        <w:t xml:space="preserve">Converting it to an integer would produce </w:t>
      </w:r>
      <w:r>
        <w:rPr>
          <w:rFonts w:ascii="Consolas" w:hAnsi="Consolas"/>
          <w:color w:val="333333"/>
          <w:sz w:val="19"/>
          <w:shd w:val="clear" w:color="auto" w:fill="EFEFEF"/>
        </w:rPr>
        <w:t>123456</w:t>
      </w:r>
      <w:r>
        <w:t>, losing part of the identifier.</w:t>
      </w:r>
    </w:p>
    <w:p>
      <w:r>
        <w:t>Barcode data is not automatically a number merely because it contains digits.</w:t>
      </w:r>
    </w:p>
    <w:p>
      <w:pPr>
        <w:pStyle w:val="Heading3"/>
      </w:pPr>
      <w:r>
        <w:t>11.3 Character encoding</w:t>
      </w:r>
    </w:p>
    <w:p>
      <w:r>
        <w:t>Most industrial identifiers use a limited character set, but the actual permitted characters should be defined.</w:t>
      </w:r>
    </w:p>
    <w:p>
      <w:r>
        <w:t>Check how the reader, PLC, and host application represent characters, particularly when using Unicode, non-ASCII characters, or packed-string formats.</w:t>
      </w:r>
    </w:p>
    <w:p>
      <w:pPr>
        <w:pStyle w:val="Heading3"/>
      </w:pPr>
      <w:r>
        <w:t>11.4 Data length</w:t>
      </w:r>
    </w:p>
    <w:p>
      <w:r>
        <w:t>The maximum supported length must be consistent across:</w:t>
      </w:r>
    </w:p>
    <w:p>
      <w:pPr>
        <w:pStyle w:val="ListBullet"/>
      </w:pPr>
      <w:r>
        <w:t>Barcode symbology.</w:t>
      </w:r>
    </w:p>
    <w:p>
      <w:pPr>
        <w:pStyle w:val="ListBullet"/>
      </w:pPr>
      <w:r>
        <w:t>Reader configuration.</w:t>
      </w:r>
    </w:p>
    <w:p>
      <w:pPr>
        <w:pStyle w:val="ListBullet"/>
      </w:pPr>
      <w:r>
        <w:t>Communication payload.</w:t>
      </w:r>
    </w:p>
    <w:p>
      <w:pPr>
        <w:pStyle w:val="ListBullet"/>
      </w:pPr>
      <w:r>
        <w:t>PLC string capacity.</w:t>
      </w:r>
    </w:p>
    <w:p>
      <w:pPr>
        <w:pStyle w:val="ListBullet"/>
      </w:pPr>
      <w:r>
        <w:t>HMI display and data blocks.</w:t>
      </w:r>
    </w:p>
    <w:p>
      <w:pPr>
        <w:pStyle w:val="ListBullet"/>
      </w:pPr>
      <w:r>
        <w:t>Database field length.</w:t>
      </w:r>
    </w:p>
    <w:p>
      <w:pPr>
        <w:pStyle w:val="ListBullet"/>
      </w:pPr>
      <w:r>
        <w:t>MES interface.</w:t>
      </w:r>
    </w:p>
    <w:p>
      <w:r>
        <w:t>Truncation can cause different products to appear identical if the distinguishing characters are removed.</w:t>
      </w:r>
    </w:p>
    <w:p>
      <w:pPr>
        <w:pStyle w:val="Heading2"/>
      </w:pPr>
      <w:r>
        <w:t>12. PLC integration and control logic</w:t>
      </w:r>
    </w:p>
    <w:p>
      <w:r>
        <w:t>The PLC should coordinate scanning with the machine sequence and validate the received data before allowing dependent operations.</w:t>
      </w:r>
    </w:p>
    <w:p>
      <w:pPr>
        <w:pStyle w:val="Heading3"/>
      </w:pPr>
      <w:r>
        <w:t>12.1 Typical PLC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Scan_Request</w:t>
            </w:r>
          </w:p>
        </w:tc>
        <w:tc>
          <w:tcPr>
            <w:tcW w:type="dxa" w:w="5400"/>
          </w:tcPr>
          <w:p>
            <w:pPr>
              <w:spacing w:after="0" w:before="0" w:line="240" w:lineRule="auto"/>
              <w:jc w:val="left"/>
            </w:pPr>
            <w:r>
              <w:t>Requests a new scan</w:t>
            </w:r>
          </w:p>
        </w:tc>
      </w:tr>
      <w:tr>
        <w:tc>
          <w:tcPr>
            <w:tcW w:type="dxa" w:w="5400"/>
          </w:tcPr>
          <w:p>
            <w:pPr>
              <w:spacing w:after="0" w:before="0" w:line="240" w:lineRule="auto"/>
              <w:jc w:val="left"/>
            </w:pPr>
            <w:r>
              <w:rPr>
                <w:rFonts w:ascii="Consolas" w:hAnsi="Consolas"/>
                <w:color w:val="333333"/>
                <w:sz w:val="19"/>
                <w:shd w:val="clear" w:color="auto" w:fill="EFEFEF"/>
              </w:rPr>
              <w:t>Reader_Ready</w:t>
            </w:r>
          </w:p>
        </w:tc>
        <w:tc>
          <w:tcPr>
            <w:tcW w:type="dxa" w:w="5400"/>
          </w:tcPr>
          <w:p>
            <w:pPr>
              <w:spacing w:after="0" w:before="0" w:line="240" w:lineRule="auto"/>
              <w:jc w:val="left"/>
            </w:pPr>
            <w:r>
              <w:t>Indicates reader readiness</w:t>
            </w:r>
          </w:p>
        </w:tc>
      </w:tr>
      <w:tr>
        <w:tc>
          <w:tcPr>
            <w:tcW w:type="dxa" w:w="5400"/>
          </w:tcPr>
          <w:p>
            <w:pPr>
              <w:spacing w:after="0" w:before="0" w:line="240" w:lineRule="auto"/>
              <w:jc w:val="left"/>
            </w:pPr>
            <w:r>
              <w:rPr>
                <w:rFonts w:ascii="Consolas" w:hAnsi="Consolas"/>
                <w:color w:val="333333"/>
                <w:sz w:val="19"/>
                <w:shd w:val="clear" w:color="auto" w:fill="EFEFEF"/>
              </w:rPr>
              <w:t>Scan_Busy</w:t>
            </w:r>
          </w:p>
        </w:tc>
        <w:tc>
          <w:tcPr>
            <w:tcW w:type="dxa" w:w="5400"/>
          </w:tcPr>
          <w:p>
            <w:pPr>
              <w:spacing w:after="0" w:before="0" w:line="240" w:lineRule="auto"/>
              <w:jc w:val="left"/>
            </w:pPr>
            <w:r>
              <w:t>Indicates a scan is in progress</w:t>
            </w:r>
          </w:p>
        </w:tc>
      </w:tr>
      <w:tr>
        <w:tc>
          <w:tcPr>
            <w:tcW w:type="dxa" w:w="5400"/>
          </w:tcPr>
          <w:p>
            <w:pPr>
              <w:spacing w:after="0" w:before="0" w:line="240" w:lineRule="auto"/>
              <w:jc w:val="left"/>
            </w:pPr>
            <w:r>
              <w:rPr>
                <w:rFonts w:ascii="Consolas" w:hAnsi="Consolas"/>
                <w:color w:val="333333"/>
                <w:sz w:val="19"/>
                <w:shd w:val="clear" w:color="auto" w:fill="EFEFEF"/>
              </w:rPr>
              <w:t>Good_Read</w:t>
            </w:r>
          </w:p>
        </w:tc>
        <w:tc>
          <w:tcPr>
            <w:tcW w:type="dxa" w:w="5400"/>
          </w:tcPr>
          <w:p>
            <w:pPr>
              <w:spacing w:after="0" w:before="0" w:line="240" w:lineRule="auto"/>
              <w:jc w:val="left"/>
            </w:pPr>
            <w:r>
              <w:t>Indicates a successful decode</w:t>
            </w:r>
          </w:p>
        </w:tc>
      </w:tr>
      <w:tr>
        <w:tc>
          <w:tcPr>
            <w:tcW w:type="dxa" w:w="5400"/>
          </w:tcPr>
          <w:p>
            <w:pPr>
              <w:spacing w:after="0" w:before="0" w:line="240" w:lineRule="auto"/>
              <w:jc w:val="left"/>
            </w:pPr>
            <w:r>
              <w:rPr>
                <w:rFonts w:ascii="Consolas" w:hAnsi="Consolas"/>
                <w:color w:val="333333"/>
                <w:sz w:val="19"/>
                <w:shd w:val="clear" w:color="auto" w:fill="EFEFEF"/>
              </w:rPr>
              <w:t>No_Read</w:t>
            </w:r>
          </w:p>
        </w:tc>
        <w:tc>
          <w:tcPr>
            <w:tcW w:type="dxa" w:w="5400"/>
          </w:tcPr>
          <w:p>
            <w:pPr>
              <w:spacing w:after="0" w:before="0" w:line="240" w:lineRule="auto"/>
              <w:jc w:val="left"/>
            </w:pPr>
            <w:r>
              <w:t>Indicates the scan failed</w:t>
            </w:r>
          </w:p>
        </w:tc>
      </w:tr>
      <w:tr>
        <w:tc>
          <w:tcPr>
            <w:tcW w:type="dxa" w:w="5400"/>
          </w:tcPr>
          <w:p>
            <w:pPr>
              <w:spacing w:after="0" w:before="0" w:line="240" w:lineRule="auto"/>
              <w:jc w:val="left"/>
            </w:pPr>
            <w:r>
              <w:rPr>
                <w:rFonts w:ascii="Consolas" w:hAnsi="Consolas"/>
                <w:color w:val="333333"/>
                <w:sz w:val="19"/>
                <w:shd w:val="clear" w:color="auto" w:fill="EFEFEF"/>
              </w:rPr>
              <w:t>Barcode_Data</w:t>
            </w:r>
          </w:p>
        </w:tc>
        <w:tc>
          <w:tcPr>
            <w:tcW w:type="dxa" w:w="5400"/>
          </w:tcPr>
          <w:p>
            <w:pPr>
              <w:spacing w:after="0" w:before="0" w:line="240" w:lineRule="auto"/>
              <w:jc w:val="left"/>
            </w:pPr>
            <w:r>
              <w:t>Holds the decoded identifier</w:t>
            </w:r>
          </w:p>
        </w:tc>
      </w:tr>
      <w:tr>
        <w:tc>
          <w:tcPr>
            <w:tcW w:type="dxa" w:w="5400"/>
          </w:tcPr>
          <w:p>
            <w:pPr>
              <w:spacing w:after="0" w:before="0" w:line="240" w:lineRule="auto"/>
              <w:jc w:val="left"/>
            </w:pPr>
            <w:r>
              <w:rPr>
                <w:rFonts w:ascii="Consolas" w:hAnsi="Consolas"/>
                <w:color w:val="333333"/>
                <w:sz w:val="19"/>
                <w:shd w:val="clear" w:color="auto" w:fill="EFEFEF"/>
              </w:rPr>
              <w:t>Barcode_Valid</w:t>
            </w:r>
          </w:p>
        </w:tc>
        <w:tc>
          <w:tcPr>
            <w:tcW w:type="dxa" w:w="5400"/>
          </w:tcPr>
          <w:p>
            <w:pPr>
              <w:spacing w:after="0" w:before="0" w:line="240" w:lineRule="auto"/>
              <w:jc w:val="left"/>
            </w:pPr>
            <w:r>
              <w:t>Indicates the data passed validation</w:t>
            </w:r>
          </w:p>
        </w:tc>
      </w:tr>
      <w:tr>
        <w:tc>
          <w:tcPr>
            <w:tcW w:type="dxa" w:w="5400"/>
          </w:tcPr>
          <w:p>
            <w:pPr>
              <w:spacing w:after="0" w:before="0" w:line="240" w:lineRule="auto"/>
              <w:jc w:val="left"/>
            </w:pPr>
            <w:r>
              <w:rPr>
                <w:rFonts w:ascii="Consolas" w:hAnsi="Consolas"/>
                <w:color w:val="333333"/>
                <w:sz w:val="19"/>
                <w:shd w:val="clear" w:color="auto" w:fill="EFEFEF"/>
              </w:rPr>
              <w:t>Barcode_Accepted</w:t>
            </w:r>
          </w:p>
        </w:tc>
        <w:tc>
          <w:tcPr>
            <w:tcW w:type="dxa" w:w="5400"/>
          </w:tcPr>
          <w:p>
            <w:pPr>
              <w:spacing w:after="0" w:before="0" w:line="240" w:lineRule="auto"/>
              <w:jc w:val="left"/>
            </w:pPr>
            <w:r>
              <w:t>Indicates acceptance by the relevant logic</w:t>
            </w:r>
          </w:p>
        </w:tc>
      </w:tr>
      <w:tr>
        <w:tc>
          <w:tcPr>
            <w:tcW w:type="dxa" w:w="5400"/>
          </w:tcPr>
          <w:p>
            <w:pPr>
              <w:spacing w:after="0" w:before="0" w:line="240" w:lineRule="auto"/>
              <w:jc w:val="left"/>
            </w:pPr>
            <w:r>
              <w:rPr>
                <w:rFonts w:ascii="Consolas" w:hAnsi="Consolas"/>
                <w:color w:val="333333"/>
                <w:sz w:val="19"/>
                <w:shd w:val="clear" w:color="auto" w:fill="EFEFEF"/>
              </w:rPr>
              <w:t>Scan_Timeout</w:t>
            </w:r>
          </w:p>
        </w:tc>
        <w:tc>
          <w:tcPr>
            <w:tcW w:type="dxa" w:w="5400"/>
          </w:tcPr>
          <w:p>
            <w:pPr>
              <w:spacing w:after="0" w:before="0" w:line="240" w:lineRule="auto"/>
              <w:jc w:val="left"/>
            </w:pPr>
            <w:r>
              <w:t>Indicates the response exceeded the permitted time</w:t>
            </w:r>
          </w:p>
        </w:tc>
      </w:tr>
      <w:tr>
        <w:tc>
          <w:tcPr>
            <w:tcW w:type="dxa" w:w="5400"/>
          </w:tcPr>
          <w:p>
            <w:pPr>
              <w:spacing w:after="0" w:before="0" w:line="240" w:lineRule="auto"/>
              <w:jc w:val="left"/>
            </w:pPr>
            <w:r>
              <w:rPr>
                <w:rFonts w:ascii="Consolas" w:hAnsi="Consolas"/>
                <w:color w:val="333333"/>
                <w:sz w:val="19"/>
                <w:shd w:val="clear" w:color="auto" w:fill="EFEFEF"/>
              </w:rPr>
              <w:t>Reader_Comm_Fault</w:t>
            </w:r>
          </w:p>
        </w:tc>
        <w:tc>
          <w:tcPr>
            <w:tcW w:type="dxa" w:w="5400"/>
          </w:tcPr>
          <w:p>
            <w:pPr>
              <w:spacing w:after="0" w:before="0" w:line="240" w:lineRule="auto"/>
              <w:jc w:val="left"/>
            </w:pPr>
            <w:r>
              <w:t>Indicates a communication problem</w:t>
            </w:r>
          </w:p>
        </w:tc>
      </w:tr>
      <w:tr>
        <w:tc>
          <w:tcPr>
            <w:tcW w:type="dxa" w:w="5400"/>
          </w:tcPr>
          <w:p>
            <w:pPr>
              <w:spacing w:after="0" w:before="0" w:line="240" w:lineRule="auto"/>
              <w:jc w:val="left"/>
            </w:pPr>
            <w:r>
              <w:rPr>
                <w:rFonts w:ascii="Consolas" w:hAnsi="Consolas"/>
                <w:color w:val="333333"/>
                <w:sz w:val="19"/>
                <w:shd w:val="clear" w:color="auto" w:fill="EFEFEF"/>
              </w:rPr>
              <w:t>Part_ID_Expected</w:t>
            </w:r>
          </w:p>
        </w:tc>
        <w:tc>
          <w:tcPr>
            <w:tcW w:type="dxa" w:w="5400"/>
          </w:tcPr>
          <w:p>
            <w:pPr>
              <w:spacing w:after="0" w:before="0" w:line="240" w:lineRule="auto"/>
              <w:jc w:val="left"/>
            </w:pPr>
            <w:r>
              <w:t>Expected identifier, where applicable</w:t>
            </w:r>
          </w:p>
        </w:tc>
      </w:tr>
      <w:tr>
        <w:tc>
          <w:tcPr>
            <w:tcW w:type="dxa" w:w="5400"/>
          </w:tcPr>
          <w:p>
            <w:pPr>
              <w:spacing w:after="0" w:before="0" w:line="240" w:lineRule="auto"/>
              <w:jc w:val="left"/>
            </w:pPr>
            <w:r>
              <w:rPr>
                <w:rFonts w:ascii="Consolas" w:hAnsi="Consolas"/>
                <w:color w:val="333333"/>
                <w:sz w:val="19"/>
                <w:shd w:val="clear" w:color="auto" w:fill="EFEFEF"/>
              </w:rPr>
              <w:t>Part_ID_Mismatch</w:t>
            </w:r>
          </w:p>
        </w:tc>
        <w:tc>
          <w:tcPr>
            <w:tcW w:type="dxa" w:w="5400"/>
          </w:tcPr>
          <w:p>
            <w:pPr>
              <w:spacing w:after="0" w:before="0" w:line="240" w:lineRule="auto"/>
              <w:jc w:val="left"/>
            </w:pPr>
            <w:r>
              <w:t>Indicates an identity mismatch</w:t>
            </w:r>
          </w:p>
        </w:tc>
      </w:tr>
    </w:tbl>
    <w:p/>
    <w:p>
      <w:r>
        <w:t>These are illustrative names. Actual data types and handshake signals depend on the reader and PLC platform.</w:t>
      </w:r>
    </w:p>
    <w:p>
      <w:pPr>
        <w:pStyle w:val="Heading3"/>
      </w:pPr>
      <w:r>
        <w:t>12.2 Handshake sequence</w:t>
      </w:r>
    </w:p>
    <w:p>
      <w:r>
        <w:t>A robust sequence defines how a new request starts, how the reader indicates completion, and when the result can be consumed.</w:t>
      </w:r>
    </w:p>
    <w:p>
      <w:pPr>
        <w:shd w:val="clear" w:color="auto" w:fill="F4F4F4"/>
        <w:spacing w:before="0" w:after="0" w:line="240" w:lineRule="auto"/>
        <w:ind w:left="216" w:right="216"/>
        <w:jc w:val="left"/>
      </w:pPr>
      <w:r>
        <w:rPr>
          <w:rFonts w:ascii="Consolas" w:hAnsi="Consolas"/>
          <w:color w:val="202020"/>
          <w:sz w:val="18"/>
        </w:rPr>
        <w:t>PLC checks Reader_Ready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Scan_Request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starts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reports Busy or equivalent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returns data and completion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captures the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the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acknowledges or clears the transaction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is ready for the next scan</w:t>
      </w:r>
    </w:p>
    <w:p/>
    <w:p>
      <w:r>
        <w:t>The actual handshake must follow the reader's interface documentation. Some readers use a trigger edge; others require a trigger held until acknowledgement. The PLC logic must match the specific device.</w:t>
      </w:r>
    </w:p>
    <w:p>
      <w:pPr>
        <w:pStyle w:val="Heading3"/>
      </w:pPr>
      <w:r>
        <w:t>12.3 Avoiding stale and duplicate data</w:t>
      </w:r>
    </w:p>
    <w:p>
      <w:r>
        <w:t>A key risk is accidentally using a previous barcode when the latest scan fails.</w:t>
      </w:r>
    </w:p>
    <w:p>
      <w:r>
        <w:t>A robust design should:</w:t>
      </w:r>
    </w:p>
    <w:p>
      <w:pPr>
        <w:pStyle w:val="ListBullet"/>
      </w:pPr>
      <w:r>
        <w:t>Associate each scan with a new transaction or sequence state.</w:t>
      </w:r>
    </w:p>
    <w:p>
      <w:pPr>
        <w:pStyle w:val="ListBullet"/>
      </w:pPr>
      <w:r>
        <w:t>Clear or invalidate the previous result at the appropriate point.</w:t>
      </w:r>
    </w:p>
    <w:p>
      <w:pPr>
        <w:pStyle w:val="ListBullet"/>
      </w:pPr>
      <w:r>
        <w:t>Confirm that the returned data belongs to the current request.</w:t>
      </w:r>
    </w:p>
    <w:p>
      <w:pPr>
        <w:pStyle w:val="ListBullet"/>
      </w:pPr>
      <w:r>
        <w:t>Reject late responses when they no longer belong to the active part.</w:t>
      </w:r>
    </w:p>
    <w:p>
      <w:pPr>
        <w:pStyle w:val="ListBullet"/>
      </w:pPr>
      <w:r>
        <w:t>Prevent a single result from triggering multiple part-processing actions.</w:t>
      </w:r>
    </w:p>
    <w:p>
      <w:pPr>
        <w:pStyle w:val="ListBullet"/>
      </w:pPr>
      <w:r>
        <w:t>Record no-read and timeout conditions distinctly.</w:t>
      </w:r>
    </w:p>
    <w:p>
      <w:pPr>
        <w:pStyle w:val="ListBullet"/>
      </w:pPr>
      <w:r>
        <w:t>Ensure that a repeated trigger cannot accidentally associate one product's code with another product.</w:t>
      </w:r>
    </w:p>
    <w:p>
      <w:r>
        <w:t>Clearing a displayed string alone is not sufficient if the control logic still considers an old identifier valid. Validity must be managed explicitly.</w:t>
      </w:r>
    </w:p>
    <w:p>
      <w:pPr>
        <w:pStyle w:val="Heading2"/>
      </w:pPr>
      <w:r>
        <w:t>13. Validation of scanned identifiers</w:t>
      </w:r>
    </w:p>
    <w:p>
      <w:r>
        <w:t>Successful decoding does not mean the scanned identifier is acceptable.</w:t>
      </w:r>
    </w:p>
    <w:p>
      <w:r>
        <w:t>Validation can occur at several levels.</w:t>
      </w:r>
    </w:p>
    <w:p>
      <w:pPr>
        <w:pStyle w:val="Heading3"/>
      </w:pPr>
      <w:r>
        <w:t>13.1 Format validation</w:t>
      </w:r>
    </w:p>
    <w:p>
      <w:r>
        <w:t>Check whether the string follows the expected format.</w:t>
      </w:r>
    </w:p>
    <w:p>
      <w:r>
        <w:t>For example:</w:t>
      </w:r>
    </w:p>
    <w:p>
      <w:pPr>
        <w:pStyle w:val="ListBullet"/>
      </w:pPr>
      <w:r>
        <w:t>Correct length.</w:t>
      </w:r>
    </w:p>
    <w:p>
      <w:pPr>
        <w:pStyle w:val="ListBullet"/>
      </w:pPr>
      <w:r>
        <w:t>Permitted characters.</w:t>
      </w:r>
    </w:p>
    <w:p>
      <w:pPr>
        <w:pStyle w:val="ListBullet"/>
      </w:pPr>
      <w:r>
        <w:t>Expected prefix.</w:t>
      </w:r>
    </w:p>
    <w:p>
      <w:pPr>
        <w:pStyle w:val="ListBullet"/>
      </w:pPr>
      <w:r>
        <w:t>Required separators.</w:t>
      </w:r>
    </w:p>
    <w:p>
      <w:pPr>
        <w:pStyle w:val="ListBullet"/>
      </w:pPr>
      <w:r>
        <w:t>Valid date or lot format, if present.</w:t>
      </w:r>
    </w:p>
    <w:p>
      <w:pPr>
        <w:pStyle w:val="ListBullet"/>
      </w:pPr>
      <w:r>
        <w:t>Valid check digit, if defined by the identifier scheme.</w:t>
      </w:r>
    </w:p>
    <w:p>
      <w:pPr>
        <w:pStyle w:val="Heading3"/>
      </w:pPr>
      <w:r>
        <w:t>13.2 Product validation</w:t>
      </w:r>
    </w:p>
    <w:p>
      <w:r>
        <w:t>Determine whether the identifier belongs to an allowed product or component.</w:t>
      </w:r>
    </w:p>
    <w:p>
      <w:r>
        <w:t>Examples:</w:t>
      </w:r>
    </w:p>
    <w:p>
      <w:pPr>
        <w:pStyle w:val="ListBullet"/>
      </w:pPr>
      <w:r>
        <w:t>Correct part number for the current station.</w:t>
      </w:r>
    </w:p>
    <w:p>
      <w:pPr>
        <w:pStyle w:val="ListBullet"/>
      </w:pPr>
      <w:r>
        <w:t>Correct product family for the selected recipe.</w:t>
      </w:r>
    </w:p>
    <w:p>
      <w:pPr>
        <w:pStyle w:val="ListBullet"/>
      </w:pPr>
      <w:r>
        <w:t>Valid supplier or lot.</w:t>
      </w:r>
    </w:p>
    <w:p>
      <w:pPr>
        <w:pStyle w:val="ListBullet"/>
      </w:pPr>
      <w:r>
        <w:t>Correct revision or variant.</w:t>
      </w:r>
    </w:p>
    <w:p>
      <w:pPr>
        <w:pStyle w:val="Heading3"/>
      </w:pPr>
      <w:r>
        <w:t>13.3 Process validation</w:t>
      </w:r>
    </w:p>
    <w:p>
      <w:r>
        <w:t>Confirm that the identified item is permitted at the current production step.</w:t>
      </w:r>
    </w:p>
    <w:p>
      <w:r>
        <w:t>Examples:</w:t>
      </w:r>
    </w:p>
    <w:p>
      <w:pPr>
        <w:pStyle w:val="ListBullet"/>
      </w:pPr>
      <w:r>
        <w:t>The part has not already been processed.</w:t>
      </w:r>
    </w:p>
    <w:p>
      <w:pPr>
        <w:pStyle w:val="ListBullet"/>
      </w:pPr>
      <w:r>
        <w:t>The previous required station is complete.</w:t>
      </w:r>
    </w:p>
    <w:p>
      <w:pPr>
        <w:pStyle w:val="ListBullet"/>
      </w:pPr>
      <w:r>
        <w:t>The product is routed to the correct machine.</w:t>
      </w:r>
    </w:p>
    <w:p>
      <w:pPr>
        <w:pStyle w:val="ListBullet"/>
      </w:pPr>
      <w:r>
        <w:t>The required recipe or test program is available.</w:t>
      </w:r>
    </w:p>
    <w:p>
      <w:pPr>
        <w:pStyle w:val="ListBullet"/>
      </w:pPr>
      <w:r>
        <w:t>The identifier is not blocked by a quality hold.</w:t>
      </w:r>
    </w:p>
    <w:p>
      <w:pPr>
        <w:pStyle w:val="Heading3"/>
      </w:pPr>
      <w:r>
        <w:t>13.4 Traceability validation</w:t>
      </w:r>
    </w:p>
    <w:p>
      <w:r>
        <w:t>Verify that the identifier can be associated with a reliable record.</w:t>
      </w:r>
    </w:p>
    <w:p>
      <w:r>
        <w:t>Depending on the architecture, this may involve checking a local PLC data set, an edge computer, MES, or a traceability database.</w:t>
      </w:r>
    </w:p>
    <w:p>
      <w:r>
        <w:t>If the higher-level system is unavailable, the machine must follow a defined policy. Depending on the quality and safety requirements, that may mean stopping, buffering, or using an approved offline process. Silent acceptance without a traceability record is a poor default.</w:t>
      </w:r>
    </w:p>
    <w:p>
      <w:pPr>
        <w:pStyle w:val="Heading2"/>
      </w:pPr>
      <w:r>
        <w:t>14. Traceability and manufacturing records</w:t>
      </w:r>
    </w:p>
    <w:p>
      <w:r>
        <w:t>Traceability establishes the relationship between a physical product and its production history.</w:t>
      </w:r>
    </w:p>
    <w:p>
      <w:r>
        <w:t>A useful traceability record can include:</w:t>
      </w:r>
    </w:p>
    <w:p>
      <w:pPr>
        <w:pStyle w:val="ListBullet"/>
      </w:pPr>
      <w:r>
        <w:t>Product or component identifier.</w:t>
      </w:r>
    </w:p>
    <w:p>
      <w:pPr>
        <w:pStyle w:val="ListBullet"/>
      </w:pPr>
      <w:r>
        <w:t>Station or machine ID.</w:t>
      </w:r>
    </w:p>
    <w:p>
      <w:pPr>
        <w:pStyle w:val="ListBullet"/>
      </w:pPr>
      <w:r>
        <w:t>Timestamp.</w:t>
      </w:r>
    </w:p>
    <w:p>
      <w:pPr>
        <w:pStyle w:val="ListBullet"/>
      </w:pPr>
      <w:r>
        <w:t>Production order or batch.</w:t>
      </w:r>
    </w:p>
    <w:p>
      <w:pPr>
        <w:pStyle w:val="ListBullet"/>
      </w:pPr>
      <w:r>
        <w:t>Recipe or program revision.</w:t>
      </w:r>
    </w:p>
    <w:p>
      <w:pPr>
        <w:pStyle w:val="ListBullet"/>
      </w:pPr>
      <w:r>
        <w:t>Process measurements.</w:t>
      </w:r>
    </w:p>
    <w:p>
      <w:pPr>
        <w:pStyle w:val="ListBullet"/>
      </w:pPr>
      <w:r>
        <w:t>Inspection results.</w:t>
      </w:r>
    </w:p>
    <w:p>
      <w:pPr>
        <w:pStyle w:val="ListBullet"/>
      </w:pPr>
      <w:r>
        <w:t>Operator or production shift, where required.</w:t>
      </w:r>
    </w:p>
    <w:p>
      <w:pPr>
        <w:pStyle w:val="ListBullet"/>
      </w:pPr>
      <w:r>
        <w:t>Pass/fail result.</w:t>
      </w:r>
    </w:p>
    <w:p>
      <w:pPr>
        <w:pStyle w:val="ListBullet"/>
      </w:pPr>
      <w:r>
        <w:t>Rework or repair history.</w:t>
      </w:r>
    </w:p>
    <w:p>
      <w:pPr>
        <w:pStyle w:val="ListBullet"/>
      </w:pPr>
      <w:r>
        <w:t>Reader and communication status where diagnostically useful.</w:t>
      </w:r>
    </w:p>
    <w:p>
      <w:pPr>
        <w:pStyle w:val="Heading3"/>
      </w:pPr>
      <w:r>
        <w:t>14.1 Serial traceability versus batch traceability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Serial traceability</w:t>
            </w:r>
          </w:p>
        </w:tc>
        <w:tc>
          <w:tcPr>
            <w:tcW w:type="dxa" w:w="3600"/>
          </w:tcPr>
          <w:p>
            <w:pPr>
              <w:spacing w:after="0" w:before="0" w:line="240" w:lineRule="auto"/>
              <w:jc w:val="left"/>
            </w:pPr>
            <w:r>
              <w:t>Each individual item has a unique identity</w:t>
            </w:r>
          </w:p>
        </w:tc>
        <w:tc>
          <w:tcPr>
            <w:tcW w:type="dxa" w:w="3600"/>
          </w:tcPr>
          <w:p>
            <w:pPr>
              <w:spacing w:after="0" w:before="0" w:line="240" w:lineRule="auto"/>
              <w:jc w:val="left"/>
            </w:pPr>
            <w:r>
              <w:t>Individual engine serial number</w:t>
            </w:r>
          </w:p>
        </w:tc>
      </w:tr>
      <w:tr>
        <w:tc>
          <w:tcPr>
            <w:tcW w:type="dxa" w:w="3600"/>
          </w:tcPr>
          <w:p>
            <w:pPr>
              <w:spacing w:after="0" w:before="0" w:line="240" w:lineRule="auto"/>
              <w:jc w:val="left"/>
            </w:pPr>
            <w:r>
              <w:t>Batch traceability</w:t>
            </w:r>
          </w:p>
        </w:tc>
        <w:tc>
          <w:tcPr>
            <w:tcW w:type="dxa" w:w="3600"/>
          </w:tcPr>
          <w:p>
            <w:pPr>
              <w:spacing w:after="0" w:before="0" w:line="240" w:lineRule="auto"/>
              <w:jc w:val="left"/>
            </w:pPr>
            <w:r>
              <w:t>Multiple items are tracked as a group</w:t>
            </w:r>
          </w:p>
        </w:tc>
        <w:tc>
          <w:tcPr>
            <w:tcW w:type="dxa" w:w="3600"/>
          </w:tcPr>
          <w:p>
            <w:pPr>
              <w:spacing w:after="0" w:before="0" w:line="240" w:lineRule="auto"/>
              <w:jc w:val="left"/>
            </w:pPr>
            <w:r>
              <w:t>Components from a specific material lot</w:t>
            </w:r>
          </w:p>
        </w:tc>
      </w:tr>
      <w:tr>
        <w:tc>
          <w:tcPr>
            <w:tcW w:type="dxa" w:w="3600"/>
          </w:tcPr>
          <w:p>
            <w:pPr>
              <w:spacing w:after="0" w:before="0" w:line="240" w:lineRule="auto"/>
              <w:jc w:val="left"/>
            </w:pPr>
            <w:r>
              <w:t>Genealogy traceability</w:t>
            </w:r>
          </w:p>
        </w:tc>
        <w:tc>
          <w:tcPr>
            <w:tcW w:type="dxa" w:w="3600"/>
          </w:tcPr>
          <w:p>
            <w:pPr>
              <w:spacing w:after="0" w:before="0" w:line="240" w:lineRule="auto"/>
              <w:jc w:val="left"/>
            </w:pPr>
            <w:r>
              <w:t>Relationships between assembled components and the final product are recorded</w:t>
            </w:r>
          </w:p>
        </w:tc>
        <w:tc>
          <w:tcPr>
            <w:tcW w:type="dxa" w:w="3600"/>
          </w:tcPr>
          <w:p>
            <w:pPr>
              <w:spacing w:after="0" w:before="0" w:line="240" w:lineRule="auto"/>
              <w:jc w:val="left"/>
            </w:pPr>
            <w:r>
              <w:t>Engine, gearbox, and chassis linked to one vehicle</w:t>
            </w:r>
          </w:p>
        </w:tc>
      </w:tr>
      <w:tr>
        <w:tc>
          <w:tcPr>
            <w:tcW w:type="dxa" w:w="3600"/>
          </w:tcPr>
          <w:p>
            <w:pPr>
              <w:spacing w:after="0" w:before="0" w:line="240" w:lineRule="auto"/>
              <w:jc w:val="left"/>
            </w:pPr>
            <w:r>
              <w:t>Process traceability</w:t>
            </w:r>
          </w:p>
        </w:tc>
        <w:tc>
          <w:tcPr>
            <w:tcW w:type="dxa" w:w="3600"/>
          </w:tcPr>
          <w:p>
            <w:pPr>
              <w:spacing w:after="0" w:before="0" w:line="240" w:lineRule="auto"/>
              <w:jc w:val="left"/>
            </w:pPr>
            <w:r>
              <w:t>Production conditions and results are linked to an item or batch</w:t>
            </w:r>
          </w:p>
        </w:tc>
        <w:tc>
          <w:tcPr>
            <w:tcW w:type="dxa" w:w="3600"/>
          </w:tcPr>
          <w:p>
            <w:pPr>
              <w:spacing w:after="0" w:before="0" w:line="240" w:lineRule="auto"/>
              <w:jc w:val="left"/>
            </w:pPr>
            <w:r>
              <w:t>Test pressure and final leak-test result</w:t>
            </w:r>
          </w:p>
        </w:tc>
      </w:tr>
    </w:tbl>
    <w:p/>
    <w:p>
      <w:r>
        <w:t>A barcode is often the key that links these records. The scanner itself does not necessarily store or manage the full production history.</w:t>
      </w:r>
    </w:p>
    <w:p>
      <w:pPr>
        <w:pStyle w:val="Heading3"/>
      </w:pPr>
      <w:r>
        <w:t>14.2 Example production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Product ID</w:t>
            </w:r>
          </w:p>
        </w:tc>
        <w:tc>
          <w:tcPr>
            <w:tcW w:type="dxa" w:w="5400"/>
          </w:tcPr>
          <w:p>
            <w:pPr>
              <w:spacing w:after="0" w:before="0" w:line="240" w:lineRule="auto"/>
              <w:jc w:val="left"/>
            </w:pPr>
            <w:r>
              <w:rPr>
                <w:rFonts w:ascii="Consolas" w:hAnsi="Consolas"/>
                <w:color w:val="333333"/>
                <w:sz w:val="19"/>
                <w:shd w:val="clear" w:color="auto" w:fill="EFEFEF"/>
              </w:rPr>
              <w:t>CHASSIS-26-00158473</w:t>
            </w:r>
          </w:p>
        </w:tc>
      </w:tr>
      <w:tr>
        <w:tc>
          <w:tcPr>
            <w:tcW w:type="dxa" w:w="5400"/>
          </w:tcPr>
          <w:p>
            <w:pPr>
              <w:spacing w:after="0" w:before="0" w:line="240" w:lineRule="auto"/>
              <w:jc w:val="left"/>
            </w:pPr>
            <w:r>
              <w:t>Station ID</w:t>
            </w:r>
          </w:p>
        </w:tc>
        <w:tc>
          <w:tcPr>
            <w:tcW w:type="dxa" w:w="5400"/>
          </w:tcPr>
          <w:p>
            <w:pPr>
              <w:spacing w:after="0" w:before="0" w:line="240" w:lineRule="auto"/>
              <w:jc w:val="left"/>
            </w:pPr>
            <w:r>
              <w:rPr>
                <w:rFonts w:ascii="Consolas" w:hAnsi="Consolas"/>
                <w:color w:val="333333"/>
                <w:sz w:val="19"/>
                <w:shd w:val="clear" w:color="auto" w:fill="EFEFEF"/>
              </w:rPr>
              <w:t>STN-020</w:t>
            </w:r>
          </w:p>
        </w:tc>
      </w:tr>
      <w:tr>
        <w:tc>
          <w:tcPr>
            <w:tcW w:type="dxa" w:w="5400"/>
          </w:tcPr>
          <w:p>
            <w:pPr>
              <w:spacing w:after="0" w:before="0" w:line="240" w:lineRule="auto"/>
              <w:jc w:val="left"/>
            </w:pPr>
            <w:r>
              <w:t>Scan result</w:t>
            </w:r>
          </w:p>
        </w:tc>
        <w:tc>
          <w:tcPr>
            <w:tcW w:type="dxa" w:w="5400"/>
          </w:tcPr>
          <w:p>
            <w:pPr>
              <w:spacing w:after="0" w:before="0" w:line="240" w:lineRule="auto"/>
              <w:jc w:val="left"/>
            </w:pPr>
            <w:r>
              <w:rPr>
                <w:rFonts w:ascii="Consolas" w:hAnsi="Consolas"/>
                <w:color w:val="333333"/>
                <w:sz w:val="19"/>
                <w:shd w:val="clear" w:color="auto" w:fill="EFEFEF"/>
              </w:rPr>
              <w:t>GOOD_READ</w:t>
            </w:r>
          </w:p>
        </w:tc>
      </w:tr>
      <w:tr>
        <w:tc>
          <w:tcPr>
            <w:tcW w:type="dxa" w:w="5400"/>
          </w:tcPr>
          <w:p>
            <w:pPr>
              <w:spacing w:after="0" w:before="0" w:line="240" w:lineRule="auto"/>
              <w:jc w:val="left"/>
            </w:pPr>
            <w:r>
              <w:t>Recipe ID</w:t>
            </w:r>
          </w:p>
        </w:tc>
        <w:tc>
          <w:tcPr>
            <w:tcW w:type="dxa" w:w="5400"/>
          </w:tcPr>
          <w:p>
            <w:pPr>
              <w:spacing w:after="0" w:before="0" w:line="240" w:lineRule="auto"/>
              <w:jc w:val="left"/>
            </w:pPr>
            <w:r>
              <w:rPr>
                <w:rFonts w:ascii="Consolas" w:hAnsi="Consolas"/>
                <w:color w:val="333333"/>
                <w:sz w:val="19"/>
                <w:shd w:val="clear" w:color="auto" w:fill="EFEFEF"/>
              </w:rPr>
              <w:t>RECIPE-A17</w:t>
            </w:r>
          </w:p>
        </w:tc>
      </w:tr>
      <w:tr>
        <w:tc>
          <w:tcPr>
            <w:tcW w:type="dxa" w:w="5400"/>
          </w:tcPr>
          <w:p>
            <w:pPr>
              <w:spacing w:after="0" w:before="0" w:line="240" w:lineRule="auto"/>
              <w:jc w:val="left"/>
            </w:pPr>
            <w:r>
              <w:t>Test result</w:t>
            </w:r>
          </w:p>
        </w:tc>
        <w:tc>
          <w:tcPr>
            <w:tcW w:type="dxa" w:w="5400"/>
          </w:tcPr>
          <w:p>
            <w:pPr>
              <w:spacing w:after="0" w:before="0" w:line="240" w:lineRule="auto"/>
              <w:jc w:val="left"/>
            </w:pPr>
            <w:r>
              <w:rPr>
                <w:rFonts w:ascii="Consolas" w:hAnsi="Consolas"/>
                <w:color w:val="333333"/>
                <w:sz w:val="19"/>
                <w:shd w:val="clear" w:color="auto" w:fill="EFEFEF"/>
              </w:rPr>
              <w:t>PASS</w:t>
            </w:r>
          </w:p>
        </w:tc>
      </w:tr>
      <w:tr>
        <w:tc>
          <w:tcPr>
            <w:tcW w:type="dxa" w:w="5400"/>
          </w:tcPr>
          <w:p>
            <w:pPr>
              <w:spacing w:after="0" w:before="0" w:line="240" w:lineRule="auto"/>
              <w:jc w:val="left"/>
            </w:pPr>
            <w:r>
              <w:t>Timestamp</w:t>
            </w:r>
          </w:p>
        </w:tc>
        <w:tc>
          <w:tcPr>
            <w:tcW w:type="dxa" w:w="5400"/>
          </w:tcPr>
          <w:p>
            <w:pPr>
              <w:spacing w:after="0" w:before="0" w:line="240" w:lineRule="auto"/>
              <w:jc w:val="left"/>
            </w:pPr>
            <w:r>
              <w:rPr>
                <w:rFonts w:ascii="Consolas" w:hAnsi="Consolas"/>
                <w:color w:val="333333"/>
                <w:sz w:val="19"/>
                <w:shd w:val="clear" w:color="auto" w:fill="EFEFEF"/>
              </w:rPr>
              <w:t>2026-10-16 09:15:22</w:t>
            </w:r>
          </w:p>
        </w:tc>
      </w:tr>
      <w:tr>
        <w:tc>
          <w:tcPr>
            <w:tcW w:type="dxa" w:w="5400"/>
          </w:tcPr>
          <w:p>
            <w:pPr>
              <w:spacing w:after="0" w:before="0" w:line="240" w:lineRule="auto"/>
              <w:jc w:val="left"/>
            </w:pPr>
            <w:r>
              <w:t>Traceability status</w:t>
            </w:r>
          </w:p>
        </w:tc>
        <w:tc>
          <w:tcPr>
            <w:tcW w:type="dxa" w:w="5400"/>
          </w:tcPr>
          <w:p>
            <w:pPr>
              <w:spacing w:after="0" w:before="0" w:line="240" w:lineRule="auto"/>
              <w:jc w:val="left"/>
            </w:pPr>
            <w:r>
              <w:rPr>
                <w:rFonts w:ascii="Consolas" w:hAnsi="Consolas"/>
                <w:color w:val="333333"/>
                <w:sz w:val="19"/>
                <w:shd w:val="clear" w:color="auto" w:fill="EFEFEF"/>
              </w:rPr>
              <w:t>RECORDED</w:t>
            </w:r>
          </w:p>
        </w:tc>
      </w:tr>
    </w:tbl>
    <w:p/>
    <w:p>
      <w:r>
        <w:t>The values are illustrative. Production timestamps should come from an appropriately synchronized system, and actual field definitions should follow the plant's traceability requirements.</w:t>
      </w:r>
    </w:p>
    <w:p>
      <w:pPr>
        <w:pStyle w:val="Heading3"/>
      </w:pPr>
      <w:r>
        <w:t>14.3 Database design considerations</w:t>
      </w:r>
    </w:p>
    <w:p>
      <w:r>
        <w:t>For a traceability database, use a clearly defined record structure and enforce uniqueness where the business process requires it.</w:t>
      </w:r>
    </w:p>
    <w:p>
      <w:r>
        <w:t>Useful design elements include:</w:t>
      </w:r>
    </w:p>
    <w:p>
      <w:pPr>
        <w:pStyle w:val="ListBullet"/>
      </w:pPr>
      <w:r>
        <w:t>A unique scan or transaction identifier.</w:t>
      </w:r>
    </w:p>
    <w:p>
      <w:pPr>
        <w:pStyle w:val="ListBullet"/>
      </w:pPr>
      <w:r>
        <w:t>Product identifier stored without losing leading zeros.</w:t>
      </w:r>
    </w:p>
    <w:p>
      <w:pPr>
        <w:pStyle w:val="ListBullet"/>
      </w:pPr>
      <w:r>
        <w:t>Machine and station identifiers.</w:t>
      </w:r>
    </w:p>
    <w:p>
      <w:pPr>
        <w:pStyle w:val="ListBullet"/>
      </w:pPr>
      <w:r>
        <w:t>A consistent timestamp format and time-zone policy.</w:t>
      </w:r>
    </w:p>
    <w:p>
      <w:pPr>
        <w:pStyle w:val="ListBullet"/>
      </w:pPr>
      <w:r>
        <w:t>Defined pass/fail and processing status fields.</w:t>
      </w:r>
    </w:p>
    <w:p>
      <w:pPr>
        <w:pStyle w:val="ListBullet"/>
      </w:pPr>
      <w:r>
        <w:t>Relationships to process measurements and inspection results.</w:t>
      </w:r>
    </w:p>
    <w:p>
      <w:pPr>
        <w:pStyle w:val="ListBullet"/>
      </w:pPr>
      <w:r>
        <w:t>Duplicate-handling rules.</w:t>
      </w:r>
    </w:p>
    <w:p>
      <w:pPr>
        <w:pStyle w:val="ListBullet"/>
      </w:pPr>
      <w:r>
        <w:t>Retention and backup policies.</w:t>
      </w:r>
    </w:p>
    <w:p>
      <w:pPr>
        <w:pStyle w:val="ListBullet"/>
      </w:pPr>
      <w:r>
        <w:t>Controlled correction procedures for erroneous records.</w:t>
      </w:r>
    </w:p>
    <w:p>
      <w:r>
        <w:t>Do not assume that every successful scan should create a new production record. A repeated scan may be a retry, a legitimate reinspection, or an error. The system needs a defined rule for each case.</w:t>
      </w:r>
    </w:p>
    <w:p>
      <w:pPr>
        <w:pStyle w:val="Heading2"/>
      </w:pPr>
      <w:r>
        <w:t>15. Barcode scanning and product quality</w:t>
      </w:r>
    </w:p>
    <w:p>
      <w:r>
        <w:t>Identification errors can cause incorrect processing, assembly, or test results.</w:t>
      </w:r>
    </w:p>
    <w:p>
      <w:r>
        <w:t>Typical controls include:</w:t>
      </w:r>
    </w:p>
    <w:p>
      <w:pPr>
        <w:pStyle w:val="ListBullet"/>
      </w:pPr>
      <w:r>
        <w:t>Compare the scanned part number against the station requirement.</w:t>
      </w:r>
    </w:p>
    <w:p>
      <w:pPr>
        <w:pStyle w:val="ListBullet"/>
      </w:pPr>
      <w:r>
        <w:t>Confirm product identity before enabling a critical operation.</w:t>
      </w:r>
    </w:p>
    <w:p>
      <w:pPr>
        <w:pStyle w:val="ListBullet"/>
      </w:pPr>
      <w:r>
        <w:t>Validate recipe compatibility.</w:t>
      </w:r>
    </w:p>
    <w:p>
      <w:pPr>
        <w:pStyle w:val="ListBullet"/>
      </w:pPr>
      <w:r>
        <w:t>Check that the part has completed prerequisite operations.</w:t>
      </w:r>
    </w:p>
    <w:p>
      <w:pPr>
        <w:pStyle w:val="ListBullet"/>
      </w:pPr>
      <w:r>
        <w:t>Reject duplicate serial numbers where uniqueness is required.</w:t>
      </w:r>
    </w:p>
    <w:p>
      <w:pPr>
        <w:pStyle w:val="ListBullet"/>
      </w:pPr>
      <w:r>
        <w:t>Associate inspection results with the correct identifier.</w:t>
      </w:r>
    </w:p>
    <w:p>
      <w:pPr>
        <w:pStyle w:val="ListBullet"/>
      </w:pPr>
      <w:r>
        <w:t>Record rework and retest events without overwriting the original history.</w:t>
      </w:r>
    </w:p>
    <w:p>
      <w:pPr>
        <w:pStyle w:val="ListBullet"/>
      </w:pPr>
      <w:r>
        <w:t>Verify that the database response belongs to the current scan transaction.</w:t>
      </w:r>
    </w:p>
    <w:p>
      <w:r>
        <w:t>For example, if two visually similar components require different test limits, the scanned identifier can select the correct recipe. The PLC should verify the selected recipe and required machine conditions before executing the test.</w:t>
      </w:r>
    </w:p>
    <w:p>
      <w:pPr>
        <w:pStyle w:val="Heading2"/>
      </w:pPr>
      <w:r>
        <w:t>16. No-read, mismatch, and duplicate handling</w:t>
      </w:r>
    </w:p>
    <w:p>
      <w:r>
        <w:t>A robust barcode station must distinguish different failure conditions rather than treating all failures as a generic scan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No-read</w:t>
            </w:r>
          </w:p>
        </w:tc>
        <w:tc>
          <w:tcPr>
            <w:tcW w:type="dxa" w:w="3600"/>
          </w:tcPr>
          <w:p>
            <w:pPr>
              <w:spacing w:after="0" w:before="0" w:line="240" w:lineRule="auto"/>
              <w:jc w:val="left"/>
            </w:pPr>
            <w:r>
              <w:t>Reader did not decode a code</w:t>
            </w:r>
          </w:p>
        </w:tc>
        <w:tc>
          <w:tcPr>
            <w:tcW w:type="dxa" w:w="3600"/>
          </w:tcPr>
          <w:p>
            <w:pPr>
              <w:spacing w:after="0" w:before="0" w:line="240" w:lineRule="auto"/>
              <w:jc w:val="left"/>
            </w:pPr>
            <w:r>
              <w:t>Retry within defined limits or stop the sequence</w:t>
            </w:r>
          </w:p>
        </w:tc>
      </w:tr>
      <w:tr>
        <w:tc>
          <w:tcPr>
            <w:tcW w:type="dxa" w:w="3600"/>
          </w:tcPr>
          <w:p>
            <w:pPr>
              <w:spacing w:after="0" w:before="0" w:line="240" w:lineRule="auto"/>
              <w:jc w:val="left"/>
            </w:pPr>
            <w:r>
              <w:t>Format error</w:t>
            </w:r>
          </w:p>
        </w:tc>
        <w:tc>
          <w:tcPr>
            <w:tcW w:type="dxa" w:w="3600"/>
          </w:tcPr>
          <w:p>
            <w:pPr>
              <w:spacing w:after="0" w:before="0" w:line="240" w:lineRule="auto"/>
              <w:jc w:val="left"/>
            </w:pPr>
            <w:r>
              <w:t>Data was decoded but violates the expected format</w:t>
            </w:r>
          </w:p>
        </w:tc>
        <w:tc>
          <w:tcPr>
            <w:tcW w:type="dxa" w:w="3600"/>
          </w:tcPr>
          <w:p>
            <w:pPr>
              <w:spacing w:after="0" w:before="0" w:line="240" w:lineRule="auto"/>
              <w:jc w:val="left"/>
            </w:pPr>
            <w:r>
              <w:t>Reject and request correction</w:t>
            </w:r>
          </w:p>
        </w:tc>
      </w:tr>
      <w:tr>
        <w:tc>
          <w:tcPr>
            <w:tcW w:type="dxa" w:w="3600"/>
          </w:tcPr>
          <w:p>
            <w:pPr>
              <w:spacing w:after="0" w:before="0" w:line="240" w:lineRule="auto"/>
              <w:jc w:val="left"/>
            </w:pPr>
            <w:r>
              <w:t>Unknown identifier</w:t>
            </w:r>
          </w:p>
        </w:tc>
        <w:tc>
          <w:tcPr>
            <w:tcW w:type="dxa" w:w="3600"/>
          </w:tcPr>
          <w:p>
            <w:pPr>
              <w:spacing w:after="0" w:before="0" w:line="240" w:lineRule="auto"/>
              <w:jc w:val="left"/>
            </w:pPr>
            <w:r>
              <w:t>Identifier is not recognized by the production system</w:t>
            </w:r>
          </w:p>
        </w:tc>
        <w:tc>
          <w:tcPr>
            <w:tcW w:type="dxa" w:w="3600"/>
          </w:tcPr>
          <w:p>
            <w:pPr>
              <w:spacing w:after="0" w:before="0" w:line="240" w:lineRule="auto"/>
              <w:jc w:val="left"/>
            </w:pPr>
            <w:r>
              <w:t>Hold the part and request investigation</w:t>
            </w:r>
          </w:p>
        </w:tc>
      </w:tr>
      <w:tr>
        <w:tc>
          <w:tcPr>
            <w:tcW w:type="dxa" w:w="3600"/>
          </w:tcPr>
          <w:p>
            <w:pPr>
              <w:spacing w:after="0" w:before="0" w:line="240" w:lineRule="auto"/>
              <w:jc w:val="left"/>
            </w:pPr>
            <w:r>
              <w:t>Part mismatch</w:t>
            </w:r>
          </w:p>
        </w:tc>
        <w:tc>
          <w:tcPr>
            <w:tcW w:type="dxa" w:w="3600"/>
          </w:tcPr>
          <w:p>
            <w:pPr>
              <w:spacing w:after="0" w:before="0" w:line="240" w:lineRule="auto"/>
              <w:jc w:val="left"/>
            </w:pPr>
            <w:r>
              <w:t>Identifier does not match the current operation</w:t>
            </w:r>
          </w:p>
        </w:tc>
        <w:tc>
          <w:tcPr>
            <w:tcW w:type="dxa" w:w="3600"/>
          </w:tcPr>
          <w:p>
            <w:pPr>
              <w:spacing w:after="0" w:before="0" w:line="240" w:lineRule="auto"/>
              <w:jc w:val="left"/>
            </w:pPr>
            <w:r>
              <w:t>Prevent incorrect processing</w:t>
            </w:r>
          </w:p>
        </w:tc>
      </w:tr>
      <w:tr>
        <w:tc>
          <w:tcPr>
            <w:tcW w:type="dxa" w:w="3600"/>
          </w:tcPr>
          <w:p>
            <w:pPr>
              <w:spacing w:after="0" w:before="0" w:line="240" w:lineRule="auto"/>
              <w:jc w:val="left"/>
            </w:pPr>
            <w:r>
              <w:t>Duplicate identifier</w:t>
            </w:r>
          </w:p>
        </w:tc>
        <w:tc>
          <w:tcPr>
            <w:tcW w:type="dxa" w:w="3600"/>
          </w:tcPr>
          <w:p>
            <w:pPr>
              <w:spacing w:after="0" w:before="0" w:line="240" w:lineRule="auto"/>
              <w:jc w:val="left"/>
            </w:pPr>
            <w:r>
              <w:t>Identifier was previously used in a conflicting context</w:t>
            </w:r>
          </w:p>
        </w:tc>
        <w:tc>
          <w:tcPr>
            <w:tcW w:type="dxa" w:w="3600"/>
          </w:tcPr>
          <w:p>
            <w:pPr>
              <w:spacing w:after="0" w:before="0" w:line="240" w:lineRule="auto"/>
              <w:jc w:val="left"/>
            </w:pPr>
            <w:r>
              <w:t>Apply the defined duplicate policy</w:t>
            </w:r>
          </w:p>
        </w:tc>
      </w:tr>
      <w:tr>
        <w:tc>
          <w:tcPr>
            <w:tcW w:type="dxa" w:w="3600"/>
          </w:tcPr>
          <w:p>
            <w:pPr>
              <w:spacing w:after="0" w:before="0" w:line="240" w:lineRule="auto"/>
              <w:jc w:val="left"/>
            </w:pPr>
            <w:r>
              <w:t>Timeout</w:t>
            </w:r>
          </w:p>
        </w:tc>
        <w:tc>
          <w:tcPr>
            <w:tcW w:type="dxa" w:w="3600"/>
          </w:tcPr>
          <w:p>
            <w:pPr>
              <w:spacing w:after="0" w:before="0" w:line="240" w:lineRule="auto"/>
              <w:jc w:val="left"/>
            </w:pPr>
            <w:r>
              <w:t>Expected response did not arrive in time</w:t>
            </w:r>
          </w:p>
        </w:tc>
        <w:tc>
          <w:tcPr>
            <w:tcW w:type="dxa" w:w="3600"/>
          </w:tcPr>
          <w:p>
            <w:pPr>
              <w:spacing w:after="0" w:before="0" w:line="240" w:lineRule="auto"/>
              <w:jc w:val="left"/>
            </w:pPr>
            <w:r>
              <w:t>Stop progression and diagnose the cause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Reader or host communication failed</w:t>
            </w:r>
          </w:p>
        </w:tc>
        <w:tc>
          <w:tcPr>
            <w:tcW w:type="dxa" w:w="3600"/>
          </w:tcPr>
          <w:p>
            <w:pPr>
              <w:spacing w:after="0" w:before="0" w:line="240" w:lineRule="auto"/>
              <w:jc w:val="left"/>
            </w:pPr>
            <w:r>
              <w:t>Apply the defined recovery procedure</w:t>
            </w:r>
          </w:p>
        </w:tc>
      </w:tr>
      <w:tr>
        <w:tc>
          <w:tcPr>
            <w:tcW w:type="dxa" w:w="3600"/>
          </w:tcPr>
          <w:p>
            <w:pPr>
              <w:spacing w:after="0" w:before="0" w:line="240" w:lineRule="auto"/>
              <w:jc w:val="left"/>
            </w:pPr>
            <w:r>
              <w:t>Database unavailable</w:t>
            </w:r>
          </w:p>
        </w:tc>
        <w:tc>
          <w:tcPr>
            <w:tcW w:type="dxa" w:w="3600"/>
          </w:tcPr>
          <w:p>
            <w:pPr>
              <w:spacing w:after="0" w:before="0" w:line="240" w:lineRule="auto"/>
              <w:jc w:val="left"/>
            </w:pPr>
            <w:r>
              <w:t>Required traceability lookup or record operation failed</w:t>
            </w:r>
          </w:p>
        </w:tc>
        <w:tc>
          <w:tcPr>
            <w:tcW w:type="dxa" w:w="3600"/>
          </w:tcPr>
          <w:p>
            <w:pPr>
              <w:spacing w:after="0" w:before="0" w:line="240" w:lineRule="auto"/>
              <w:jc w:val="left"/>
            </w:pPr>
            <w:r>
              <w:t>Follow the approved online/offline policy</w:t>
            </w:r>
          </w:p>
        </w:tc>
      </w:tr>
      <w:tr>
        <w:tc>
          <w:tcPr>
            <w:tcW w:type="dxa" w:w="3600"/>
          </w:tcPr>
          <w:p>
            <w:pPr>
              <w:spacing w:after="0" w:before="0" w:line="240" w:lineRule="auto"/>
              <w:jc w:val="left"/>
            </w:pPr>
            <w:r>
              <w:t>Late response</w:t>
            </w:r>
          </w:p>
        </w:tc>
        <w:tc>
          <w:tcPr>
            <w:tcW w:type="dxa" w:w="3600"/>
          </w:tcPr>
          <w:p>
            <w:pPr>
              <w:spacing w:after="0" w:before="0" w:line="240" w:lineRule="auto"/>
              <w:jc w:val="left"/>
            </w:pPr>
            <w:r>
              <w:t>Result arrived after the original transaction expired</w:t>
            </w:r>
          </w:p>
        </w:tc>
        <w:tc>
          <w:tcPr>
            <w:tcW w:type="dxa" w:w="3600"/>
          </w:tcPr>
          <w:p>
            <w:pPr>
              <w:spacing w:after="0" w:before="0" w:line="240" w:lineRule="auto"/>
              <w:jc w:val="left"/>
            </w:pPr>
            <w:r>
              <w:t>Reject or quarantine the response</w:t>
            </w:r>
          </w:p>
        </w:tc>
      </w:tr>
      <w:tr>
        <w:tc>
          <w:tcPr>
            <w:tcW w:type="dxa" w:w="3600"/>
          </w:tcPr>
          <w:p>
            <w:pPr>
              <w:spacing w:after="0" w:before="0" w:line="240" w:lineRule="auto"/>
              <w:jc w:val="left"/>
            </w:pPr>
            <w:r>
              <w:t>Invalid check digit</w:t>
            </w:r>
          </w:p>
        </w:tc>
        <w:tc>
          <w:tcPr>
            <w:tcW w:type="dxa" w:w="3600"/>
          </w:tcPr>
          <w:p>
            <w:pPr>
              <w:spacing w:after="0" w:before="0" w:line="240" w:lineRule="auto"/>
              <w:jc w:val="left"/>
            </w:pPr>
            <w:r>
              <w:t>Identifier failed the defined integrity check</w:t>
            </w:r>
          </w:p>
        </w:tc>
        <w:tc>
          <w:tcPr>
            <w:tcW w:type="dxa" w:w="3600"/>
          </w:tcPr>
          <w:p>
            <w:pPr>
              <w:spacing w:after="0" w:before="0" w:line="240" w:lineRule="auto"/>
              <w:jc w:val="left"/>
            </w:pPr>
            <w:r>
              <w:t>Reject the identifier</w:t>
            </w:r>
          </w:p>
        </w:tc>
      </w:tr>
    </w:tbl>
    <w:p/>
    <w:p>
      <w:r>
        <w:t>The appropriate action depends on product quality, machine design, and operational requirements. Retrying indefinitely is not a valid fault-handling strategy.</w:t>
      </w:r>
    </w:p>
    <w:p>
      <w:pPr>
        <w:pStyle w:val="Heading2"/>
      </w:pPr>
      <w:r>
        <w:t>17. Reader diagnostics and troubleshooting</w:t>
      </w:r>
    </w:p>
    <w:p>
      <w:pPr>
        <w:pStyle w:val="Heading3"/>
      </w:pPr>
      <w:r>
        <w:t>17.1 Reader never detects a code</w:t>
      </w:r>
    </w:p>
    <w:p>
      <w:r>
        <w:t>Possible causes:</w:t>
      </w:r>
    </w:p>
    <w:p>
      <w:pPr>
        <w:pStyle w:val="ListBullet"/>
      </w:pPr>
      <w:r>
        <w:t>Incorrect trigger configuration.</w:t>
      </w:r>
    </w:p>
    <w:p>
      <w:pPr>
        <w:pStyle w:val="ListBullet"/>
      </w:pPr>
      <w:r>
        <w:t>Trigger input not reaching the reader.</w:t>
      </w:r>
    </w:p>
    <w:p>
      <w:pPr>
        <w:pStyle w:val="ListBullet"/>
      </w:pPr>
      <w:r>
        <w:t>Code outside the field of view.</w:t>
      </w:r>
    </w:p>
    <w:p>
      <w:pPr>
        <w:pStyle w:val="ListBullet"/>
      </w:pPr>
      <w:r>
        <w:t>Incorrect working distance.</w:t>
      </w:r>
    </w:p>
    <w:p>
      <w:pPr>
        <w:pStyle w:val="ListBullet"/>
      </w:pPr>
      <w:r>
        <w:t>Wrong symbology enabled.</w:t>
      </w:r>
    </w:p>
    <w:p>
      <w:pPr>
        <w:pStyle w:val="ListBullet"/>
      </w:pPr>
      <w:r>
        <w:t>Insufficient illumination.</w:t>
      </w:r>
    </w:p>
    <w:p>
      <w:pPr>
        <w:pStyle w:val="ListBullet"/>
      </w:pPr>
      <w:r>
        <w:t>Damaged or poorly marked code.</w:t>
      </w:r>
    </w:p>
    <w:p>
      <w:pPr>
        <w:pStyle w:val="ListBullet"/>
      </w:pPr>
      <w:r>
        <w:t>Reader configuration or hardware fault.</w:t>
      </w:r>
    </w:p>
    <w:p>
      <w:r>
        <w:t>Troubleshooting steps:</w:t>
      </w:r>
    </w:p>
    <w:p>
      <w:pPr>
        <w:tabs>
          <w:tab w:pos="403" w:val="left"/>
        </w:tabs>
        <w:spacing w:after="40" w:line="276" w:lineRule="auto"/>
        <w:ind w:left="403" w:hanging="403"/>
        <w:jc w:val="left"/>
      </w:pPr>
      <w:r>
        <w:rPr>
          <w:color w:val="1A2E4A"/>
        </w:rPr>
        <w:t>1.</w:t>
        <w:tab/>
      </w:r>
      <w:r>
        <w:t>Verify reader power and ready status.</w:t>
      </w:r>
    </w:p>
    <w:p>
      <w:pPr>
        <w:tabs>
          <w:tab w:pos="403" w:val="left"/>
        </w:tabs>
        <w:spacing w:after="40" w:line="276" w:lineRule="auto"/>
        <w:ind w:left="403" w:hanging="403"/>
        <w:jc w:val="left"/>
      </w:pPr>
      <w:r>
        <w:rPr>
          <w:color w:val="1A2E4A"/>
        </w:rPr>
        <w:t>2.</w:t>
        <w:tab/>
      </w:r>
      <w:r>
        <w:t>Check the trigger signal and trigger mode.</w:t>
      </w:r>
    </w:p>
    <w:p>
      <w:pPr>
        <w:tabs>
          <w:tab w:pos="403" w:val="left"/>
        </w:tabs>
        <w:spacing w:after="40" w:line="276" w:lineRule="auto"/>
        <w:ind w:left="403" w:hanging="403"/>
        <w:jc w:val="left"/>
      </w:pPr>
      <w:r>
        <w:rPr>
          <w:color w:val="1A2E4A"/>
        </w:rPr>
        <w:t>3.</w:t>
        <w:tab/>
      </w:r>
      <w:r>
        <w:t>Confirm working distance and field of view.</w:t>
      </w:r>
    </w:p>
    <w:p>
      <w:pPr>
        <w:tabs>
          <w:tab w:pos="403" w:val="left"/>
        </w:tabs>
        <w:spacing w:after="40" w:line="276" w:lineRule="auto"/>
        <w:ind w:left="403" w:hanging="403"/>
        <w:jc w:val="left"/>
      </w:pPr>
      <w:r>
        <w:rPr>
          <w:color w:val="1A2E4A"/>
        </w:rPr>
        <w:t>4.</w:t>
        <w:tab/>
      </w:r>
      <w:r>
        <w:t>Test a known-good code of the required symbology.</w:t>
      </w:r>
    </w:p>
    <w:p>
      <w:pPr>
        <w:tabs>
          <w:tab w:pos="403" w:val="left"/>
        </w:tabs>
        <w:spacing w:after="40" w:line="276" w:lineRule="auto"/>
        <w:ind w:left="403" w:hanging="403"/>
        <w:jc w:val="left"/>
      </w:pPr>
      <w:r>
        <w:rPr>
          <w:color w:val="1A2E4A"/>
        </w:rPr>
        <w:t>5.</w:t>
        <w:tab/>
      </w:r>
      <w:r>
        <w:t>Inspect the code quality and illumination.</w:t>
      </w:r>
    </w:p>
    <w:p>
      <w:pPr>
        <w:tabs>
          <w:tab w:pos="403" w:val="left"/>
        </w:tabs>
        <w:spacing w:after="40" w:line="276" w:lineRule="auto"/>
        <w:ind w:left="403" w:hanging="403"/>
        <w:jc w:val="left"/>
      </w:pPr>
      <w:r>
        <w:rPr>
          <w:color w:val="1A2E4A"/>
        </w:rPr>
        <w:t>6.</w:t>
        <w:tab/>
      </w:r>
      <w:r>
        <w:t>Review reader diagnostics and decoding statistics.</w:t>
      </w:r>
    </w:p>
    <w:p>
      <w:pPr>
        <w:pStyle w:val="Heading3"/>
      </w:pPr>
      <w:r>
        <w:t>17.2 Reader decodes correctly during setup but fails in production</w:t>
      </w:r>
    </w:p>
    <w:p>
      <w:r>
        <w:t>Investigate:</w:t>
      </w:r>
    </w:p>
    <w:p>
      <w:pPr>
        <w:pStyle w:val="ListBullet"/>
      </w:pPr>
      <w:r>
        <w:t>Part position variation.</w:t>
      </w:r>
    </w:p>
    <w:p>
      <w:pPr>
        <w:pStyle w:val="ListBullet"/>
      </w:pPr>
      <w:r>
        <w:t>Conveyor speed and motion blur.</w:t>
      </w:r>
    </w:p>
    <w:p>
      <w:pPr>
        <w:pStyle w:val="ListBullet"/>
      </w:pPr>
      <w:r>
        <w:t>Vibration.</w:t>
      </w:r>
    </w:p>
    <w:p>
      <w:pPr>
        <w:pStyle w:val="ListBullet"/>
      </w:pPr>
      <w:r>
        <w:t>Ambient light changes.</w:t>
      </w:r>
    </w:p>
    <w:p>
      <w:pPr>
        <w:pStyle w:val="ListBullet"/>
      </w:pPr>
      <w:r>
        <w:t>Reflective surfaces.</w:t>
      </w:r>
    </w:p>
    <w:p>
      <w:pPr>
        <w:pStyle w:val="ListBullet"/>
      </w:pPr>
      <w:r>
        <w:t>Contamination or damage.</w:t>
      </w:r>
    </w:p>
    <w:p>
      <w:pPr>
        <w:pStyle w:val="ListBullet"/>
      </w:pPr>
      <w:r>
        <w:t>Trigger timing.</w:t>
      </w:r>
    </w:p>
    <w:p>
      <w:pPr>
        <w:pStyle w:val="ListBullet"/>
      </w:pPr>
      <w:r>
        <w:t>Code orientation.</w:t>
      </w:r>
    </w:p>
    <w:p>
      <w:pPr>
        <w:pStyle w:val="ListBullet"/>
      </w:pPr>
      <w:r>
        <w:t>Insufficient depth of field.</w:t>
      </w:r>
    </w:p>
    <w:p>
      <w:r>
        <w:t>Test under real production conditions, including worst-case part positions and expected cycle rates.</w:t>
      </w:r>
    </w:p>
    <w:p>
      <w:pPr>
        <w:pStyle w:val="Heading3"/>
      </w:pPr>
      <w:r>
        <w:t>17.3 PLC receives no barcode data</w:t>
      </w:r>
    </w:p>
    <w:p>
      <w:r>
        <w:t>Possible causes:</w:t>
      </w:r>
    </w:p>
    <w:p>
      <w:pPr>
        <w:pStyle w:val="ListBullet"/>
      </w:pPr>
      <w:r>
        <w:t>Incorrect network or serial settings.</w:t>
      </w:r>
    </w:p>
    <w:p>
      <w:pPr>
        <w:pStyle w:val="ListBullet"/>
      </w:pPr>
      <w:r>
        <w:t>Reader and PLC use different protocols.</w:t>
      </w:r>
    </w:p>
    <w:p>
      <w:pPr>
        <w:pStyle w:val="ListBullet"/>
      </w:pPr>
      <w:r>
        <w:t>Missing message terminator or incorrect framing.</w:t>
      </w:r>
    </w:p>
    <w:p>
      <w:pPr>
        <w:pStyle w:val="ListBullet"/>
      </w:pPr>
      <w:r>
        <w:t>Incorrect trigger-handshake logic.</w:t>
      </w:r>
    </w:p>
    <w:p>
      <w:pPr>
        <w:pStyle w:val="ListBullet"/>
      </w:pPr>
      <w:r>
        <w:t>PLC string buffer too small.</w:t>
      </w:r>
    </w:p>
    <w:p>
      <w:pPr>
        <w:pStyle w:val="ListBullet"/>
      </w:pPr>
      <w:r>
        <w:t>Data available only after an acknowledgement.</w:t>
      </w:r>
    </w:p>
    <w:p>
      <w:pPr>
        <w:pStyle w:val="ListBullet"/>
      </w:pPr>
      <w:r>
        <w:t>Communication connection lost.</w:t>
      </w:r>
    </w:p>
    <w:p>
      <w:pPr>
        <w:pStyle w:val="ListBullet"/>
      </w:pPr>
      <w:r>
        <w:t>Reader transmits on a different port or interface than expected.</w:t>
      </w:r>
    </w:p>
    <w:p>
      <w:r>
        <w:t>Check the reader's own result display first, then trace the communication path to the PLC. If the reader decodes successfully but the PLC receives nothing, focus on communication and handshake configuration rather than optical alignment.</w:t>
      </w:r>
    </w:p>
    <w:p>
      <w:pPr>
        <w:pStyle w:val="Heading3"/>
      </w:pPr>
      <w:r>
        <w:t>17.4 PLC receives incomplete or corrupted data</w:t>
      </w:r>
    </w:p>
    <w:p>
      <w:r>
        <w:t>Check:</w:t>
      </w:r>
    </w:p>
    <w:p>
      <w:pPr>
        <w:pStyle w:val="ListBullet"/>
      </w:pPr>
      <w:r>
        <w:t>String length and buffer capacity.</w:t>
      </w:r>
    </w:p>
    <w:p>
      <w:pPr>
        <w:pStyle w:val="ListBullet"/>
      </w:pPr>
      <w:r>
        <w:t>Character encoding.</w:t>
      </w:r>
    </w:p>
    <w:p>
      <w:pPr>
        <w:pStyle w:val="ListBullet"/>
      </w:pPr>
      <w:r>
        <w:t>Data types and packed-string format.</w:t>
      </w:r>
    </w:p>
    <w:p>
      <w:pPr>
        <w:pStyle w:val="ListBullet"/>
      </w:pPr>
      <w:r>
        <w:t>Message boundaries and terminators.</w:t>
      </w:r>
    </w:p>
    <w:p>
      <w:pPr>
        <w:pStyle w:val="ListBullet"/>
      </w:pPr>
      <w:r>
        <w:t>Communication packet handling.</w:t>
      </w:r>
    </w:p>
    <w:p>
      <w:pPr>
        <w:pStyle w:val="ListBullet"/>
      </w:pPr>
      <w:r>
        <w:t>PLC logic that copies or clears the string.</w:t>
      </w:r>
    </w:p>
    <w:p>
      <w:pPr>
        <w:pStyle w:val="ListBullet"/>
      </w:pPr>
      <w:r>
        <w:t>Timing between result availability and data capture.</w:t>
      </w:r>
    </w:p>
    <w:p>
      <w:r>
        <w:t>For stream-based TCP communication, one receive operation is not guaranteed to correspond to one complete application message. Use the framing mechanism defined by the protocol.</w:t>
      </w:r>
    </w:p>
    <w:p>
      <w:pPr>
        <w:pStyle w:val="Heading3"/>
      </w:pPr>
      <w:r>
        <w:t>17.5 Wrong product is accepted</w:t>
      </w:r>
    </w:p>
    <w:p>
      <w:r>
        <w:t>Investigate:</w:t>
      </w:r>
    </w:p>
    <w:p>
      <w:pPr>
        <w:pStyle w:val="ListBullet"/>
      </w:pPr>
      <w:r>
        <w:t>Incorrect tag mapping.</w:t>
      </w:r>
    </w:p>
    <w:p>
      <w:pPr>
        <w:pStyle w:val="ListBullet"/>
      </w:pPr>
      <w:r>
        <w:t>Stale barcode data.</w:t>
      </w:r>
    </w:p>
    <w:p>
      <w:pPr>
        <w:pStyle w:val="ListBullet"/>
      </w:pPr>
      <w:r>
        <w:t>Scan result associated with the wrong part.</w:t>
      </w:r>
    </w:p>
    <w:p>
      <w:pPr>
        <w:pStyle w:val="ListBullet"/>
      </w:pPr>
      <w:r>
        <w:t>Missing product validation.</w:t>
      </w:r>
    </w:p>
    <w:p>
      <w:pPr>
        <w:pStyle w:val="ListBullet"/>
      </w:pPr>
      <w:r>
        <w:t>Incorrect recipe selection logic.</w:t>
      </w:r>
    </w:p>
    <w:p>
      <w:pPr>
        <w:pStyle w:val="ListBullet"/>
      </w:pPr>
      <w:r>
        <w:t>Duplicate scan handling.</w:t>
      </w:r>
    </w:p>
    <w:p>
      <w:pPr>
        <w:pStyle w:val="ListBullet"/>
      </w:pPr>
      <w:r>
        <w:t>Late responses after a timeout.</w:t>
      </w:r>
    </w:p>
    <w:p>
      <w:pPr>
        <w:pStyle w:val="ListBullet"/>
      </w:pPr>
      <w:r>
        <w:t>Incorrect station or production-order context.</w:t>
      </w:r>
    </w:p>
    <w:p>
      <w:r>
        <w:t>The key question is whether the reader decoded the wrong value or the control system processed a valid value in the wrong context.</w:t>
      </w:r>
    </w:p>
    <w:p>
      <w:pPr>
        <w:pStyle w:val="Heading2"/>
      </w:pPr>
      <w:r>
        <w:t>18. Performance metrics and reliability</w:t>
      </w:r>
    </w:p>
    <w:p>
      <w:r>
        <w:t>Useful performance measures include:</w:t>
      </w:r>
    </w:p>
    <w:p>
      <w:pPr>
        <w:pStyle w:val="ListBullet"/>
      </w:pPr>
      <w:r>
        <w:t>Total scan attempts.</w:t>
      </w:r>
    </w:p>
    <w:p>
      <w:pPr>
        <w:pStyle w:val="ListBullet"/>
      </w:pPr>
      <w:r>
        <w:t>Successful reads.</w:t>
      </w:r>
    </w:p>
    <w:p>
      <w:pPr>
        <w:pStyle w:val="ListBullet"/>
      </w:pPr>
      <w:r>
        <w:t>No-read count.</w:t>
      </w:r>
    </w:p>
    <w:p>
      <w:pPr>
        <w:pStyle w:val="ListBullet"/>
      </w:pPr>
      <w:r>
        <w:t>Read success rate.</w:t>
      </w:r>
    </w:p>
    <w:p>
      <w:pPr>
        <w:pStyle w:val="ListBullet"/>
      </w:pPr>
      <w:r>
        <w:t>Average scan cycle time.</w:t>
      </w:r>
    </w:p>
    <w:p>
      <w:pPr>
        <w:pStyle w:val="ListBullet"/>
      </w:pPr>
      <w:r>
        <w:t>Maximum scan cycle time.</w:t>
      </w:r>
    </w:p>
    <w:p>
      <w:pPr>
        <w:pStyle w:val="ListBullet"/>
      </w:pPr>
      <w:r>
        <w:t>Communication timeout count.</w:t>
      </w:r>
    </w:p>
    <w:p>
      <w:pPr>
        <w:pStyle w:val="ListBullet"/>
      </w:pPr>
      <w:r>
        <w:t>Duplicate identifier count.</w:t>
      </w:r>
    </w:p>
    <w:p>
      <w:pPr>
        <w:pStyle w:val="ListBullet"/>
      </w:pPr>
      <w:r>
        <w:t>Invalid identifier count.</w:t>
      </w:r>
    </w:p>
    <w:p>
      <w:pPr>
        <w:pStyle w:val="ListBullet"/>
      </w:pPr>
      <w:r>
        <w:t>Number of manual retries.</w:t>
      </w:r>
    </w:p>
    <w:p>
      <w:pPr>
        <w:pStyle w:val="ListBullet"/>
      </w:pPr>
      <w:r>
        <w:t>Traceability record failures.</w:t>
      </w:r>
    </w:p>
    <w:p>
      <w:r>
        <w:t>If 9,950 reads succeed out of 10,000 attempts, the read success rate is:</w:t>
      </w:r>
    </w:p>
    <w:p>
      <w:pPr>
        <w:spacing w:before="120" w:after="160"/>
        <w:jc w:val="center"/>
      </w:pPr>
      <m:oMathPara>
        <m:oMath>
          <m:r>
            <m:rPr>
              <m:nor/>
            </m:rPr>
            <m:t>Read success rate</m:t>
          </m:r>
          <m:r>
            <m:t>=</m:t>
          </m:r>
          <m:f>
            <m:fPr>
              <m:type m:val="bar"/>
            </m:fPr>
            <m:num>
              <m:r>
                <m:t>9950</m:t>
              </m:r>
            </m:num>
            <m:den>
              <m:r>
                <m:t>10000</m:t>
              </m:r>
            </m:den>
          </m:f>
          <m:r>
            <m:t>×100=99.5</m:t>
          </m:r>
        </m:oMath>
      </m:oMathPara>
    </w:p>
    <w:p>
      <w:r>
        <w:t>The no-read rate is:</w:t>
      </w:r>
    </w:p>
    <w:p>
      <w:pPr>
        <w:spacing w:before="120" w:after="160"/>
        <w:jc w:val="center"/>
      </w:pPr>
      <m:oMathPara>
        <m:oMath>
          <m:r>
            <m:rPr>
              <m:nor/>
            </m:rPr>
            <m:t>No-read rate</m:t>
          </m:r>
          <m:r>
            <m:t>=</m:t>
          </m:r>
          <m:f>
            <m:fPr>
              <m:type m:val="bar"/>
            </m:fPr>
            <m:num>
              <m:r>
                <m:t>10000−9950</m:t>
              </m:r>
            </m:num>
            <m:den>
              <m:r>
                <m:t>10000</m:t>
              </m:r>
            </m:den>
          </m:f>
          <m:r>
            <m:t>×100=0.5</m:t>
          </m:r>
        </m:oMath>
      </m:oMathPara>
    </w:p>
    <w:p>
      <w:r>
        <w:t>These metrics must be interpreted carefully. A high success rate may still be inadequate for a critical production operation, and repeated automatic retries can conceal a weak first-pass read rate.</w:t>
      </w:r>
    </w:p>
    <w:p>
      <w:r>
        <w:t>Track first-pass read success separately from final success after retries.</w:t>
      </w:r>
    </w:p>
    <w:p>
      <w:pPr>
        <w:pStyle w:val="Heading2"/>
      </w:pPr>
      <w:r>
        <w:t>19. Barcode reader security and configuration control</w:t>
      </w:r>
    </w:p>
    <w:p>
      <w:r>
        <w:t>Industrial readers may contain network services, web configuration pages, stored credentials, and remote management features.</w:t>
      </w:r>
    </w:p>
    <w:p>
      <w:r>
        <w:t>Good practices include:</w:t>
      </w:r>
    </w:p>
    <w:p>
      <w:pPr>
        <w:pStyle w:val="ListBullet"/>
      </w:pPr>
      <w:r>
        <w:t>Change default credentials where supported.</w:t>
      </w:r>
    </w:p>
    <w:p>
      <w:pPr>
        <w:pStyle w:val="ListBullet"/>
      </w:pPr>
      <w:r>
        <w:t>Restrict configuration access to authorized personnel.</w:t>
      </w:r>
    </w:p>
    <w:p>
      <w:pPr>
        <w:pStyle w:val="ListBullet"/>
      </w:pPr>
      <w:r>
        <w:t>Place readers on appropriate industrial network segments.</w:t>
      </w:r>
    </w:p>
    <w:p>
      <w:pPr>
        <w:pStyle w:val="ListBullet"/>
      </w:pPr>
      <w:r>
        <w:t>Disable unused services and interfaces where practical.</w:t>
      </w:r>
    </w:p>
    <w:p>
      <w:pPr>
        <w:pStyle w:val="ListBullet"/>
      </w:pPr>
      <w:r>
        <w:t>Back up reader configurations.</w:t>
      </w:r>
    </w:p>
    <w:p>
      <w:pPr>
        <w:pStyle w:val="ListBullet"/>
      </w:pPr>
      <w:r>
        <w:t>Record firmware and configuration versions.</w:t>
      </w:r>
    </w:p>
    <w:p>
      <w:pPr>
        <w:pStyle w:val="ListBullet"/>
      </w:pPr>
      <w:r>
        <w:t>Control configuration changes through an approved process.</w:t>
      </w:r>
    </w:p>
    <w:p>
      <w:pPr>
        <w:pStyle w:val="ListBullet"/>
      </w:pPr>
      <w:r>
        <w:t>Restrict unapproved access to PLC data and production systems.</w:t>
      </w:r>
    </w:p>
    <w:p>
      <w:pPr>
        <w:pStyle w:val="ListBullet"/>
      </w:pPr>
      <w:r>
        <w:t>Validate data received from external devices before using it in control logic.</w:t>
      </w:r>
    </w:p>
    <w:p>
      <w:r>
        <w:t>A barcode is an input, not a trusted command. Never execute arbitrary scanned text as a script, SQL statement, or unrestricted machine command.</w:t>
      </w:r>
    </w:p>
    <w:p>
      <w:pPr>
        <w:pStyle w:val="Heading2"/>
      </w:pPr>
      <w:r>
        <w:t>20. Preventive maintenance and lifecycle management</w:t>
      </w:r>
    </w:p>
    <w:p>
      <w:pPr>
        <w:pStyle w:val="Heading3"/>
      </w:pPr>
      <w:r>
        <w:t>20.1 Preventive maintenance</w:t>
      </w:r>
    </w:p>
    <w:p>
      <w:pPr>
        <w:pStyle w:val="ListBullet"/>
      </w:pPr>
      <w:r>
        <w:t>Clean the optical window using the manufacturer's recommended method.</w:t>
      </w:r>
    </w:p>
    <w:p>
      <w:pPr>
        <w:pStyle w:val="ListBullet"/>
      </w:pPr>
      <w:r>
        <w:t>Inspect the housing, lens cover, connectors, and mounting bracket.</w:t>
      </w:r>
    </w:p>
    <w:p>
      <w:pPr>
        <w:pStyle w:val="ListBullet"/>
      </w:pPr>
      <w:r>
        <w:t>Check cable routing and strain relief.</w:t>
      </w:r>
    </w:p>
    <w:p>
      <w:pPr>
        <w:pStyle w:val="ListBullet"/>
      </w:pPr>
      <w:r>
        <w:t>Verify illumination and trigger operation.</w:t>
      </w:r>
    </w:p>
    <w:p>
      <w:pPr>
        <w:pStyle w:val="ListBullet"/>
      </w:pPr>
      <w:r>
        <w:t>Review read statistics and no-read trends.</w:t>
      </w:r>
    </w:p>
    <w:p>
      <w:pPr>
        <w:pStyle w:val="ListBullet"/>
      </w:pPr>
      <w:r>
        <w:t>Confirm that representative codes can be decoded.</w:t>
      </w:r>
    </w:p>
    <w:p>
      <w:pPr>
        <w:pStyle w:val="ListBullet"/>
      </w:pPr>
      <w:r>
        <w:t>Inspect label printers or direct-marking equipment if code quality is deteriorating.</w:t>
      </w:r>
    </w:p>
    <w:p>
      <w:pPr>
        <w:pStyle w:val="ListBullet"/>
      </w:pPr>
      <w:r>
        <w:t>Verify communication and PLC handshake behavior.</w:t>
      </w:r>
    </w:p>
    <w:p>
      <w:pPr>
        <w:pStyle w:val="ListBullet"/>
      </w:pPr>
      <w:r>
        <w:t>Back up configuration after approved changes.</w:t>
      </w:r>
    </w:p>
    <w:p>
      <w:pPr>
        <w:pStyle w:val="Heading3"/>
      </w:pPr>
      <w:r>
        <w:t>20.2 Obsolescence and spare planning</w:t>
      </w:r>
    </w:p>
    <w:p>
      <w:r>
        <w:t>Maintain records of:</w:t>
      </w:r>
    </w:p>
    <w:p>
      <w:pPr>
        <w:pStyle w:val="ListBullet"/>
      </w:pPr>
      <w:r>
        <w:t>Manufacturer and model.</w:t>
      </w:r>
    </w:p>
    <w:p>
      <w:pPr>
        <w:pStyle w:val="ListBullet"/>
      </w:pPr>
      <w:r>
        <w:t>Hardware revision.</w:t>
      </w:r>
    </w:p>
    <w:p>
      <w:pPr>
        <w:pStyle w:val="ListBullet"/>
      </w:pPr>
      <w:r>
        <w:t>Firmware version.</w:t>
      </w:r>
    </w:p>
    <w:p>
      <w:pPr>
        <w:pStyle w:val="ListBullet"/>
      </w:pPr>
      <w:r>
        <w:t>Supported symbologies.</w:t>
      </w:r>
    </w:p>
    <w:p>
      <w:pPr>
        <w:pStyle w:val="ListBullet"/>
      </w:pPr>
      <w:r>
        <w:t>Communication protocols.</w:t>
      </w:r>
    </w:p>
    <w:p>
      <w:pPr>
        <w:pStyle w:val="ListBullet"/>
      </w:pPr>
      <w:r>
        <w:t>PLC interface configuration.</w:t>
      </w:r>
    </w:p>
    <w:p>
      <w:pPr>
        <w:pStyle w:val="ListBullet"/>
      </w:pPr>
      <w:r>
        <w:t>Lens and illumination options.</w:t>
      </w:r>
    </w:p>
    <w:p>
      <w:pPr>
        <w:pStyle w:val="ListBullet"/>
      </w:pPr>
      <w:r>
        <w:t>Mounting dimensions.</w:t>
      </w:r>
    </w:p>
    <w:p>
      <w:pPr>
        <w:pStyle w:val="ListBullet"/>
      </w:pPr>
      <w:r>
        <w:t>Configuration backup location.</w:t>
      </w:r>
    </w:p>
    <w:p>
      <w:pPr>
        <w:pStyle w:val="ListBullet"/>
      </w:pPr>
      <w:r>
        <w:t>Approved replacement model.</w:t>
      </w:r>
    </w:p>
    <w:p>
      <w:pPr>
        <w:pStyle w:val="ListBullet"/>
      </w:pPr>
      <w:r>
        <w:t>Known compatibility issues.</w:t>
      </w:r>
    </w:p>
    <w:p>
      <w:r>
        <w:t>A replacement reader may have a different field of view, trigger behavior, data format, or communication interface. Validate the complete application rather than treating the reader as a plug-compatible sensor.</w:t>
      </w:r>
    </w:p>
    <w:p>
      <w:pPr>
        <w:pStyle w:val="Heading2"/>
      </w:pPr>
      <w:r>
        <w:t>21. Commissioning checklist</w:t>
      </w:r>
    </w:p>
    <w:p>
      <w:pPr>
        <w:pStyle w:val="Heading3"/>
      </w:pPr>
      <w:r>
        <w:t>Mechanical and optical checks</w:t>
      </w:r>
    </w:p>
    <w:p>
      <w:pPr>
        <w:pStyle w:val="ListBullet"/>
      </w:pPr>
      <w:r>
        <w:t>Reader is mounted securely.</w:t>
      </w:r>
    </w:p>
    <w:p>
      <w:pPr>
        <w:pStyle w:val="ListBullet"/>
      </w:pPr>
      <w:r>
        <w:t>Working distance and field of view are correct.</w:t>
      </w:r>
    </w:p>
    <w:p>
      <w:pPr>
        <w:pStyle w:val="ListBullet"/>
      </w:pPr>
      <w:r>
        <w:t>Code orientation is suitable.</w:t>
      </w:r>
    </w:p>
    <w:p>
      <w:pPr>
        <w:pStyle w:val="ListBullet"/>
      </w:pPr>
      <w:r>
        <w:t>Illumination is adequate under actual production conditions.</w:t>
      </w:r>
    </w:p>
    <w:p>
      <w:pPr>
        <w:pStyle w:val="ListBullet"/>
      </w:pPr>
      <w:r>
        <w:t>Cable routing is protected.</w:t>
      </w:r>
    </w:p>
    <w:p>
      <w:pPr>
        <w:pStyle w:val="ListBullet"/>
      </w:pPr>
      <w:r>
        <w:t>Worst-case parts and code quality have been tested.</w:t>
      </w:r>
    </w:p>
    <w:p>
      <w:pPr>
        <w:pStyle w:val="Heading3"/>
      </w:pPr>
      <w:r>
        <w:t>Electrical and communication checks</w:t>
      </w:r>
    </w:p>
    <w:p>
      <w:pPr>
        <w:pStyle w:val="ListBullet"/>
      </w:pPr>
      <w:r>
        <w:t>Power supply and grounding meet manufacturer requirements.</w:t>
      </w:r>
    </w:p>
    <w:p>
      <w:pPr>
        <w:pStyle w:val="ListBullet"/>
      </w:pPr>
      <w:r>
        <w:t>Trigger input operates correctly.</w:t>
      </w:r>
    </w:p>
    <w:p>
      <w:pPr>
        <w:pStyle w:val="ListBullet"/>
      </w:pPr>
      <w:r>
        <w:t>Reader-ready and read-status signals are mapped correctly.</w:t>
      </w:r>
    </w:p>
    <w:p>
      <w:pPr>
        <w:pStyle w:val="ListBullet"/>
      </w:pPr>
      <w:r>
        <w:t>PLC communication driver and protocol are configured.</w:t>
      </w:r>
    </w:p>
    <w:p>
      <w:pPr>
        <w:pStyle w:val="ListBullet"/>
      </w:pPr>
      <w:r>
        <w:t>Serial parameters or network settings are correct.</w:t>
      </w:r>
    </w:p>
    <w:p>
      <w:pPr>
        <w:pStyle w:val="ListBullet"/>
      </w:pPr>
      <w:r>
        <w:t>String length and message framing are verified.</w:t>
      </w:r>
    </w:p>
    <w:p>
      <w:pPr>
        <w:pStyle w:val="ListBullet"/>
      </w:pPr>
      <w:r>
        <w:t>Communication loss is detected and handled.</w:t>
      </w:r>
    </w:p>
    <w:p>
      <w:pPr>
        <w:pStyle w:val="Heading3"/>
      </w:pPr>
      <w:r>
        <w:t>Functional and traceability checks</w:t>
      </w:r>
    </w:p>
    <w:p>
      <w:pPr>
        <w:pStyle w:val="ListBullet"/>
      </w:pPr>
      <w:r>
        <w:t>Correct code is decoded and captured.</w:t>
      </w:r>
    </w:p>
    <w:p>
      <w:pPr>
        <w:pStyle w:val="ListBullet"/>
      </w:pPr>
      <w:r>
        <w:t>Invalid and unknown identifiers are rejected.</w:t>
      </w:r>
    </w:p>
    <w:p>
      <w:pPr>
        <w:pStyle w:val="ListBullet"/>
      </w:pPr>
      <w:r>
        <w:t>No-read and timeout handling work correctly.</w:t>
      </w:r>
    </w:p>
    <w:p>
      <w:pPr>
        <w:pStyle w:val="ListBullet"/>
      </w:pPr>
      <w:r>
        <w:t>Duplicate identifiers follow the defined policy.</w:t>
      </w:r>
    </w:p>
    <w:p>
      <w:pPr>
        <w:pStyle w:val="ListBullet"/>
      </w:pPr>
      <w:r>
        <w:t>Data belongs to the correct part and transaction.</w:t>
      </w:r>
    </w:p>
    <w:p>
      <w:pPr>
        <w:pStyle w:val="ListBullet"/>
      </w:pPr>
      <w:r>
        <w:t>Recipe or program selection is validated.</w:t>
      </w:r>
    </w:p>
    <w:p>
      <w:pPr>
        <w:pStyle w:val="ListBullet"/>
      </w:pPr>
      <w:r>
        <w:t>Traceability records are created correctly.</w:t>
      </w:r>
    </w:p>
    <w:p>
      <w:pPr>
        <w:pStyle w:val="ListBullet"/>
      </w:pPr>
      <w:r>
        <w:t>Database or MES failure follows the approved recovery policy.</w:t>
      </w:r>
    </w:p>
    <w:p>
      <w:pPr>
        <w:pStyle w:val="ListBullet"/>
      </w:pPr>
      <w:r>
        <w:t>Configuration and test results are documented.</w:t>
      </w:r>
    </w:p>
    <w:p>
      <w:pPr>
        <w:pStyle w:val="Heading2"/>
      </w:pPr>
      <w:r>
        <w:t>22. Practical example: automotive component identification</w:t>
      </w:r>
    </w:p>
    <w:p>
      <w:r>
        <w:t>Consider a station that performs an automated test on a component. Each component has a Data Matrix code containing a unique serial identifier.</w:t>
      </w:r>
    </w:p>
    <w:p>
      <w:r>
        <w:t>The station operates as follows:</w:t>
      </w:r>
    </w:p>
    <w:p>
      <w:pPr>
        <w:tabs>
          <w:tab w:pos="403" w:val="left"/>
        </w:tabs>
        <w:spacing w:after="40" w:line="276" w:lineRule="auto"/>
        <w:ind w:left="403" w:hanging="403"/>
        <w:jc w:val="left"/>
      </w:pPr>
      <w:r>
        <w:rPr>
          <w:color w:val="1A2E4A"/>
        </w:rPr>
        <w:t>1.</w:t>
        <w:tab/>
      </w:r>
      <w:r>
        <w:t>A photoelectric sensor detects the component in the fixture.</w:t>
      </w:r>
    </w:p>
    <w:p>
      <w:pPr>
        <w:tabs>
          <w:tab w:pos="403" w:val="left"/>
        </w:tabs>
        <w:spacing w:after="40" w:line="276" w:lineRule="auto"/>
        <w:ind w:left="403" w:hanging="403"/>
        <w:jc w:val="left"/>
      </w:pPr>
      <w:r>
        <w:rPr>
          <w:color w:val="1A2E4A"/>
        </w:rPr>
        <w:t>2.</w:t>
        <w:tab/>
      </w:r>
      <w:r>
        <w:t>The PLC verifies that the station is ready to scan.</w:t>
      </w:r>
    </w:p>
    <w:p>
      <w:pPr>
        <w:tabs>
          <w:tab w:pos="403" w:val="left"/>
        </w:tabs>
        <w:spacing w:after="40" w:line="276" w:lineRule="auto"/>
        <w:ind w:left="403" w:hanging="403"/>
        <w:jc w:val="left"/>
      </w:pPr>
      <w:r>
        <w:rPr>
          <w:color w:val="1A2E4A"/>
        </w:rPr>
        <w:t>3.</w:t>
        <w:tab/>
      </w:r>
      <w:r>
        <w:t>The PLC triggers the fixed-mount reader.</w:t>
      </w:r>
    </w:p>
    <w:p>
      <w:pPr>
        <w:tabs>
          <w:tab w:pos="403" w:val="left"/>
        </w:tabs>
        <w:spacing w:after="40" w:line="276" w:lineRule="auto"/>
        <w:ind w:left="403" w:hanging="403"/>
        <w:jc w:val="left"/>
      </w:pPr>
      <w:r>
        <w:rPr>
          <w:color w:val="1A2E4A"/>
        </w:rPr>
        <w:t>4.</w:t>
        <w:tab/>
      </w:r>
      <w:r>
        <w:t>The reader decodes the identifier and returns the data.</w:t>
      </w:r>
    </w:p>
    <w:p>
      <w:pPr>
        <w:tabs>
          <w:tab w:pos="403" w:val="left"/>
        </w:tabs>
        <w:spacing w:after="40" w:line="276" w:lineRule="auto"/>
        <w:ind w:left="403" w:hanging="403"/>
        <w:jc w:val="left"/>
      </w:pPr>
      <w:r>
        <w:rPr>
          <w:color w:val="1A2E4A"/>
        </w:rPr>
        <w:t>5.</w:t>
        <w:tab/>
      </w:r>
      <w:r>
        <w:t>The PLC checks the response status and validates the identifier format.</w:t>
      </w:r>
    </w:p>
    <w:p>
      <w:pPr>
        <w:tabs>
          <w:tab w:pos="403" w:val="left"/>
        </w:tabs>
        <w:spacing w:after="40" w:line="276" w:lineRule="auto"/>
        <w:ind w:left="403" w:hanging="403"/>
        <w:jc w:val="left"/>
      </w:pPr>
      <w:r>
        <w:rPr>
          <w:color w:val="1A2E4A"/>
        </w:rPr>
        <w:t>6.</w:t>
        <w:tab/>
      </w:r>
      <w:r>
        <w:t>The system verifies that the component is valid for the current station and production order.</w:t>
      </w:r>
    </w:p>
    <w:p>
      <w:pPr>
        <w:tabs>
          <w:tab w:pos="403" w:val="left"/>
        </w:tabs>
        <w:spacing w:after="40" w:line="276" w:lineRule="auto"/>
        <w:ind w:left="403" w:hanging="403"/>
        <w:jc w:val="left"/>
      </w:pPr>
      <w:r>
        <w:rPr>
          <w:color w:val="1A2E4A"/>
        </w:rPr>
        <w:t>7.</w:t>
        <w:tab/>
      </w:r>
      <w:r>
        <w:t>The correct test recipe is selected and confirmed.</w:t>
      </w:r>
    </w:p>
    <w:p>
      <w:pPr>
        <w:tabs>
          <w:tab w:pos="403" w:val="left"/>
        </w:tabs>
        <w:spacing w:after="40" w:line="276" w:lineRule="auto"/>
        <w:ind w:left="403" w:hanging="403"/>
        <w:jc w:val="left"/>
      </w:pPr>
      <w:r>
        <w:rPr>
          <w:color w:val="1A2E4A"/>
        </w:rPr>
        <w:t>8.</w:t>
        <w:tab/>
      </w:r>
      <w:r>
        <w:t>The test executes.</w:t>
      </w:r>
    </w:p>
    <w:p>
      <w:pPr>
        <w:tabs>
          <w:tab w:pos="403" w:val="left"/>
        </w:tabs>
        <w:spacing w:after="40" w:line="276" w:lineRule="auto"/>
        <w:ind w:left="403" w:hanging="403"/>
        <w:jc w:val="left"/>
      </w:pPr>
      <w:r>
        <w:rPr>
          <w:color w:val="1A2E4A"/>
        </w:rPr>
        <w:t>9.</w:t>
        <w:tab/>
      </w:r>
      <w:r>
        <w:t>The measured results and pass/fail status are linked to the component identifier.</w:t>
      </w:r>
    </w:p>
    <w:p>
      <w:pPr>
        <w:tabs>
          <w:tab w:pos="403" w:val="left"/>
        </w:tabs>
        <w:spacing w:after="40" w:line="276" w:lineRule="auto"/>
        <w:ind w:left="403" w:hanging="403"/>
        <w:jc w:val="left"/>
      </w:pPr>
      <w:r>
        <w:rPr>
          <w:color w:val="1A2E4A"/>
        </w:rPr>
        <w:t>10.</w:t>
        <w:tab/>
      </w:r>
      <w:r>
        <w:t>The traceability system confirms that the record has been stored.</w:t>
      </w:r>
    </w:p>
    <w:p>
      <w:pPr>
        <w:tabs>
          <w:tab w:pos="403" w:val="left"/>
        </w:tabs>
        <w:spacing w:after="40" w:line="276" w:lineRule="auto"/>
        <w:ind w:left="403" w:hanging="403"/>
        <w:jc w:val="left"/>
      </w:pPr>
      <w:r>
        <w:rPr>
          <w:color w:val="1A2E4A"/>
        </w:rPr>
        <w:t>11.</w:t>
        <w:tab/>
      </w:r>
      <w:r>
        <w:t>The PLC permits the next sequence step only when all required conditions are satisfied.</w:t>
      </w:r>
    </w:p>
    <w:p>
      <w:r>
        <w:t>If the reader reports no-read, the station does not silently reuse the previous component's identifier. It follows the defined retry and fault procedure.</w:t>
      </w:r>
    </w:p>
    <w:p>
      <w:r>
        <w:t>If the identifier is valid but belongs to the wrong component type, the system rejects it before running the wrong test.</w:t>
      </w:r>
    </w:p>
    <w:p>
      <w:r>
        <w:t>This design connects physical identity, process execution, quality control, and production records.</w:t>
      </w:r>
    </w:p>
    <w:p>
      <w:pPr>
        <w:pStyle w:val="Heading2"/>
      </w:pPr>
      <w:r>
        <w:t>23. Common engineering mistakes</w:t>
      </w:r>
    </w:p>
    <w:p>
      <w:pPr>
        <w:pStyle w:val="ListBullet"/>
      </w:pPr>
      <w:r>
        <w:t>Selecting a reader without checking minimum code size and working distance.</w:t>
      </w:r>
    </w:p>
    <w:p>
      <w:pPr>
        <w:pStyle w:val="ListBullet"/>
      </w:pPr>
      <w:r>
        <w:t>Assuming all scanners support every barcode symbology.</w:t>
      </w:r>
    </w:p>
    <w:p>
      <w:pPr>
        <w:pStyle w:val="ListBullet"/>
      </w:pPr>
      <w:r>
        <w:t>Ignoring glare, motion blur, vibration, and part-position variation.</w:t>
      </w:r>
    </w:p>
    <w:p>
      <w:pPr>
        <w:pStyle w:val="ListBullet"/>
      </w:pPr>
      <w:r>
        <w:t>Treating a successful decode as proof of correct product identity.</w:t>
      </w:r>
    </w:p>
    <w:p>
      <w:pPr>
        <w:pStyle w:val="ListBullet"/>
      </w:pPr>
      <w:r>
        <w:t>Using an old barcode after a no-read.</w:t>
      </w:r>
    </w:p>
    <w:p>
      <w:pPr>
        <w:pStyle w:val="ListBullet"/>
      </w:pPr>
      <w:r>
        <w:t>Converting identifiers to integers and losing leading zeros.</w:t>
      </w:r>
    </w:p>
    <w:p>
      <w:pPr>
        <w:pStyle w:val="ListBullet"/>
      </w:pPr>
      <w:r>
        <w:t>Ignoring message terminators or data-length limits.</w:t>
      </w:r>
    </w:p>
    <w:p>
      <w:pPr>
        <w:pStyle w:val="ListBullet"/>
      </w:pPr>
      <w:r>
        <w:t>Assuming one TCP receive operation always contains one complete message.</w:t>
      </w:r>
    </w:p>
    <w:p>
      <w:pPr>
        <w:pStyle w:val="ListBullet"/>
      </w:pPr>
      <w:r>
        <w:t>Triggering multiple reads for a single part.</w:t>
      </w:r>
    </w:p>
    <w:p>
      <w:pPr>
        <w:pStyle w:val="ListBullet"/>
      </w:pPr>
      <w:r>
        <w:t>Failing to reject late responses from expired scan transactions.</w:t>
      </w:r>
    </w:p>
    <w:p>
      <w:pPr>
        <w:pStyle w:val="ListBullet"/>
      </w:pPr>
      <w:r>
        <w:t>Allowing the machine to proceed before identity validation finishes.</w:t>
      </w:r>
    </w:p>
    <w:p>
      <w:pPr>
        <w:pStyle w:val="ListBullet"/>
      </w:pPr>
      <w:r>
        <w:t>Treating a database timeout as a successful traceability write.</w:t>
      </w:r>
    </w:p>
    <w:p>
      <w:pPr>
        <w:pStyle w:val="ListBullet"/>
      </w:pPr>
      <w:r>
        <w:t>Failing to record the recipe and test result against the correct identifier.</w:t>
      </w:r>
    </w:p>
    <w:p>
      <w:pPr>
        <w:pStyle w:val="ListBullet"/>
      </w:pPr>
      <w:r>
        <w:t>Using barcode contents as trusted executable instructions.</w:t>
      </w:r>
    </w:p>
    <w:p>
      <w:pPr>
        <w:pStyle w:val="ListBullet"/>
      </w:pPr>
      <w:r>
        <w:t>Replacing a reader without validating the full control sequence.</w:t>
      </w:r>
    </w:p>
    <w:p>
      <w:pPr>
        <w:pStyle w:val="Heading2"/>
      </w:pPr>
      <w:r>
        <w:t>24. Interview questions and answers</w:t>
      </w:r>
    </w:p>
    <w:p>
      <w:r>
        <w:t>Q1. What is the difference between a barcode scanner and a barcode reader?</w:t>
      </w:r>
    </w:p>
    <w:p>
      <w:r>
        <w:t>The terms are often used interchangeably. In industrial applications, a reader may refer to a fixed-mount device with more advanced imaging, decoding, communication, and diagnostic capabilities.</w:t>
      </w:r>
    </w:p>
    <w:p>
      <w:r>
        <w:t>Q2. What is the difference between 1D and 2D barcodes?</w:t>
      </w:r>
    </w:p>
    <w:p>
      <w:r>
        <w:t>A 1D barcode encodes data using patterns of bars and spaces along one dimension. A 2D code encodes information across a two-dimensional pattern and can often store more data in a compact area.</w:t>
      </w:r>
    </w:p>
    <w:p>
      <w:r>
        <w:t>Q3. Why is Data Matrix common in industrial applications?</w:t>
      </w:r>
    </w:p>
    <w:p>
      <w:r>
        <w:t>It can encode identification data in a compact symbol and is widely used for component traceability, including direct part marking when the reader and marking quality are suitable.</w:t>
      </w:r>
    </w:p>
    <w:p>
      <w:r>
        <w:t>Q4. What is the purpose of a scanner trigger?</w:t>
      </w:r>
    </w:p>
    <w:p>
      <w:r>
        <w:t>The trigger initiates or defines the acquisition cycle so that the reader attempts to decode a code at the correct time.</w:t>
      </w:r>
    </w:p>
    <w:p>
      <w:r>
        <w:t>Q5. What is a no-read condition?</w:t>
      </w:r>
    </w:p>
    <w:p>
      <w:r>
        <w:t>A no-read occurs when the reader does not successfully decode a code during the configured reading operation. It can result from code quality, positioning, timing, lighting, configuration, or hardware problems.</w:t>
      </w:r>
    </w:p>
    <w:p>
      <w:r>
        <w:t>Q6. Why should barcode data be treated as a string?</w:t>
      </w:r>
    </w:p>
    <w:p>
      <w:r>
        <w:t>Identifiers can contain letters, punctuation, and leading zeros. Numeric conversion can alter the identifier and break traceability.</w:t>
      </w:r>
    </w:p>
    <w:p>
      <w:r>
        <w:t>Q7. What is the difference between a good read and a valid product?</w:t>
      </w:r>
    </w:p>
    <w:p>
      <w:r>
        <w:t>A good read means the reader decoded a symbol. A valid product means the decoded identifier passed the required format, product, process, and traceability checks.</w:t>
      </w:r>
    </w:p>
    <w:p>
      <w:r>
        <w:t>Q8. How do you prevent an old barcode from being reused?</w:t>
      </w:r>
    </w:p>
    <w:p>
      <w:r>
        <w:t>Manage result validity explicitly, associate results with individual scan transactions, invalidate previous results at the appropriate point, and reject late or duplicate responses according to the defined state machine.</w:t>
      </w:r>
    </w:p>
    <w:p>
      <w:r>
        <w:t>Q9. How would you troubleshoot a reader that works locally but not through the PLC?</w:t>
      </w:r>
    </w:p>
    <w:p>
      <w:r>
        <w:t>Confirm the reader can decode a known-good code, then check the communication protocol, trigger handshake, message framing, network or serial settings, PLC string representation, and timeout logic.</w:t>
      </w:r>
    </w:p>
    <w:p>
      <w:r>
        <w:t>Q10. What is direct part marking?</w:t>
      </w:r>
    </w:p>
    <w:p>
      <w:r>
        <w:t>Direct part marking places a code directly on a component using a method such as laser or dot peen marking instead of applying a separate label.</w:t>
      </w:r>
    </w:p>
    <w:p>
      <w:r>
        <w:t>Q11. Why is barcode scanning important for traceability?</w:t>
      </w:r>
    </w:p>
    <w:p>
      <w:r>
        <w:t>It provides a consistent identifier that links the physical product to its production operations, inspection results, process parameters, and manufacturing history.</w:t>
      </w:r>
    </w:p>
    <w:p>
      <w:r>
        <w:t>Q12. What should happen if the traceability database is unavailable?</w:t>
      </w:r>
    </w:p>
    <w:p>
      <w:r>
        <w:t>The machine should follow a predefined policy based on quality and operational requirements. It may stop, buffer records locally, or use a validated offline procedure. The failure must not be silently treated as a successful record operation.</w:t>
      </w:r>
    </w:p>
    <w:p>
      <w:r>
        <w:t>Q13. How is barcode read success rate calculated?</w:t>
      </w:r>
    </w:p>
    <w:p>
      <w:r>
        <w:t>Divide the number of successful reads by the total number of scan attempts and multiply by 100. First-pass success should be measured separately from success after retries.</w:t>
      </w:r>
    </w:p>
    <w:p>
      <w:r>
        <w:t>Q14. Why can a reader decode a barcode on a bench but fail on a conveyor?</w:t>
      </w:r>
    </w:p>
    <w:p>
      <w:r>
        <w:t>Production introduces movement, vibration, variable positioning, changing light, contamination, and timing constraints that may not be present during stationary testing.</w:t>
      </w:r>
    </w:p>
    <w:p>
      <w:r>
        <w:t>Q15. What is the difference between identification and traceability?</w:t>
      </w:r>
    </w:p>
    <w:p>
      <w:r>
        <w:t>Identification establishes which item is present. Traceability links that identity to the item's history, process steps, inspections, and other required records.</w:t>
      </w:r>
    </w:p>
    <w:p>
      <w:pPr>
        <w:pStyle w:val="Heading2"/>
      </w:pPr>
      <w:r>
        <w:t>25. Final practical checklist</w:t>
      </w:r>
    </w:p>
    <w:p>
      <w:r>
        <w:t>Before releasing a barcode scanning station, confirm:</w:t>
      </w:r>
    </w:p>
    <w:p>
      <w:pPr>
        <w:pStyle w:val="ListBullet"/>
      </w:pPr>
      <w:r>
        <w:t>Reader type and symbology match the actual marking.</w:t>
      </w:r>
    </w:p>
    <w:p>
      <w:pPr>
        <w:pStyle w:val="ListBullet"/>
      </w:pPr>
      <w:r>
        <w:t>Optical performance is verified under production conditions.</w:t>
      </w:r>
    </w:p>
    <w:p>
      <w:pPr>
        <w:pStyle w:val="ListBullet"/>
      </w:pPr>
      <w:r>
        <w:t>Trigger timing and PLC handshake are deterministic.</w:t>
      </w:r>
    </w:p>
    <w:p>
      <w:pPr>
        <w:pStyle w:val="ListBullet"/>
      </w:pPr>
      <w:r>
        <w:t>Barcode strings preserve all characters and leading zeros.</w:t>
      </w:r>
    </w:p>
    <w:p>
      <w:pPr>
        <w:pStyle w:val="ListBullet"/>
      </w:pPr>
      <w:r>
        <w:t>Invalid identifiers, no-reads, duplicates, and timeouts are handled.</w:t>
      </w:r>
    </w:p>
    <w:p>
      <w:pPr>
        <w:pStyle w:val="ListBullet"/>
      </w:pPr>
      <w:r>
        <w:t>Every accepted result belongs to the correct part and transaction.</w:t>
      </w:r>
    </w:p>
    <w:p>
      <w:pPr>
        <w:pStyle w:val="ListBullet"/>
      </w:pPr>
      <w:r>
        <w:t>Product and recipe validation occurs before dependent operations.</w:t>
      </w:r>
    </w:p>
    <w:p>
      <w:pPr>
        <w:pStyle w:val="ListBullet"/>
      </w:pPr>
      <w:r>
        <w:t>Traceability records are linked to the correct product identifier.</w:t>
      </w:r>
    </w:p>
    <w:p>
      <w:pPr>
        <w:pStyle w:val="ListBullet"/>
      </w:pPr>
      <w:r>
        <w:t>Communication and database failures have defined responses.</w:t>
      </w:r>
    </w:p>
    <w:p>
      <w:pPr>
        <w:pStyle w:val="ListBullet"/>
      </w:pPr>
      <w:r>
        <w:t>Configuration backups, diagnostics, and commissioning records are available.</w:t>
      </w:r>
    </w:p>
    <w:p>
      <w:r>
        <w:t>The central principle is that barcode scanning is not just an optical reading task. It is an identification and data-integrity function connecting the physical product to the machine's decisions and the manufacturing record. Reliable operation requires the reader, PLC, communication interface, validation logic, and traceability system to work as one controlled process.</w:t>
      </w:r>
    </w:p>
    <w:p>
      <w:pPr>
        <w:pStyle w:val="Heading2"/>
      </w:pPr>
      <w:r>
        <w:t>NEXT TOPIC</w:t>
      </w:r>
    </w:p>
    <w:p>
      <w:r>
        <w:rPr>
          <w:rFonts w:ascii="Consolas" w:hAnsi="Consolas"/>
          <w:color w:val="333333"/>
          <w:sz w:val="19"/>
          <w:shd w:val="clear" w:color="auto" w:fill="EFEFEF"/>
        </w:rPr>
        <w:t>02_PLAN_WISE_2026\02_INDUSTRY3_0\06_Machine_Integ\01_Integration_Chain\10_Printer - Printer: Labels and records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02_PLAN_WISE_2026\02_INDUSTRY3_0\06_Machine_Integ\01_Integration_Chain\09_Barcode_Scanner - Barcode scanner: ID and traceability data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